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C955E" w14:textId="233FEA72" w:rsidR="005462AA" w:rsidRDefault="005462AA" w:rsidP="003B21C7">
      <w:pPr>
        <w:rPr>
          <w:b/>
          <w:bCs/>
        </w:rPr>
      </w:pPr>
      <w:r>
        <w:rPr>
          <w:b/>
          <w:bCs/>
        </w:rPr>
        <w:t>PART 2 THE FUND AS AN INSTITUTION</w:t>
      </w:r>
    </w:p>
    <w:p w14:paraId="544AF6DE" w14:textId="77777777" w:rsidR="005462AA" w:rsidRDefault="005462AA" w:rsidP="003B21C7">
      <w:pPr>
        <w:rPr>
          <w:b/>
          <w:bCs/>
        </w:rPr>
      </w:pPr>
    </w:p>
    <w:p w14:paraId="55185B2C" w14:textId="34751392" w:rsidR="00A6189F" w:rsidRPr="003B21C7" w:rsidRDefault="003B21C7" w:rsidP="003B21C7">
      <w:pPr>
        <w:rPr>
          <w:b/>
          <w:bCs/>
        </w:rPr>
      </w:pPr>
      <w:r w:rsidRPr="003B21C7">
        <w:rPr>
          <w:b/>
          <w:bCs/>
        </w:rPr>
        <w:t>SUBARTICLE 1</w:t>
      </w:r>
    </w:p>
    <w:p w14:paraId="6D842ADC" w14:textId="77777777" w:rsidR="003B21C7" w:rsidRPr="003B21C7" w:rsidRDefault="003B21C7" w:rsidP="003B21C7">
      <w:pPr>
        <w:spacing w:after="160" w:line="278" w:lineRule="auto"/>
      </w:pPr>
      <w:r w:rsidRPr="003B21C7">
        <w:rPr>
          <w:rFonts w:eastAsiaTheme="majorEastAsia"/>
          <w:b/>
          <w:bCs/>
        </w:rPr>
        <w:t>Why an Institution at All: The Difference Between an Idea and a Working System</w:t>
      </w:r>
    </w:p>
    <w:p w14:paraId="026D18DC" w14:textId="77777777" w:rsidR="003B21C7" w:rsidRPr="003B21C7" w:rsidRDefault="003B21C7" w:rsidP="003B21C7">
      <w:pPr>
        <w:spacing w:after="160" w:line="278" w:lineRule="auto"/>
      </w:pPr>
      <w:r w:rsidRPr="003B21C7">
        <w:t>The most beautiful idea in the world doesn't change anything until someone builds the machinery to run it.</w:t>
      </w:r>
    </w:p>
    <w:p w14:paraId="2E5F68CB" w14:textId="77777777" w:rsidR="003B21C7" w:rsidRPr="003B21C7" w:rsidRDefault="003B21C7" w:rsidP="003B21C7">
      <w:pPr>
        <w:spacing w:after="160" w:line="278" w:lineRule="auto"/>
      </w:pPr>
      <w:r w:rsidRPr="003B21C7">
        <w:t>History is littered with movements that had the right diagnosis and the wrong follow-through. The original cooperative movement of the 1840s correctly identified that workers were being exploited by capital — and produced thousands of small co-ops that mostly failed within a generation because they had no institutional structure to compete with corporations at scale. The League of Nations correctly identified that nations needed a forum to prevent war — and collapsed within twenty years because it had no enforcement mechanism. The Universal Declaration of Human Rights correctly identified what every human is entitled to — and has been violated routinely for 77 years because no institution exists to actually deliver those rights.</w:t>
      </w:r>
    </w:p>
    <w:p w14:paraId="1D44086B" w14:textId="77777777" w:rsidR="003B21C7" w:rsidRPr="003B21C7" w:rsidRDefault="003B21C7" w:rsidP="003B21C7">
      <w:pPr>
        <w:spacing w:after="160" w:line="278" w:lineRule="auto"/>
      </w:pPr>
      <w:r w:rsidRPr="003B21C7">
        <w:t xml:space="preserve">The lesson is uncomfortable but clear: </w:t>
      </w:r>
      <w:r w:rsidRPr="003B21C7">
        <w:rPr>
          <w:rFonts w:eastAsiaTheme="majorEastAsia"/>
          <w:b/>
          <w:bCs/>
        </w:rPr>
        <w:t>a movement is not a system</w:t>
      </w:r>
      <w:r w:rsidRPr="003B21C7">
        <w:t>. A diagnosis is not a cure. A demand is not a structure. If we want the world Part 1 of this series proposed — power distributed to every human being, competition between citizen-owned and privately-owned companies, dividends that turn citizens into shareholders of the global economy — then we have to build something that can actually do those things. The $1 a month is the easy part. The institution that holds it, invests it, governs it, and returns dividends from it is the hard part.</w:t>
      </w:r>
    </w:p>
    <w:p w14:paraId="5603C517" w14:textId="77777777" w:rsidR="003B21C7" w:rsidRPr="003B21C7" w:rsidRDefault="003B21C7" w:rsidP="003B21C7">
      <w:pPr>
        <w:spacing w:after="160" w:line="278" w:lineRule="auto"/>
      </w:pPr>
      <w:r w:rsidRPr="003B21C7">
        <w:t>Part 2 is about that institution. Eight articles, each addressing one question a reader has after finishing Part 1.</w:t>
      </w:r>
    </w:p>
    <w:p w14:paraId="69ACE37C" w14:textId="77777777" w:rsidR="003B21C7" w:rsidRPr="003B21C7" w:rsidRDefault="003B21C7" w:rsidP="003B21C7">
      <w:pPr>
        <w:spacing w:after="160" w:line="278" w:lineRule="auto"/>
      </w:pPr>
      <w:r w:rsidRPr="003B21C7">
        <w:rPr>
          <w:rFonts w:eastAsiaTheme="majorEastAsia"/>
          <w:b/>
          <w:bCs/>
        </w:rPr>
        <w:t>Why this matters more than it might seem</w:t>
      </w:r>
    </w:p>
    <w:p w14:paraId="28A00DF9" w14:textId="77777777" w:rsidR="003B21C7" w:rsidRPr="003B21C7" w:rsidRDefault="003B21C7" w:rsidP="003B21C7">
      <w:pPr>
        <w:spacing w:after="160" w:line="278" w:lineRule="auto"/>
      </w:pPr>
      <w:r w:rsidRPr="003B21C7">
        <w:t>Most readers will assume the fund described in Part 1 is roughly like things they already know about — a sovereign wealth fund, or a giant index fund, or a hedge fund, or maybe just a charity. It isn't any of those. The differences matter, because they explain why this fund can do things existing institutions can't.</w:t>
      </w:r>
    </w:p>
    <w:p w14:paraId="1F44E1F3" w14:textId="65AA91B5" w:rsidR="003B21C7" w:rsidRPr="003B21C7" w:rsidRDefault="003B21C7" w:rsidP="003B21C7">
      <w:pPr>
        <w:spacing w:after="160" w:line="278" w:lineRule="auto"/>
      </w:pPr>
      <w:r w:rsidRPr="003B21C7">
        <w:t xml:space="preserve">A sovereign wealth fund (Norway's Government Pension Fund, the Abu Dhabi Investment Authority, Singapore's GIC) is owned by a government, serves that country's strategic objectives, and pays out to that country's citizens through state services. It is, in effect, one country's extension of its political power into global capital markets. The </w:t>
      </w:r>
      <w:r w:rsidR="0064195B">
        <w:t>Fund</w:t>
      </w:r>
      <w:r w:rsidRPr="003B21C7">
        <w:t xml:space="preserve"> is owned by individual humans regardless of citizenship, serves the interests of all participants equally, and pays dividends directly to each member. It has no flag.</w:t>
      </w:r>
    </w:p>
    <w:p w14:paraId="309CEE9C" w14:textId="583E73E1" w:rsidR="003B21C7" w:rsidRPr="003B21C7" w:rsidRDefault="003B21C7" w:rsidP="003B21C7">
      <w:pPr>
        <w:spacing w:after="160" w:line="278" w:lineRule="auto"/>
      </w:pPr>
      <w:r w:rsidRPr="003B21C7">
        <w:t xml:space="preserve">An index fund (Vanguard's S&amp;P 500 fund, BlackRock's iShares) is owned by its individual investors but votes its shares passively — it doesn't try to change what the companies it owns actually do. Vanguard owns 8% of every major US company on average; if it wanted to, it could probably end fossil fuel investment in a board vote. It doesn't, because that's not what its </w:t>
      </w:r>
      <w:r w:rsidRPr="003B21C7">
        <w:lastRenderedPageBreak/>
        <w:t xml:space="preserve">investors signed up for. The </w:t>
      </w:r>
      <w:r w:rsidR="0064195B">
        <w:t>Fund</w:t>
      </w:r>
      <w:r w:rsidRPr="003B21C7">
        <w:t xml:space="preserve"> is the opposite — its entire purpose is to actively shape what its companies do: where they manufacture, what they charge, how they treat workers, what margins they accept.</w:t>
      </w:r>
    </w:p>
    <w:p w14:paraId="0F7AAD84" w14:textId="052D1AD8" w:rsidR="003B21C7" w:rsidRPr="003B21C7" w:rsidRDefault="003B21C7" w:rsidP="003B21C7">
      <w:pPr>
        <w:spacing w:after="160" w:line="278" w:lineRule="auto"/>
      </w:pPr>
      <w:r w:rsidRPr="003B21C7">
        <w:t xml:space="preserve">A hedge fund is owned by wealthy investors and operates to maximize their returns; the </w:t>
      </w:r>
      <w:r w:rsidR="0064195B">
        <w:t>Fund</w:t>
      </w:r>
      <w:r w:rsidRPr="003B21C7">
        <w:t xml:space="preserve"> is owned by everyone equally and operates to maximize collective welfare. A charity collects donations and gives them away; the </w:t>
      </w:r>
      <w:r w:rsidR="0064195B">
        <w:t>Fund</w:t>
      </w:r>
      <w:r w:rsidRPr="003B21C7">
        <w:t xml:space="preserve"> collects contributions and invests them to generate sustainable returns for its members.</w:t>
      </w:r>
    </w:p>
    <w:p w14:paraId="705F686F" w14:textId="6F275BC5" w:rsidR="003B21C7" w:rsidRPr="003B21C7" w:rsidRDefault="003B21C7" w:rsidP="003B21C7">
      <w:pPr>
        <w:spacing w:after="160" w:line="278" w:lineRule="auto"/>
      </w:pPr>
      <w:r w:rsidRPr="003B21C7">
        <w:t xml:space="preserve">What the </w:t>
      </w:r>
      <w:r w:rsidR="0064195B">
        <w:t>Fund</w:t>
      </w:r>
      <w:r w:rsidRPr="003B21C7">
        <w:t xml:space="preserve"> is closest to — and this is worth saying clearly — is </w:t>
      </w:r>
      <w:r w:rsidRPr="003B21C7">
        <w:rPr>
          <w:rFonts w:eastAsiaTheme="majorEastAsia"/>
          <w:b/>
          <w:bCs/>
        </w:rPr>
        <w:t>a global, cross-border version of what Mondragón has done in Spain for sixty-five years</w:t>
      </w:r>
      <w:r w:rsidRPr="003B21C7">
        <w:t>. Mondragón is a federation of cooperatives founded in 1956 in the Basque Country. It now employs over 70,000 people across 95 cooperatives, generates over €11 billion in annual revenue, and operates in finance, retail, manufacturing, and technology. Workers own it. Workers govern it through one-person-one-vote in their cooperative and through representatives in the federal Congress. It competes with conventional corporations across multiple industries. It has survived recessions, expansions, and the slow normalization of "neoliberal" capitalism around it. It is, simply, a working example of what citizen-owned competitive enterprise looks like at scale.</w:t>
      </w:r>
    </w:p>
    <w:p w14:paraId="17364F1B" w14:textId="6E1D77DB" w:rsidR="003B21C7" w:rsidRPr="003B21C7" w:rsidRDefault="003B21C7" w:rsidP="003B21C7">
      <w:pPr>
        <w:spacing w:after="160" w:line="278" w:lineRule="auto"/>
      </w:pPr>
      <w:r w:rsidRPr="003B21C7">
        <w:t xml:space="preserve">The </w:t>
      </w:r>
      <w:r w:rsidR="0064195B">
        <w:t>Fund</w:t>
      </w:r>
      <w:r w:rsidRPr="003B21C7">
        <w:t xml:space="preserve"> extends Mondragón's principle from a regional federation of workers to a global federation of citizens. From "the people who work here own this company" to "every human being on earth owns one share of the global productive system." The principles are the same. The scale is unprecedented.</w:t>
      </w:r>
    </w:p>
    <w:p w14:paraId="19857E20" w14:textId="77777777" w:rsidR="003B21C7" w:rsidRPr="003B21C7" w:rsidRDefault="003B21C7" w:rsidP="003B21C7">
      <w:pPr>
        <w:spacing w:after="160" w:line="278" w:lineRule="auto"/>
      </w:pPr>
      <w:r w:rsidRPr="003B21C7">
        <w:rPr>
          <w:rFonts w:eastAsiaTheme="majorEastAsia"/>
          <w:b/>
          <w:bCs/>
        </w:rPr>
        <w:t>Why does Part 2 even exist?</w:t>
      </w:r>
    </w:p>
    <w:p w14:paraId="314457C2" w14:textId="77777777" w:rsidR="003B21C7" w:rsidRPr="003B21C7" w:rsidRDefault="003B21C7" w:rsidP="003B21C7">
      <w:pPr>
        <w:spacing w:after="160" w:line="278" w:lineRule="auto"/>
      </w:pPr>
      <w:r w:rsidRPr="003B21C7">
        <w:t>Because the philosophical case in Part 1 doesn't survive contact with a determined skeptic without an institutional answer.</w:t>
      </w:r>
    </w:p>
    <w:p w14:paraId="25E787EB" w14:textId="77777777" w:rsidR="003B21C7" w:rsidRPr="003B21C7" w:rsidRDefault="003B21C7" w:rsidP="003B21C7">
      <w:pPr>
        <w:spacing w:after="160" w:line="278" w:lineRule="auto"/>
      </w:pPr>
      <w:r w:rsidRPr="003B21C7">
        <w:t>A skeptic reading Part 1 will ask: "If everyone really owned the world's largest companies through this fund, what stops a small group inside the fund from taking it over? What stops the fund managers from becoming the new oligarchs? What stops one government from controlling it? What stops the fund from becoming a slow, bureaucratic mess like the UN? How does the fund actually compete with companies that have decades of head start? How do you collect $1 from someone in rural Bangladesh who has no bank account? What happens if a country bans the fund from operating? Who decides which companies to buy?"</w:t>
      </w:r>
    </w:p>
    <w:p w14:paraId="3E55FF10" w14:textId="77777777" w:rsidR="003B21C7" w:rsidRPr="003B21C7" w:rsidRDefault="003B21C7" w:rsidP="003B21C7">
      <w:pPr>
        <w:spacing w:after="160" w:line="278" w:lineRule="auto"/>
      </w:pPr>
      <w:r w:rsidRPr="003B21C7">
        <w:t xml:space="preserve">These are not bad-faith questions. They are the questions any thoughtful person would ask before participating in something this ambitious. Part 1 doesn't answer them in detail because Part 1's job was to make the case for </w:t>
      </w:r>
      <w:r w:rsidRPr="003B21C7">
        <w:rPr>
          <w:rFonts w:eastAsiaTheme="majorEastAsia"/>
          <w:i/>
          <w:iCs/>
        </w:rPr>
        <w:t>why this should exist</w:t>
      </w:r>
      <w:r w:rsidRPr="003B21C7">
        <w:t>. Part 2's job is to answer them — to show that the institution can actually be built, governed, defended against corruption, and operated at scale, and that the answers are real engineering choices rather than wishful thinking.</w:t>
      </w:r>
    </w:p>
    <w:p w14:paraId="0426E79A" w14:textId="4514DA8F" w:rsidR="003B21C7" w:rsidRPr="003B21C7" w:rsidRDefault="003B21C7" w:rsidP="003B21C7">
      <w:pPr>
        <w:spacing w:after="160" w:line="278" w:lineRule="auto"/>
      </w:pPr>
      <w:r w:rsidRPr="003B21C7">
        <w:lastRenderedPageBreak/>
        <w:t xml:space="preserve">If we can't answer those questions credibly, the </w:t>
      </w:r>
      <w:r w:rsidR="0064195B">
        <w:t>Fund</w:t>
      </w:r>
      <w:r w:rsidRPr="003B21C7">
        <w:t xml:space="preserve"> stays an interesting idea in a Substack post. If we can answer them — and I believe we can, though imperfectly and with real trade-offs — then it becomes something that could actually happen.</w:t>
      </w:r>
    </w:p>
    <w:p w14:paraId="638FA9CD" w14:textId="77777777" w:rsidR="003B21C7" w:rsidRPr="003B21C7" w:rsidRDefault="003B21C7" w:rsidP="003B21C7">
      <w:pPr>
        <w:spacing w:after="160" w:line="278" w:lineRule="auto"/>
      </w:pPr>
      <w:r w:rsidRPr="003B21C7">
        <w:rPr>
          <w:rFonts w:eastAsiaTheme="majorEastAsia"/>
          <w:b/>
          <w:bCs/>
        </w:rPr>
        <w:t>What's coming in Part 2</w:t>
      </w:r>
    </w:p>
    <w:p w14:paraId="197219C8" w14:textId="77777777" w:rsidR="003B21C7" w:rsidRPr="003B21C7" w:rsidRDefault="003B21C7" w:rsidP="003B21C7">
      <w:pPr>
        <w:spacing w:after="160" w:line="278" w:lineRule="auto"/>
      </w:pPr>
      <w:r w:rsidRPr="003B21C7">
        <w:t>The eight articles that follow address, in order:</w:t>
      </w:r>
    </w:p>
    <w:p w14:paraId="4953CE3F" w14:textId="77777777" w:rsidR="003B21C7" w:rsidRPr="003B21C7" w:rsidRDefault="003B21C7" w:rsidP="003B21C7">
      <w:pPr>
        <w:numPr>
          <w:ilvl w:val="0"/>
          <w:numId w:val="2"/>
        </w:numPr>
        <w:spacing w:after="160" w:line="278" w:lineRule="auto"/>
      </w:pPr>
      <w:r w:rsidRPr="003B21C7">
        <w:rPr>
          <w:rFonts w:eastAsiaTheme="majorEastAsia"/>
          <w:i/>
          <w:iCs/>
        </w:rPr>
        <w:t>What the Fund Is and What It Isn't</w:t>
      </w:r>
      <w:r w:rsidRPr="003B21C7">
        <w:t xml:space="preserve"> — direct comparison to existing institutions</w:t>
      </w:r>
    </w:p>
    <w:p w14:paraId="2F1C1065" w14:textId="77777777" w:rsidR="003B21C7" w:rsidRPr="003B21C7" w:rsidRDefault="003B21C7" w:rsidP="003B21C7">
      <w:pPr>
        <w:numPr>
          <w:ilvl w:val="0"/>
          <w:numId w:val="2"/>
        </w:numPr>
        <w:spacing w:after="160" w:line="278" w:lineRule="auto"/>
      </w:pPr>
      <w:r w:rsidRPr="003B21C7">
        <w:rPr>
          <w:rFonts w:eastAsiaTheme="majorEastAsia"/>
          <w:i/>
          <w:iCs/>
        </w:rPr>
        <w:t>What the Fund Owns and How That Grows</w:t>
      </w:r>
      <w:r w:rsidRPr="003B21C7">
        <w:t xml:space="preserve"> — the acquisition trajectory across the 30 years</w:t>
      </w:r>
    </w:p>
    <w:p w14:paraId="62ADAD6F" w14:textId="77777777" w:rsidR="003B21C7" w:rsidRPr="003B21C7" w:rsidRDefault="003B21C7" w:rsidP="003B21C7">
      <w:pPr>
        <w:numPr>
          <w:ilvl w:val="0"/>
          <w:numId w:val="2"/>
        </w:numPr>
        <w:spacing w:after="160" w:line="278" w:lineRule="auto"/>
      </w:pPr>
      <w:r w:rsidRPr="003B21C7">
        <w:rPr>
          <w:rFonts w:eastAsiaTheme="majorEastAsia"/>
          <w:i/>
          <w:iCs/>
        </w:rPr>
        <w:t>How the Fund Competes (and Why It Wins Some Markets, Not All)</w:t>
      </w:r>
      <w:r w:rsidRPr="003B21C7">
        <w:t xml:space="preserve"> — honest engagement with the competitive question</w:t>
      </w:r>
    </w:p>
    <w:p w14:paraId="3BE364C0" w14:textId="77777777" w:rsidR="003B21C7" w:rsidRPr="003B21C7" w:rsidRDefault="003B21C7" w:rsidP="003B21C7">
      <w:pPr>
        <w:numPr>
          <w:ilvl w:val="0"/>
          <w:numId w:val="2"/>
        </w:numPr>
        <w:spacing w:after="160" w:line="278" w:lineRule="auto"/>
      </w:pPr>
      <w:r w:rsidRPr="003B21C7">
        <w:rPr>
          <w:rFonts w:eastAsiaTheme="majorEastAsia"/>
          <w:i/>
          <w:iCs/>
        </w:rPr>
        <w:t>How the Money Flows</w:t>
      </w:r>
      <w:r w:rsidRPr="003B21C7">
        <w:t xml:space="preserve"> — contributions, currency, dividends, overhead, mechanics</w:t>
      </w:r>
    </w:p>
    <w:p w14:paraId="1D9CE308" w14:textId="77777777" w:rsidR="003B21C7" w:rsidRPr="003B21C7" w:rsidRDefault="003B21C7" w:rsidP="003B21C7">
      <w:pPr>
        <w:numPr>
          <w:ilvl w:val="0"/>
          <w:numId w:val="2"/>
        </w:numPr>
        <w:spacing w:after="160" w:line="278" w:lineRule="auto"/>
      </w:pPr>
      <w:r w:rsidRPr="003B21C7">
        <w:rPr>
          <w:rFonts w:eastAsiaTheme="majorEastAsia"/>
          <w:i/>
          <w:iCs/>
        </w:rPr>
        <w:t>How the Fund Gets Built</w:t>
      </w:r>
      <w:r w:rsidRPr="003B21C7">
        <w:t xml:space="preserve"> — the bootstrapping problem and the founders question</w:t>
      </w:r>
    </w:p>
    <w:p w14:paraId="26BE761C" w14:textId="77777777" w:rsidR="003B21C7" w:rsidRPr="003B21C7" w:rsidRDefault="003B21C7" w:rsidP="003B21C7">
      <w:pPr>
        <w:numPr>
          <w:ilvl w:val="0"/>
          <w:numId w:val="2"/>
        </w:numPr>
        <w:spacing w:after="160" w:line="278" w:lineRule="auto"/>
      </w:pPr>
      <w:r w:rsidRPr="003B21C7">
        <w:rPr>
          <w:rFonts w:eastAsiaTheme="majorEastAsia"/>
          <w:i/>
          <w:iCs/>
        </w:rPr>
        <w:t>What Stops the Fund from Becoming What It Replaces</w:t>
      </w:r>
      <w:r w:rsidRPr="003B21C7">
        <w:t xml:space="preserve"> — operational anti-corruption</w:t>
      </w:r>
    </w:p>
    <w:p w14:paraId="73C5DF98" w14:textId="77777777" w:rsidR="003B21C7" w:rsidRPr="003B21C7" w:rsidRDefault="003B21C7" w:rsidP="003B21C7">
      <w:pPr>
        <w:numPr>
          <w:ilvl w:val="0"/>
          <w:numId w:val="2"/>
        </w:numPr>
        <w:spacing w:after="160" w:line="278" w:lineRule="auto"/>
      </w:pPr>
      <w:r w:rsidRPr="003B21C7">
        <w:rPr>
          <w:rFonts w:eastAsiaTheme="majorEastAsia"/>
          <w:i/>
          <w:iCs/>
        </w:rPr>
        <w:t>What the First Decade Could Look Like</w:t>
      </w:r>
      <w:r w:rsidRPr="003B21C7">
        <w:t xml:space="preserve"> — concrete trajectory in years 1-10</w:t>
      </w:r>
    </w:p>
    <w:p w14:paraId="091FB8BE" w14:textId="77777777" w:rsidR="003B21C7" w:rsidRPr="003B21C7" w:rsidRDefault="003B21C7" w:rsidP="003B21C7">
      <w:pPr>
        <w:spacing w:after="160" w:line="278" w:lineRule="auto"/>
      </w:pPr>
      <w:r w:rsidRPr="003B21C7">
        <w:t>Each article is short enough to read in one sitting. You can read them in order or jump to whichever question matters most to you. You can disagree with any of them and still find the rest useful.</w:t>
      </w:r>
    </w:p>
    <w:p w14:paraId="20FF0181" w14:textId="77777777" w:rsidR="003B21C7" w:rsidRPr="003B21C7" w:rsidRDefault="003B21C7" w:rsidP="003B21C7">
      <w:pPr>
        <w:spacing w:after="160" w:line="278" w:lineRule="auto"/>
      </w:pPr>
      <w:r w:rsidRPr="003B21C7">
        <w:t>What I won't do is pretend this is easy or that all the questions have clean answers. Building an institution that owns a meaningful share of the global economy and is governed by 8 billion people is the hardest design problem in modern political economy. We don't have a working template. We have precedents (Mondragón, Norwegian SWF, EU institutions, Wikipedia, cooperative banks) that solve pieces of the problem. We have to assemble them into something new.</w:t>
      </w:r>
    </w:p>
    <w:p w14:paraId="71E97958" w14:textId="77777777" w:rsidR="003B21C7" w:rsidRPr="003B21C7" w:rsidRDefault="003B21C7" w:rsidP="003B21C7">
      <w:pPr>
        <w:spacing w:after="160" w:line="278" w:lineRule="auto"/>
      </w:pPr>
      <w:r w:rsidRPr="003B21C7">
        <w:t xml:space="preserve">Part 1 said </w:t>
      </w:r>
      <w:r w:rsidRPr="003B21C7">
        <w:rPr>
          <w:rFonts w:eastAsiaTheme="majorEastAsia"/>
          <w:i/>
          <w:iCs/>
        </w:rPr>
        <w:t>we should build this</w:t>
      </w:r>
      <w:r w:rsidRPr="003B21C7">
        <w:t xml:space="preserve">. Part 2 says </w:t>
      </w:r>
      <w:r w:rsidRPr="003B21C7">
        <w:rPr>
          <w:rFonts w:eastAsiaTheme="majorEastAsia"/>
          <w:i/>
          <w:iCs/>
        </w:rPr>
        <w:t>here's how, with the honest caveats</w:t>
      </w:r>
      <w:r w:rsidRPr="003B21C7">
        <w:t>. Read on.</w:t>
      </w:r>
    </w:p>
    <w:p w14:paraId="15DD43EE" w14:textId="77777777" w:rsidR="003B21C7" w:rsidRDefault="003B21C7" w:rsidP="003B21C7"/>
    <w:p w14:paraId="4FDAA795" w14:textId="6DC14A16" w:rsidR="003B21C7" w:rsidRPr="003B21C7" w:rsidRDefault="003B21C7" w:rsidP="003B21C7">
      <w:pPr>
        <w:rPr>
          <w:b/>
          <w:bCs/>
        </w:rPr>
      </w:pPr>
      <w:r w:rsidRPr="003B21C7">
        <w:rPr>
          <w:b/>
          <w:bCs/>
        </w:rPr>
        <w:t xml:space="preserve">SUBARTICLE </w:t>
      </w:r>
      <w:r>
        <w:rPr>
          <w:b/>
          <w:bCs/>
        </w:rPr>
        <w:t>2</w:t>
      </w:r>
    </w:p>
    <w:p w14:paraId="117FCA51" w14:textId="77777777" w:rsidR="003B21C7" w:rsidRDefault="003B21C7" w:rsidP="003B21C7">
      <w:pPr>
        <w:spacing w:after="160" w:line="278" w:lineRule="auto"/>
        <w:rPr>
          <w:rFonts w:asciiTheme="minorHAnsi" w:eastAsiaTheme="minorHAnsi" w:hAnsiTheme="minorHAnsi" w:cstheme="minorBidi"/>
          <w:b/>
          <w:bCs/>
          <w:kern w:val="2"/>
          <w14:ligatures w14:val="standardContextual"/>
        </w:rPr>
      </w:pPr>
    </w:p>
    <w:p w14:paraId="361FEA9A" w14:textId="0D1C4B42" w:rsidR="003B21C7" w:rsidRPr="003B21C7" w:rsidRDefault="003B21C7" w:rsidP="003B21C7">
      <w:pPr>
        <w:spacing w:after="160" w:line="278" w:lineRule="auto"/>
        <w:rPr>
          <w:rFonts w:asciiTheme="minorHAnsi" w:eastAsiaTheme="minorHAnsi" w:hAnsiTheme="minorHAnsi" w:cstheme="minorBidi"/>
          <w:kern w:val="2"/>
          <w14:ligatures w14:val="standardContextual"/>
        </w:rPr>
      </w:pPr>
      <w:r w:rsidRPr="003B21C7">
        <w:rPr>
          <w:rFonts w:asciiTheme="minorHAnsi" w:eastAsiaTheme="minorHAnsi" w:hAnsiTheme="minorHAnsi" w:cstheme="minorBidi"/>
          <w:b/>
          <w:bCs/>
          <w:kern w:val="2"/>
          <w14:ligatures w14:val="standardContextual"/>
        </w:rPr>
        <w:t>What the Fund Is — and What It Isn't</w:t>
      </w:r>
    </w:p>
    <w:p w14:paraId="0177EFA3" w14:textId="536923DA" w:rsidR="003B21C7" w:rsidRPr="003B21C7" w:rsidRDefault="003B21C7" w:rsidP="003B21C7">
      <w:pPr>
        <w:spacing w:after="160" w:line="278" w:lineRule="auto"/>
        <w:rPr>
          <w:rFonts w:asciiTheme="minorHAnsi" w:eastAsiaTheme="minorHAnsi" w:hAnsiTheme="minorHAnsi" w:cstheme="minorBidi"/>
          <w:kern w:val="2"/>
          <w14:ligatures w14:val="standardContextual"/>
        </w:rPr>
      </w:pPr>
      <w:r w:rsidRPr="003B21C7">
        <w:rPr>
          <w:rFonts w:asciiTheme="minorHAnsi" w:eastAsiaTheme="minorHAnsi" w:hAnsiTheme="minorHAnsi" w:cstheme="minorBidi"/>
          <w:kern w:val="2"/>
          <w14:ligatures w14:val="standardContextual"/>
        </w:rPr>
        <w:t xml:space="preserve">Most readers, after finishing Part 1, will mentally file the </w:t>
      </w:r>
      <w:r w:rsidR="0064195B">
        <w:rPr>
          <w:rFonts w:asciiTheme="minorHAnsi" w:eastAsiaTheme="minorHAnsi" w:hAnsiTheme="minorHAnsi" w:cstheme="minorBidi"/>
          <w:kern w:val="2"/>
          <w14:ligatures w14:val="standardContextual"/>
        </w:rPr>
        <w:t>Fund</w:t>
      </w:r>
      <w:r w:rsidRPr="003B21C7">
        <w:rPr>
          <w:rFonts w:asciiTheme="minorHAnsi" w:eastAsiaTheme="minorHAnsi" w:hAnsiTheme="minorHAnsi" w:cstheme="minorBidi"/>
          <w:kern w:val="2"/>
          <w14:ligatures w14:val="standardContextual"/>
        </w:rPr>
        <w:t xml:space="preserve"> into a category that already exists. Some will think of it as a charity that pays dividends. Some will think of it as a sovereign wealth fund without a country. Some will think of it as a giant mutual fund. Some will think of it as a hedge fund for poor people, or a cooperative scaled up.</w:t>
      </w:r>
    </w:p>
    <w:p w14:paraId="713103F3" w14:textId="26C5F64E" w:rsidR="003B21C7" w:rsidRPr="003B21C7" w:rsidRDefault="003B21C7" w:rsidP="003B21C7">
      <w:pPr>
        <w:spacing w:after="160" w:line="278" w:lineRule="auto"/>
        <w:rPr>
          <w:rFonts w:asciiTheme="minorHAnsi" w:eastAsiaTheme="minorHAnsi" w:hAnsiTheme="minorHAnsi" w:cstheme="minorBidi"/>
          <w:kern w:val="2"/>
          <w14:ligatures w14:val="standardContextual"/>
        </w:rPr>
      </w:pPr>
      <w:r w:rsidRPr="003B21C7">
        <w:rPr>
          <w:rFonts w:asciiTheme="minorHAnsi" w:eastAsiaTheme="minorHAnsi" w:hAnsiTheme="minorHAnsi" w:cstheme="minorBidi"/>
          <w:kern w:val="2"/>
          <w14:ligatures w14:val="standardContextual"/>
        </w:rPr>
        <w:lastRenderedPageBreak/>
        <w:t xml:space="preserve">None of these categories quite fit. The differences sound technical but they matter — because each existing category has serious limitations the </w:t>
      </w:r>
      <w:r w:rsidR="0064195B">
        <w:rPr>
          <w:rFonts w:asciiTheme="minorHAnsi" w:eastAsiaTheme="minorHAnsi" w:hAnsiTheme="minorHAnsi" w:cstheme="minorBidi"/>
          <w:kern w:val="2"/>
          <w14:ligatures w14:val="standardContextual"/>
        </w:rPr>
        <w:t>Fund</w:t>
      </w:r>
      <w:r w:rsidRPr="003B21C7">
        <w:rPr>
          <w:rFonts w:asciiTheme="minorHAnsi" w:eastAsiaTheme="minorHAnsi" w:hAnsiTheme="minorHAnsi" w:cstheme="minorBidi"/>
          <w:kern w:val="2"/>
          <w14:ligatures w14:val="standardContextual"/>
        </w:rPr>
        <w:t xml:space="preserve"> is specifically designed to overcome. Walking through the comparisons explains why none of these existing institutions ever did what the </w:t>
      </w:r>
      <w:r w:rsidR="0064195B">
        <w:rPr>
          <w:rFonts w:asciiTheme="minorHAnsi" w:eastAsiaTheme="minorHAnsi" w:hAnsiTheme="minorHAnsi" w:cstheme="minorBidi"/>
          <w:kern w:val="2"/>
          <w14:ligatures w14:val="standardContextual"/>
        </w:rPr>
        <w:t>Fund</w:t>
      </w:r>
      <w:r w:rsidRPr="003B21C7">
        <w:rPr>
          <w:rFonts w:asciiTheme="minorHAnsi" w:eastAsiaTheme="minorHAnsi" w:hAnsiTheme="minorHAnsi" w:cstheme="minorBidi"/>
          <w:kern w:val="2"/>
          <w14:ligatures w14:val="standardContextual"/>
        </w:rPr>
        <w:t xml:space="preserve"> proposes to do.</w:t>
      </w:r>
    </w:p>
    <w:p w14:paraId="007162EA" w14:textId="77777777" w:rsidR="003B21C7" w:rsidRPr="003B21C7" w:rsidRDefault="003B21C7" w:rsidP="003B21C7">
      <w:pPr>
        <w:spacing w:after="160" w:line="278" w:lineRule="auto"/>
        <w:rPr>
          <w:rFonts w:asciiTheme="minorHAnsi" w:eastAsiaTheme="minorHAnsi" w:hAnsiTheme="minorHAnsi" w:cstheme="minorBidi"/>
          <w:kern w:val="2"/>
          <w14:ligatures w14:val="standardContextual"/>
        </w:rPr>
      </w:pPr>
      <w:r w:rsidRPr="003B21C7">
        <w:rPr>
          <w:rFonts w:asciiTheme="minorHAnsi" w:eastAsiaTheme="minorHAnsi" w:hAnsiTheme="minorHAnsi" w:cstheme="minorBidi"/>
          <w:b/>
          <w:bCs/>
          <w:kern w:val="2"/>
          <w14:ligatures w14:val="standardContextual"/>
        </w:rPr>
        <w:t>The fund is not a sovereign wealth fund.</w:t>
      </w:r>
    </w:p>
    <w:p w14:paraId="18EC5D96" w14:textId="77777777" w:rsidR="003B21C7" w:rsidRPr="003B21C7" w:rsidRDefault="003B21C7" w:rsidP="003B21C7">
      <w:pPr>
        <w:spacing w:after="160" w:line="278" w:lineRule="auto"/>
        <w:rPr>
          <w:rFonts w:asciiTheme="minorHAnsi" w:eastAsiaTheme="minorHAnsi" w:hAnsiTheme="minorHAnsi" w:cstheme="minorBidi"/>
          <w:kern w:val="2"/>
          <w14:ligatures w14:val="standardContextual"/>
        </w:rPr>
      </w:pPr>
      <w:r w:rsidRPr="003B21C7">
        <w:rPr>
          <w:rFonts w:asciiTheme="minorHAnsi" w:eastAsiaTheme="minorHAnsi" w:hAnsiTheme="minorHAnsi" w:cstheme="minorBidi"/>
          <w:kern w:val="2"/>
          <w14:ligatures w14:val="standardContextual"/>
        </w:rPr>
        <w:t>Norway's Government Pension Fund Global is probably the closest existing institution to what people imagine when they hear "global investment fund for citizens." It owns about 1.5% of every listed company in the world, generates returns that go into Norway's national budget, and is celebrated as a model of how a country can use natural resource wealth wisely. Norway's fund has assets exceeding $1.7 trillion as of early 2026 — roughly $300,000 per Norwegian citizen.</w:t>
      </w:r>
    </w:p>
    <w:p w14:paraId="3ECF0E46" w14:textId="77777777" w:rsidR="003B21C7" w:rsidRPr="003B21C7" w:rsidRDefault="003B21C7" w:rsidP="003B21C7">
      <w:pPr>
        <w:spacing w:after="160" w:line="278" w:lineRule="auto"/>
        <w:rPr>
          <w:rFonts w:asciiTheme="minorHAnsi" w:eastAsiaTheme="minorHAnsi" w:hAnsiTheme="minorHAnsi" w:cstheme="minorBidi"/>
          <w:kern w:val="2"/>
          <w14:ligatures w14:val="standardContextual"/>
        </w:rPr>
      </w:pPr>
      <w:r w:rsidRPr="003B21C7">
        <w:rPr>
          <w:rFonts w:asciiTheme="minorHAnsi" w:eastAsiaTheme="minorHAnsi" w:hAnsiTheme="minorHAnsi" w:cstheme="minorBidi"/>
          <w:kern w:val="2"/>
          <w14:ligatures w14:val="standardContextual"/>
        </w:rPr>
        <w:t xml:space="preserve">But notice what that institution is: it's </w:t>
      </w:r>
      <w:r w:rsidRPr="003B21C7">
        <w:rPr>
          <w:rFonts w:asciiTheme="minorHAnsi" w:eastAsiaTheme="minorHAnsi" w:hAnsiTheme="minorHAnsi" w:cstheme="minorBidi"/>
          <w:i/>
          <w:iCs/>
          <w:kern w:val="2"/>
          <w14:ligatures w14:val="standardContextual"/>
        </w:rPr>
        <w:t>Norway's</w:t>
      </w:r>
      <w:r w:rsidRPr="003B21C7">
        <w:rPr>
          <w:rFonts w:asciiTheme="minorHAnsi" w:eastAsiaTheme="minorHAnsi" w:hAnsiTheme="minorHAnsi" w:cstheme="minorBidi"/>
          <w:kern w:val="2"/>
          <w14:ligatures w14:val="standardContextual"/>
        </w:rPr>
        <w:t xml:space="preserve"> fund. It belongs to the Norwegian state. It exists because oil revenue in the 1990s went into the fund rather than into general government spending. Only Norwegian citizens benefit. The fund's returns flow to the Norwegian government, which then uses them to fund Norwegian state services. A Vietnamese worker has no claim on it, even though some of the companies Norway's fund owns operate in Vietnam and profit from Vietnamese labor.</w:t>
      </w:r>
    </w:p>
    <w:p w14:paraId="28635D0C" w14:textId="77777777" w:rsidR="003B21C7" w:rsidRPr="003B21C7" w:rsidRDefault="003B21C7" w:rsidP="003B21C7">
      <w:pPr>
        <w:spacing w:after="160" w:line="278" w:lineRule="auto"/>
        <w:rPr>
          <w:rFonts w:asciiTheme="minorHAnsi" w:eastAsiaTheme="minorHAnsi" w:hAnsiTheme="minorHAnsi" w:cstheme="minorBidi"/>
          <w:kern w:val="2"/>
          <w14:ligatures w14:val="standardContextual"/>
        </w:rPr>
      </w:pPr>
      <w:r w:rsidRPr="003B21C7">
        <w:rPr>
          <w:rFonts w:asciiTheme="minorHAnsi" w:eastAsiaTheme="minorHAnsi" w:hAnsiTheme="minorHAnsi" w:cstheme="minorBidi"/>
          <w:kern w:val="2"/>
          <w14:ligatures w14:val="standardContextual"/>
        </w:rPr>
        <w:t>Abu Dhabi, Singapore, Saudi Arabia, and China all have similar funds. Each serves its own state's interests. None operate as global institutions. None pay dividends to humans regardless of citizenship. None compete with private companies on price or labor practices — they're passive investors that maximize return on capital, not active operators that pursue social objectives.</w:t>
      </w:r>
    </w:p>
    <w:p w14:paraId="06F56DC7" w14:textId="35F6A104" w:rsidR="003B21C7" w:rsidRPr="003B21C7" w:rsidRDefault="003B21C7" w:rsidP="003B21C7">
      <w:pPr>
        <w:spacing w:after="160" w:line="278" w:lineRule="auto"/>
        <w:rPr>
          <w:rFonts w:asciiTheme="minorHAnsi" w:eastAsiaTheme="minorHAnsi" w:hAnsiTheme="minorHAnsi" w:cstheme="minorBidi"/>
          <w:kern w:val="2"/>
          <w14:ligatures w14:val="standardContextual"/>
        </w:rPr>
      </w:pPr>
      <w:r w:rsidRPr="003B21C7">
        <w:rPr>
          <w:rFonts w:asciiTheme="minorHAnsi" w:eastAsiaTheme="minorHAnsi" w:hAnsiTheme="minorHAnsi" w:cstheme="minorBidi"/>
          <w:kern w:val="2"/>
          <w14:ligatures w14:val="standardContextual"/>
        </w:rPr>
        <w:t xml:space="preserve">The </w:t>
      </w:r>
      <w:r w:rsidR="0064195B">
        <w:rPr>
          <w:rFonts w:asciiTheme="minorHAnsi" w:eastAsiaTheme="minorHAnsi" w:hAnsiTheme="minorHAnsi" w:cstheme="minorBidi"/>
          <w:kern w:val="2"/>
          <w14:ligatures w14:val="standardContextual"/>
        </w:rPr>
        <w:t>Fund</w:t>
      </w:r>
      <w:r w:rsidRPr="003B21C7">
        <w:rPr>
          <w:rFonts w:asciiTheme="minorHAnsi" w:eastAsiaTheme="minorHAnsi" w:hAnsiTheme="minorHAnsi" w:cstheme="minorBidi"/>
          <w:kern w:val="2"/>
          <w14:ligatures w14:val="standardContextual"/>
        </w:rPr>
        <w:t xml:space="preserve"> is what sovereign wealth funds would have been if they had been built for citizens of the world rather than citizens of specific countries. It has no national flag, no government parent, no strategic objective beyond serving its members equally everywhere.</w:t>
      </w:r>
    </w:p>
    <w:p w14:paraId="10812BA9" w14:textId="77777777" w:rsidR="003B21C7" w:rsidRPr="003B21C7" w:rsidRDefault="003B21C7" w:rsidP="003B21C7">
      <w:pPr>
        <w:spacing w:after="160" w:line="278" w:lineRule="auto"/>
        <w:rPr>
          <w:rFonts w:asciiTheme="minorHAnsi" w:eastAsiaTheme="minorHAnsi" w:hAnsiTheme="minorHAnsi" w:cstheme="minorBidi"/>
          <w:kern w:val="2"/>
          <w14:ligatures w14:val="standardContextual"/>
        </w:rPr>
      </w:pPr>
      <w:r w:rsidRPr="003B21C7">
        <w:rPr>
          <w:rFonts w:asciiTheme="minorHAnsi" w:eastAsiaTheme="minorHAnsi" w:hAnsiTheme="minorHAnsi" w:cstheme="minorBidi"/>
          <w:b/>
          <w:bCs/>
          <w:kern w:val="2"/>
          <w14:ligatures w14:val="standardContextual"/>
        </w:rPr>
        <w:t>The fund is not an index fund.</w:t>
      </w:r>
    </w:p>
    <w:p w14:paraId="4674A6FE" w14:textId="77777777" w:rsidR="003B21C7" w:rsidRPr="003B21C7" w:rsidRDefault="003B21C7" w:rsidP="003B21C7">
      <w:pPr>
        <w:spacing w:after="160" w:line="278" w:lineRule="auto"/>
        <w:rPr>
          <w:rFonts w:asciiTheme="minorHAnsi" w:eastAsiaTheme="minorHAnsi" w:hAnsiTheme="minorHAnsi" w:cstheme="minorBidi"/>
          <w:kern w:val="2"/>
          <w14:ligatures w14:val="standardContextual"/>
        </w:rPr>
      </w:pPr>
      <w:r w:rsidRPr="003B21C7">
        <w:rPr>
          <w:rFonts w:asciiTheme="minorHAnsi" w:eastAsiaTheme="minorHAnsi" w:hAnsiTheme="minorHAnsi" w:cstheme="minorBidi"/>
          <w:kern w:val="2"/>
          <w14:ligatures w14:val="standardContextual"/>
        </w:rPr>
        <w:t>Vanguard and BlackRock collectively manage about $20 trillion in assets. Most of that money belongs to ordinary people — retirees, families saving for college, workers in 401(k) plans. By any honest accounting, hundreds of millions of people already "own" small slices of the world's largest companies through index funds.</w:t>
      </w:r>
    </w:p>
    <w:p w14:paraId="04374BBF" w14:textId="00CA9C35" w:rsidR="003B21C7" w:rsidRPr="003B21C7" w:rsidRDefault="003B21C7" w:rsidP="003B21C7">
      <w:pPr>
        <w:spacing w:after="160" w:line="278" w:lineRule="auto"/>
        <w:rPr>
          <w:rFonts w:asciiTheme="minorHAnsi" w:eastAsiaTheme="minorHAnsi" w:hAnsiTheme="minorHAnsi" w:cstheme="minorBidi"/>
          <w:kern w:val="2"/>
          <w14:ligatures w14:val="standardContextual"/>
        </w:rPr>
      </w:pPr>
      <w:r w:rsidRPr="003B21C7">
        <w:rPr>
          <w:rFonts w:asciiTheme="minorHAnsi" w:eastAsiaTheme="minorHAnsi" w:hAnsiTheme="minorHAnsi" w:cstheme="minorBidi"/>
          <w:kern w:val="2"/>
          <w14:ligatures w14:val="standardContextual"/>
        </w:rPr>
        <w:t xml:space="preserve">So a fair question is: if index funds already exist and already democratize ownership of corporations, why do we need a </w:t>
      </w:r>
      <w:r w:rsidR="0064195B">
        <w:rPr>
          <w:rFonts w:asciiTheme="minorHAnsi" w:eastAsiaTheme="minorHAnsi" w:hAnsiTheme="minorHAnsi" w:cstheme="minorBidi"/>
          <w:kern w:val="2"/>
          <w14:ligatures w14:val="standardContextual"/>
        </w:rPr>
        <w:t>Fund</w:t>
      </w:r>
      <w:r w:rsidRPr="003B21C7">
        <w:rPr>
          <w:rFonts w:asciiTheme="minorHAnsi" w:eastAsiaTheme="minorHAnsi" w:hAnsiTheme="minorHAnsi" w:cstheme="minorBidi"/>
          <w:kern w:val="2"/>
          <w14:ligatures w14:val="standardContextual"/>
        </w:rPr>
        <w:t>?</w:t>
      </w:r>
    </w:p>
    <w:p w14:paraId="5861A053" w14:textId="77777777" w:rsidR="003B21C7" w:rsidRPr="003B21C7" w:rsidRDefault="003B21C7" w:rsidP="003B21C7">
      <w:pPr>
        <w:spacing w:after="160" w:line="278" w:lineRule="auto"/>
        <w:rPr>
          <w:rFonts w:asciiTheme="minorHAnsi" w:eastAsiaTheme="minorHAnsi" w:hAnsiTheme="minorHAnsi" w:cstheme="minorBidi"/>
          <w:kern w:val="2"/>
          <w14:ligatures w14:val="standardContextual"/>
        </w:rPr>
      </w:pPr>
      <w:r w:rsidRPr="003B21C7">
        <w:rPr>
          <w:rFonts w:asciiTheme="minorHAnsi" w:eastAsiaTheme="minorHAnsi" w:hAnsiTheme="minorHAnsi" w:cstheme="minorBidi"/>
          <w:kern w:val="2"/>
          <w14:ligatures w14:val="standardContextual"/>
        </w:rPr>
        <w:t xml:space="preserve">The answer is that index funds democratize </w:t>
      </w:r>
      <w:r w:rsidRPr="003B21C7">
        <w:rPr>
          <w:rFonts w:asciiTheme="minorHAnsi" w:eastAsiaTheme="minorHAnsi" w:hAnsiTheme="minorHAnsi" w:cstheme="minorBidi"/>
          <w:i/>
          <w:iCs/>
          <w:kern w:val="2"/>
          <w14:ligatures w14:val="standardContextual"/>
        </w:rPr>
        <w:t>ownership</w:t>
      </w:r>
      <w:r w:rsidRPr="003B21C7">
        <w:rPr>
          <w:rFonts w:asciiTheme="minorHAnsi" w:eastAsiaTheme="minorHAnsi" w:hAnsiTheme="minorHAnsi" w:cstheme="minorBidi"/>
          <w:kern w:val="2"/>
          <w14:ligatures w14:val="standardContextual"/>
        </w:rPr>
        <w:t xml:space="preserve"> but not </w:t>
      </w:r>
      <w:r w:rsidRPr="003B21C7">
        <w:rPr>
          <w:rFonts w:asciiTheme="minorHAnsi" w:eastAsiaTheme="minorHAnsi" w:hAnsiTheme="minorHAnsi" w:cstheme="minorBidi"/>
          <w:i/>
          <w:iCs/>
          <w:kern w:val="2"/>
          <w14:ligatures w14:val="standardContextual"/>
        </w:rPr>
        <w:t>control</w:t>
      </w:r>
      <w:r w:rsidRPr="003B21C7">
        <w:rPr>
          <w:rFonts w:asciiTheme="minorHAnsi" w:eastAsiaTheme="minorHAnsi" w:hAnsiTheme="minorHAnsi" w:cstheme="minorBidi"/>
          <w:kern w:val="2"/>
          <w14:ligatures w14:val="standardContextual"/>
        </w:rPr>
        <w:t xml:space="preserve">. When you own a share of an S&amp;P 500 index fund, the fund holds voting rights on your behalf — but in </w:t>
      </w:r>
      <w:r w:rsidRPr="003B21C7">
        <w:rPr>
          <w:rFonts w:asciiTheme="minorHAnsi" w:eastAsiaTheme="minorHAnsi" w:hAnsiTheme="minorHAnsi" w:cstheme="minorBidi"/>
          <w:kern w:val="2"/>
          <w14:ligatures w14:val="standardContextual"/>
        </w:rPr>
        <w:lastRenderedPageBreak/>
        <w:t>practice, Vanguard and BlackRock vote almost entirely with corporate management on every meaningful issue. They are passive investors by design. Their stated philosophy is that they shouldn't impose their views on the companies they own; they should simply maximize returns within the rules.</w:t>
      </w:r>
    </w:p>
    <w:p w14:paraId="34506400" w14:textId="77777777" w:rsidR="003B21C7" w:rsidRPr="003B21C7" w:rsidRDefault="003B21C7" w:rsidP="003B21C7">
      <w:pPr>
        <w:spacing w:after="160" w:line="278" w:lineRule="auto"/>
        <w:rPr>
          <w:rFonts w:asciiTheme="minorHAnsi" w:eastAsiaTheme="minorHAnsi" w:hAnsiTheme="minorHAnsi" w:cstheme="minorBidi"/>
          <w:kern w:val="2"/>
          <w14:ligatures w14:val="standardContextual"/>
        </w:rPr>
      </w:pPr>
      <w:r w:rsidRPr="003B21C7">
        <w:rPr>
          <w:rFonts w:asciiTheme="minorHAnsi" w:eastAsiaTheme="minorHAnsi" w:hAnsiTheme="minorHAnsi" w:cstheme="minorBidi"/>
          <w:kern w:val="2"/>
          <w14:ligatures w14:val="standardContextual"/>
        </w:rPr>
        <w:t>The result: index funds own roughly 25% of the US stock market, and they have used that ownership to change essentially nothing about how corporations operate. Profit margins are at historic highs. Worker pay has stagnated. Executive compensation continues to climb. Environmental practices are largely unchanged. Why? Because the largest "owners" don't actually use their ownership to steer the companies. They just collect dividends and report performance.</w:t>
      </w:r>
    </w:p>
    <w:p w14:paraId="0B19114B" w14:textId="7075C7AF" w:rsidR="003B21C7" w:rsidRPr="003B21C7" w:rsidRDefault="003B21C7" w:rsidP="003B21C7">
      <w:pPr>
        <w:spacing w:after="160" w:line="278" w:lineRule="auto"/>
        <w:rPr>
          <w:rFonts w:asciiTheme="minorHAnsi" w:eastAsiaTheme="minorHAnsi" w:hAnsiTheme="minorHAnsi" w:cstheme="minorBidi"/>
          <w:kern w:val="2"/>
          <w14:ligatures w14:val="standardContextual"/>
        </w:rPr>
      </w:pPr>
      <w:r w:rsidRPr="003B21C7">
        <w:rPr>
          <w:rFonts w:asciiTheme="minorHAnsi" w:eastAsiaTheme="minorHAnsi" w:hAnsiTheme="minorHAnsi" w:cstheme="minorBidi"/>
          <w:kern w:val="2"/>
          <w14:ligatures w14:val="standardContextual"/>
        </w:rPr>
        <w:t xml:space="preserve">The </w:t>
      </w:r>
      <w:r w:rsidR="0064195B">
        <w:rPr>
          <w:rFonts w:asciiTheme="minorHAnsi" w:eastAsiaTheme="minorHAnsi" w:hAnsiTheme="minorHAnsi" w:cstheme="minorBidi"/>
          <w:kern w:val="2"/>
          <w14:ligatures w14:val="standardContextual"/>
        </w:rPr>
        <w:t>Fund</w:t>
      </w:r>
      <w:r w:rsidRPr="003B21C7">
        <w:rPr>
          <w:rFonts w:asciiTheme="minorHAnsi" w:eastAsiaTheme="minorHAnsi" w:hAnsiTheme="minorHAnsi" w:cstheme="minorBidi"/>
          <w:kern w:val="2"/>
          <w14:ligatures w14:val="standardContextual"/>
        </w:rPr>
        <w:t xml:space="preserve"> is the opposite. Its entire purpose is active ownership. It steers the companies it owns — toward fair wages, regional manufacturing, capped margins on essentials, transparent operations. Index funds are owners in name only. The </w:t>
      </w:r>
      <w:r w:rsidR="0064195B">
        <w:rPr>
          <w:rFonts w:asciiTheme="minorHAnsi" w:eastAsiaTheme="minorHAnsi" w:hAnsiTheme="minorHAnsi" w:cstheme="minorBidi"/>
          <w:kern w:val="2"/>
          <w14:ligatures w14:val="standardContextual"/>
        </w:rPr>
        <w:t>Fund</w:t>
      </w:r>
      <w:r w:rsidRPr="003B21C7">
        <w:rPr>
          <w:rFonts w:asciiTheme="minorHAnsi" w:eastAsiaTheme="minorHAnsi" w:hAnsiTheme="minorHAnsi" w:cstheme="minorBidi"/>
          <w:kern w:val="2"/>
          <w14:ligatures w14:val="standardContextual"/>
        </w:rPr>
        <w:t xml:space="preserve"> is an owner in fact.</w:t>
      </w:r>
    </w:p>
    <w:p w14:paraId="5BB9340D" w14:textId="02F7270C" w:rsidR="003B21C7" w:rsidRPr="003B21C7" w:rsidRDefault="003B21C7" w:rsidP="003B21C7">
      <w:pPr>
        <w:spacing w:after="160" w:line="278" w:lineRule="auto"/>
        <w:rPr>
          <w:rFonts w:asciiTheme="minorHAnsi" w:eastAsiaTheme="minorHAnsi" w:hAnsiTheme="minorHAnsi" w:cstheme="minorBidi"/>
          <w:kern w:val="2"/>
          <w14:ligatures w14:val="standardContextual"/>
        </w:rPr>
      </w:pPr>
      <w:r w:rsidRPr="003B21C7">
        <w:rPr>
          <w:rFonts w:asciiTheme="minorHAnsi" w:eastAsiaTheme="minorHAnsi" w:hAnsiTheme="minorHAnsi" w:cstheme="minorBidi"/>
          <w:kern w:val="2"/>
          <w14:ligatures w14:val="standardContextual"/>
        </w:rPr>
        <w:t xml:space="preserve">There's also a participation difference. To buy a Vanguard fund you typically need a bank account, internet access, often a minimum investment, and enough financial literacy to know what an index fund is. About 1.4 billion adults globally have no bank account. None of them participate in index funds. The </w:t>
      </w:r>
      <w:r w:rsidR="0064195B">
        <w:rPr>
          <w:rFonts w:asciiTheme="minorHAnsi" w:eastAsiaTheme="minorHAnsi" w:hAnsiTheme="minorHAnsi" w:cstheme="minorBidi"/>
          <w:kern w:val="2"/>
          <w14:ligatures w14:val="standardContextual"/>
        </w:rPr>
        <w:t>Fund</w:t>
      </w:r>
      <w:r w:rsidRPr="003B21C7">
        <w:rPr>
          <w:rFonts w:asciiTheme="minorHAnsi" w:eastAsiaTheme="minorHAnsi" w:hAnsiTheme="minorHAnsi" w:cstheme="minorBidi"/>
          <w:kern w:val="2"/>
          <w14:ligatures w14:val="standardContextual"/>
        </w:rPr>
        <w:t xml:space="preserve"> is designed for them too.</w:t>
      </w:r>
    </w:p>
    <w:p w14:paraId="6B0EAD56" w14:textId="77777777" w:rsidR="003B21C7" w:rsidRPr="003B21C7" w:rsidRDefault="003B21C7" w:rsidP="003B21C7">
      <w:pPr>
        <w:spacing w:after="160" w:line="278" w:lineRule="auto"/>
        <w:rPr>
          <w:rFonts w:asciiTheme="minorHAnsi" w:eastAsiaTheme="minorHAnsi" w:hAnsiTheme="minorHAnsi" w:cstheme="minorBidi"/>
          <w:kern w:val="2"/>
          <w14:ligatures w14:val="standardContextual"/>
        </w:rPr>
      </w:pPr>
      <w:r w:rsidRPr="003B21C7">
        <w:rPr>
          <w:rFonts w:asciiTheme="minorHAnsi" w:eastAsiaTheme="minorHAnsi" w:hAnsiTheme="minorHAnsi" w:cstheme="minorBidi"/>
          <w:b/>
          <w:bCs/>
          <w:kern w:val="2"/>
          <w14:ligatures w14:val="standardContextual"/>
        </w:rPr>
        <w:t>The fund is not a hedge fund or private equity firm.</w:t>
      </w:r>
    </w:p>
    <w:p w14:paraId="2D1CBB8C" w14:textId="77777777" w:rsidR="003B21C7" w:rsidRPr="003B21C7" w:rsidRDefault="003B21C7" w:rsidP="003B21C7">
      <w:pPr>
        <w:spacing w:after="160" w:line="278" w:lineRule="auto"/>
        <w:rPr>
          <w:rFonts w:asciiTheme="minorHAnsi" w:eastAsiaTheme="minorHAnsi" w:hAnsiTheme="minorHAnsi" w:cstheme="minorBidi"/>
          <w:kern w:val="2"/>
          <w14:ligatures w14:val="standardContextual"/>
        </w:rPr>
      </w:pPr>
      <w:r w:rsidRPr="003B21C7">
        <w:rPr>
          <w:rFonts w:asciiTheme="minorHAnsi" w:eastAsiaTheme="minorHAnsi" w:hAnsiTheme="minorHAnsi" w:cstheme="minorBidi"/>
          <w:kern w:val="2"/>
          <w14:ligatures w14:val="standardContextual"/>
        </w:rPr>
        <w:t>A hedge fund pools money from wealthy individuals and institutions and pursues high returns through aggressive trading, leverage, or specialized strategies. A private equity firm buys companies, often using debt, and tries to increase their value before reselling at a profit. Both serve their investors — who, almost without exception, are wealthy.</w:t>
      </w:r>
    </w:p>
    <w:p w14:paraId="4253B4B7" w14:textId="79073DBA" w:rsidR="003B21C7" w:rsidRPr="003B21C7" w:rsidRDefault="003B21C7" w:rsidP="003B21C7">
      <w:pPr>
        <w:spacing w:after="160" w:line="278" w:lineRule="auto"/>
        <w:rPr>
          <w:rFonts w:asciiTheme="minorHAnsi" w:eastAsiaTheme="minorHAnsi" w:hAnsiTheme="minorHAnsi" w:cstheme="minorBidi"/>
          <w:kern w:val="2"/>
          <w14:ligatures w14:val="standardContextual"/>
        </w:rPr>
      </w:pPr>
      <w:r w:rsidRPr="003B21C7">
        <w:rPr>
          <w:rFonts w:asciiTheme="minorHAnsi" w:eastAsiaTheme="minorHAnsi" w:hAnsiTheme="minorHAnsi" w:cstheme="minorBidi"/>
          <w:kern w:val="2"/>
          <w14:ligatures w14:val="standardContextual"/>
        </w:rPr>
        <w:t xml:space="preserve">The </w:t>
      </w:r>
      <w:r w:rsidR="0064195B">
        <w:rPr>
          <w:rFonts w:asciiTheme="minorHAnsi" w:eastAsiaTheme="minorHAnsi" w:hAnsiTheme="minorHAnsi" w:cstheme="minorBidi"/>
          <w:kern w:val="2"/>
          <w14:ligatures w14:val="standardContextual"/>
        </w:rPr>
        <w:t>Fund</w:t>
      </w:r>
      <w:r w:rsidRPr="003B21C7">
        <w:rPr>
          <w:rFonts w:asciiTheme="minorHAnsi" w:eastAsiaTheme="minorHAnsi" w:hAnsiTheme="minorHAnsi" w:cstheme="minorBidi"/>
          <w:kern w:val="2"/>
          <w14:ligatures w14:val="standardContextual"/>
        </w:rPr>
        <w:t xml:space="preserve"> is not optimized for return. It's optimized for </w:t>
      </w:r>
      <w:r w:rsidRPr="003B21C7">
        <w:rPr>
          <w:rFonts w:asciiTheme="minorHAnsi" w:eastAsiaTheme="minorHAnsi" w:hAnsiTheme="minorHAnsi" w:cstheme="minorBidi"/>
          <w:i/>
          <w:iCs/>
          <w:kern w:val="2"/>
          <w14:ligatures w14:val="standardContextual"/>
        </w:rPr>
        <w:t>who benefits</w:t>
      </w:r>
      <w:r w:rsidRPr="003B21C7">
        <w:rPr>
          <w:rFonts w:asciiTheme="minorHAnsi" w:eastAsiaTheme="minorHAnsi" w:hAnsiTheme="minorHAnsi" w:cstheme="minorBidi"/>
          <w:kern w:val="2"/>
          <w14:ligatures w14:val="standardContextual"/>
        </w:rPr>
        <w:t>. It accepts lower returns if those returns flow to everyone equally rather than higher returns flowing to a few. It accepts longer time horizons — measured in generations, not quarters — because its members aren't trying to time the market. It accepts lower-margin operations on essential goods because consumer welfare matters more than fund profits.</w:t>
      </w:r>
    </w:p>
    <w:p w14:paraId="20489591" w14:textId="6A9653F4" w:rsidR="003B21C7" w:rsidRPr="003B21C7" w:rsidRDefault="003B21C7" w:rsidP="003B21C7">
      <w:pPr>
        <w:spacing w:after="160" w:line="278" w:lineRule="auto"/>
        <w:rPr>
          <w:rFonts w:asciiTheme="minorHAnsi" w:eastAsiaTheme="minorHAnsi" w:hAnsiTheme="minorHAnsi" w:cstheme="minorBidi"/>
          <w:kern w:val="2"/>
          <w14:ligatures w14:val="standardContextual"/>
        </w:rPr>
      </w:pPr>
      <w:r w:rsidRPr="003B21C7">
        <w:rPr>
          <w:rFonts w:asciiTheme="minorHAnsi" w:eastAsiaTheme="minorHAnsi" w:hAnsiTheme="minorHAnsi" w:cstheme="minorBidi"/>
          <w:kern w:val="2"/>
          <w14:ligatures w14:val="standardContextual"/>
        </w:rPr>
        <w:t xml:space="preserve">Hedge funds would never operate this way. They couldn't — their investors expect returns competitive with the market. The </w:t>
      </w:r>
      <w:r w:rsidR="0064195B">
        <w:rPr>
          <w:rFonts w:asciiTheme="minorHAnsi" w:eastAsiaTheme="minorHAnsi" w:hAnsiTheme="minorHAnsi" w:cstheme="minorBidi"/>
          <w:kern w:val="2"/>
          <w14:ligatures w14:val="standardContextual"/>
        </w:rPr>
        <w:t>Fund</w:t>
      </w:r>
      <w:r w:rsidRPr="003B21C7">
        <w:rPr>
          <w:rFonts w:asciiTheme="minorHAnsi" w:eastAsiaTheme="minorHAnsi" w:hAnsiTheme="minorHAnsi" w:cstheme="minorBidi"/>
          <w:kern w:val="2"/>
          <w14:ligatures w14:val="standardContextual"/>
        </w:rPr>
        <w:t>'s "investors" expect something different: that the fund exists, that it pays them a meaningful dividend, and that it operates as a counterweight to concentrated corporate power. The fund's success is measured not in maximum returns but in how many people receive how much, and what that does to the economies they live in.</w:t>
      </w:r>
    </w:p>
    <w:p w14:paraId="1B9EA149" w14:textId="77777777" w:rsidR="003B21C7" w:rsidRPr="003B21C7" w:rsidRDefault="003B21C7" w:rsidP="003B21C7">
      <w:pPr>
        <w:spacing w:after="160" w:line="278" w:lineRule="auto"/>
        <w:rPr>
          <w:rFonts w:asciiTheme="minorHAnsi" w:eastAsiaTheme="minorHAnsi" w:hAnsiTheme="minorHAnsi" w:cstheme="minorBidi"/>
          <w:kern w:val="2"/>
          <w14:ligatures w14:val="standardContextual"/>
        </w:rPr>
      </w:pPr>
      <w:r w:rsidRPr="003B21C7">
        <w:rPr>
          <w:rFonts w:asciiTheme="minorHAnsi" w:eastAsiaTheme="minorHAnsi" w:hAnsiTheme="minorHAnsi" w:cstheme="minorBidi"/>
          <w:b/>
          <w:bCs/>
          <w:kern w:val="2"/>
          <w14:ligatures w14:val="standardContextual"/>
        </w:rPr>
        <w:t>The fund is not a charity.</w:t>
      </w:r>
    </w:p>
    <w:p w14:paraId="2F9E3D8B" w14:textId="6F5B50F5" w:rsidR="003B21C7" w:rsidRPr="003B21C7" w:rsidRDefault="003B21C7" w:rsidP="003B21C7">
      <w:pPr>
        <w:spacing w:after="160" w:line="278" w:lineRule="auto"/>
        <w:rPr>
          <w:rFonts w:asciiTheme="minorHAnsi" w:eastAsiaTheme="minorHAnsi" w:hAnsiTheme="minorHAnsi" w:cstheme="minorBidi"/>
          <w:kern w:val="2"/>
          <w14:ligatures w14:val="standardContextual"/>
        </w:rPr>
      </w:pPr>
      <w:r w:rsidRPr="003B21C7">
        <w:rPr>
          <w:rFonts w:asciiTheme="minorHAnsi" w:eastAsiaTheme="minorHAnsi" w:hAnsiTheme="minorHAnsi" w:cstheme="minorBidi"/>
          <w:kern w:val="2"/>
          <w14:ligatures w14:val="standardContextual"/>
        </w:rPr>
        <w:lastRenderedPageBreak/>
        <w:t xml:space="preserve">This is worth saying clearly because some readers will pattern-match the </w:t>
      </w:r>
      <w:r w:rsidR="0064195B">
        <w:rPr>
          <w:rFonts w:asciiTheme="minorHAnsi" w:eastAsiaTheme="minorHAnsi" w:hAnsiTheme="minorHAnsi" w:cstheme="minorBidi"/>
          <w:kern w:val="2"/>
          <w14:ligatures w14:val="standardContextual"/>
        </w:rPr>
        <w:t>Fund</w:t>
      </w:r>
      <w:r w:rsidRPr="003B21C7">
        <w:rPr>
          <w:rFonts w:asciiTheme="minorHAnsi" w:eastAsiaTheme="minorHAnsi" w:hAnsiTheme="minorHAnsi" w:cstheme="minorBidi"/>
          <w:kern w:val="2"/>
          <w14:ligatures w14:val="standardContextual"/>
        </w:rPr>
        <w:t xml:space="preserve"> to GiveDirectly or Oxfam or other organizations that collect money from people of means and distribute it to people in need. The model is fundamentally different.</w:t>
      </w:r>
    </w:p>
    <w:p w14:paraId="64ABD709" w14:textId="77777777" w:rsidR="003B21C7" w:rsidRPr="003B21C7" w:rsidRDefault="003B21C7" w:rsidP="003B21C7">
      <w:pPr>
        <w:spacing w:after="160" w:line="278" w:lineRule="auto"/>
        <w:rPr>
          <w:rFonts w:asciiTheme="minorHAnsi" w:eastAsiaTheme="minorHAnsi" w:hAnsiTheme="minorHAnsi" w:cstheme="minorBidi"/>
          <w:kern w:val="2"/>
          <w14:ligatures w14:val="standardContextual"/>
        </w:rPr>
      </w:pPr>
      <w:r w:rsidRPr="003B21C7">
        <w:rPr>
          <w:rFonts w:asciiTheme="minorHAnsi" w:eastAsiaTheme="minorHAnsi" w:hAnsiTheme="minorHAnsi" w:cstheme="minorBidi"/>
          <w:kern w:val="2"/>
          <w14:ligatures w14:val="standardContextual"/>
        </w:rPr>
        <w:t>A charity collects donations and gives them away. The money flows in one direction — from donors to recipients — and is consumed in the process. The donors don't get anything back materially; the recipients don't accumulate ownership of anything.</w:t>
      </w:r>
    </w:p>
    <w:p w14:paraId="2F65506F" w14:textId="650A79B1" w:rsidR="003B21C7" w:rsidRPr="003B21C7" w:rsidRDefault="003B21C7" w:rsidP="003B21C7">
      <w:pPr>
        <w:spacing w:after="160" w:line="278" w:lineRule="auto"/>
        <w:rPr>
          <w:rFonts w:asciiTheme="minorHAnsi" w:eastAsiaTheme="minorHAnsi" w:hAnsiTheme="minorHAnsi" w:cstheme="minorBidi"/>
          <w:kern w:val="2"/>
          <w14:ligatures w14:val="standardContextual"/>
        </w:rPr>
      </w:pPr>
      <w:r w:rsidRPr="003B21C7">
        <w:rPr>
          <w:rFonts w:asciiTheme="minorHAnsi" w:eastAsiaTheme="minorHAnsi" w:hAnsiTheme="minorHAnsi" w:cstheme="minorBidi"/>
          <w:kern w:val="2"/>
          <w14:ligatures w14:val="standardContextual"/>
        </w:rPr>
        <w:t xml:space="preserve">The </w:t>
      </w:r>
      <w:r w:rsidR="0064195B">
        <w:rPr>
          <w:rFonts w:asciiTheme="minorHAnsi" w:eastAsiaTheme="minorHAnsi" w:hAnsiTheme="minorHAnsi" w:cstheme="minorBidi"/>
          <w:kern w:val="2"/>
          <w14:ligatures w14:val="standardContextual"/>
        </w:rPr>
        <w:t>Fund</w:t>
      </w:r>
      <w:r w:rsidRPr="003B21C7">
        <w:rPr>
          <w:rFonts w:asciiTheme="minorHAnsi" w:eastAsiaTheme="minorHAnsi" w:hAnsiTheme="minorHAnsi" w:cstheme="minorBidi"/>
          <w:kern w:val="2"/>
          <w14:ligatures w14:val="standardContextual"/>
        </w:rPr>
        <w:t xml:space="preserve"> collects contributions and </w:t>
      </w:r>
      <w:r w:rsidRPr="003B21C7">
        <w:rPr>
          <w:rFonts w:asciiTheme="minorHAnsi" w:eastAsiaTheme="minorHAnsi" w:hAnsiTheme="minorHAnsi" w:cstheme="minorBidi"/>
          <w:i/>
          <w:iCs/>
          <w:kern w:val="2"/>
          <w14:ligatures w14:val="standardContextual"/>
        </w:rPr>
        <w:t>invests</w:t>
      </w:r>
      <w:r w:rsidRPr="003B21C7">
        <w:rPr>
          <w:rFonts w:asciiTheme="minorHAnsi" w:eastAsiaTheme="minorHAnsi" w:hAnsiTheme="minorHAnsi" w:cstheme="minorBidi"/>
          <w:kern w:val="2"/>
          <w14:ligatures w14:val="standardContextual"/>
        </w:rPr>
        <w:t xml:space="preserve"> them. Members are not donors and not recipients; they are co-owners. Their $1 a month buys them a share of a growing pool of productive assets that generates returns indefinitely. The dividend is not charity — it's a share of profits from companies the member partially owns. A person in Bangladesh who contributes $1 a month for 20 years isn't receiving charity from wealthy donors. They are receiving the return on capital they themselves contributed, alongside billions of others doing the same.</w:t>
      </w:r>
    </w:p>
    <w:p w14:paraId="149C4AF4" w14:textId="77777777" w:rsidR="003B21C7" w:rsidRPr="003B21C7" w:rsidRDefault="003B21C7" w:rsidP="003B21C7">
      <w:pPr>
        <w:spacing w:after="160" w:line="278" w:lineRule="auto"/>
        <w:rPr>
          <w:rFonts w:asciiTheme="minorHAnsi" w:eastAsiaTheme="minorHAnsi" w:hAnsiTheme="minorHAnsi" w:cstheme="minorBidi"/>
          <w:kern w:val="2"/>
          <w14:ligatures w14:val="standardContextual"/>
        </w:rPr>
      </w:pPr>
      <w:r w:rsidRPr="003B21C7">
        <w:rPr>
          <w:rFonts w:asciiTheme="minorHAnsi" w:eastAsiaTheme="minorHAnsi" w:hAnsiTheme="minorHAnsi" w:cstheme="minorBidi"/>
          <w:kern w:val="2"/>
          <w14:ligatures w14:val="standardContextual"/>
        </w:rPr>
        <w:t>The donation fund mentioned in Part 1 — where people of means can donate to cover the $1 contribution for people who can't afford it — is the only charitable element of the structure. But notice what it does: it converts donations into permanent ownership stakes for the people who couldn't otherwise participate. A donor's $12 a year buys someone a permanent share of the global economy.</w:t>
      </w:r>
    </w:p>
    <w:p w14:paraId="4AF43267" w14:textId="77777777" w:rsidR="003B21C7" w:rsidRPr="003B21C7" w:rsidRDefault="003B21C7" w:rsidP="003B21C7">
      <w:pPr>
        <w:spacing w:after="160" w:line="278" w:lineRule="auto"/>
        <w:rPr>
          <w:rFonts w:asciiTheme="minorHAnsi" w:eastAsiaTheme="minorHAnsi" w:hAnsiTheme="minorHAnsi" w:cstheme="minorBidi"/>
          <w:kern w:val="2"/>
          <w14:ligatures w14:val="standardContextual"/>
        </w:rPr>
      </w:pPr>
      <w:r w:rsidRPr="003B21C7">
        <w:rPr>
          <w:rFonts w:asciiTheme="minorHAnsi" w:eastAsiaTheme="minorHAnsi" w:hAnsiTheme="minorHAnsi" w:cstheme="minorBidi"/>
          <w:kern w:val="2"/>
          <w14:ligatures w14:val="standardContextual"/>
        </w:rPr>
        <w:t>Crucially, the donation is time-limited per recipient. Once the recipient's accumulated dividends grow large enough to cover their own $1 a month, they begin funding themselves from their share of fund profits. The donor's role ends; the recipient becomes a self-sustaining member. This is structurally different from traditional charity in two ways: the donation produces permanent ownership rather than temporary consumption, and the donation flow tapers off naturally as recipients become economically self-sufficient. A donor doesn't have to keep giving forever to keep the recipient afloat. The fund itself eventually replaces the donor.</w:t>
      </w:r>
    </w:p>
    <w:p w14:paraId="04745F79" w14:textId="77777777" w:rsidR="003B21C7" w:rsidRPr="003B21C7" w:rsidRDefault="003B21C7" w:rsidP="003B21C7">
      <w:pPr>
        <w:spacing w:after="160" w:line="278" w:lineRule="auto"/>
        <w:rPr>
          <w:rFonts w:asciiTheme="minorHAnsi" w:eastAsiaTheme="minorHAnsi" w:hAnsiTheme="minorHAnsi" w:cstheme="minorBidi"/>
          <w:kern w:val="2"/>
          <w14:ligatures w14:val="standardContextual"/>
        </w:rPr>
      </w:pPr>
      <w:r w:rsidRPr="003B21C7">
        <w:rPr>
          <w:rFonts w:asciiTheme="minorHAnsi" w:eastAsiaTheme="minorHAnsi" w:hAnsiTheme="minorHAnsi" w:cstheme="minorBidi"/>
          <w:b/>
          <w:bCs/>
          <w:kern w:val="2"/>
          <w14:ligatures w14:val="standardContextual"/>
        </w:rPr>
        <w:t>The fund is closest to a global Mondragón.</w:t>
      </w:r>
    </w:p>
    <w:p w14:paraId="7F7F586E" w14:textId="77777777" w:rsidR="003B21C7" w:rsidRPr="003B21C7" w:rsidRDefault="003B21C7" w:rsidP="003B21C7">
      <w:pPr>
        <w:spacing w:after="160" w:line="278" w:lineRule="auto"/>
        <w:rPr>
          <w:rFonts w:asciiTheme="minorHAnsi" w:eastAsiaTheme="minorHAnsi" w:hAnsiTheme="minorHAnsi" w:cstheme="minorBidi"/>
          <w:kern w:val="2"/>
          <w14:ligatures w14:val="standardContextual"/>
        </w:rPr>
      </w:pPr>
      <w:r w:rsidRPr="003B21C7">
        <w:rPr>
          <w:rFonts w:asciiTheme="minorHAnsi" w:eastAsiaTheme="minorHAnsi" w:hAnsiTheme="minorHAnsi" w:cstheme="minorBidi"/>
          <w:kern w:val="2"/>
          <w14:ligatures w14:val="standardContextual"/>
        </w:rPr>
        <w:t>In 1956, in the Basque town of Mondragón in northern Spain, a Catholic priest named José María Arizmendiarrieta started a worker cooperative making paraffin heaters. Today, that experiment has grown into the Mondragón Corporation — a federation of 95 cooperatives employing over 70,000 people, generating €11 billion in annual revenue, operating in finance, retail, manufacturing, and technology, with its own university and its own bank.</w:t>
      </w:r>
    </w:p>
    <w:p w14:paraId="76272F09" w14:textId="77777777" w:rsidR="003B21C7" w:rsidRDefault="003B21C7" w:rsidP="003B21C7">
      <w:pPr>
        <w:spacing w:after="160" w:line="278" w:lineRule="auto"/>
        <w:rPr>
          <w:rFonts w:asciiTheme="minorHAnsi" w:eastAsiaTheme="minorHAnsi" w:hAnsiTheme="minorHAnsi" w:cstheme="minorBidi"/>
          <w:kern w:val="2"/>
          <w14:ligatures w14:val="standardContextual"/>
        </w:rPr>
      </w:pPr>
      <w:r w:rsidRPr="003B21C7">
        <w:rPr>
          <w:rFonts w:asciiTheme="minorHAnsi" w:eastAsiaTheme="minorHAnsi" w:hAnsiTheme="minorHAnsi" w:cstheme="minorBidi"/>
          <w:kern w:val="2"/>
          <w14:ligatures w14:val="standardContextual"/>
        </w:rPr>
        <w:t xml:space="preserve">Mondragón cooperatives are owned by their workers, not by external shareholders. Decisions are made democratically: one worker, one vote, regardless of seniority. Profits are reinvested in the cooperatives, distributed among workers, or contributed to </w:t>
      </w:r>
      <w:r w:rsidRPr="003B21C7">
        <w:rPr>
          <w:rFonts w:asciiTheme="minorHAnsi" w:eastAsiaTheme="minorHAnsi" w:hAnsiTheme="minorHAnsi" w:cstheme="minorBidi"/>
          <w:kern w:val="2"/>
          <w14:ligatures w14:val="standardContextual"/>
        </w:rPr>
        <w:lastRenderedPageBreak/>
        <w:t>community development. When economic downturns hit, workers are transferred between cooperatives rather than laid off. When new ventures launch, the cooperative bank provides patient capital.</w:t>
      </w:r>
    </w:p>
    <w:p w14:paraId="1AEBEF07" w14:textId="53AEDB7D" w:rsidR="003B21C7" w:rsidRPr="003B21C7" w:rsidRDefault="003B21C7" w:rsidP="003B21C7">
      <w:pPr>
        <w:spacing w:after="160" w:line="278" w:lineRule="auto"/>
        <w:rPr>
          <w:rFonts w:asciiTheme="minorHAnsi" w:eastAsiaTheme="minorHAnsi" w:hAnsiTheme="minorHAnsi" w:cstheme="minorBidi"/>
          <w:kern w:val="2"/>
          <w14:ligatures w14:val="standardContextual"/>
        </w:rPr>
      </w:pPr>
      <w:r w:rsidRPr="003B21C7">
        <w:rPr>
          <w:rFonts w:asciiTheme="minorHAnsi" w:eastAsiaTheme="minorHAnsi" w:hAnsiTheme="minorHAnsi" w:cstheme="minorBidi"/>
          <w:kern w:val="2"/>
          <w14:ligatures w14:val="standardContextual"/>
        </w:rPr>
        <w:t>Mondragón is not a thought experiment. It's a working institution, sixty-nine years old, operating in markets and competing with conventional capitalist firms. It hasn't taken over the Spanish economy or even the Basque economy, but it has proven that democratically-owned competitive enterprises can survive and grow at scale.</w:t>
      </w:r>
    </w:p>
    <w:p w14:paraId="683DADC4" w14:textId="2C92052F" w:rsidR="003B21C7" w:rsidRPr="003B21C7" w:rsidRDefault="003B21C7" w:rsidP="003B21C7">
      <w:pPr>
        <w:spacing w:after="160" w:line="278" w:lineRule="auto"/>
        <w:rPr>
          <w:rFonts w:asciiTheme="minorHAnsi" w:eastAsiaTheme="minorHAnsi" w:hAnsiTheme="minorHAnsi" w:cstheme="minorBidi"/>
          <w:kern w:val="2"/>
          <w14:ligatures w14:val="standardContextual"/>
        </w:rPr>
      </w:pPr>
      <w:r w:rsidRPr="003B21C7">
        <w:rPr>
          <w:rFonts w:asciiTheme="minorHAnsi" w:eastAsiaTheme="minorHAnsi" w:hAnsiTheme="minorHAnsi" w:cstheme="minorBidi"/>
          <w:kern w:val="2"/>
          <w14:ligatures w14:val="standardContextual"/>
        </w:rPr>
        <w:t xml:space="preserve">The </w:t>
      </w:r>
      <w:r w:rsidR="0064195B">
        <w:rPr>
          <w:rFonts w:asciiTheme="minorHAnsi" w:eastAsiaTheme="minorHAnsi" w:hAnsiTheme="minorHAnsi" w:cstheme="minorBidi"/>
          <w:kern w:val="2"/>
          <w14:ligatures w14:val="standardContextual"/>
        </w:rPr>
        <w:t>Fund</w:t>
      </w:r>
      <w:r w:rsidRPr="003B21C7">
        <w:rPr>
          <w:rFonts w:asciiTheme="minorHAnsi" w:eastAsiaTheme="minorHAnsi" w:hAnsiTheme="minorHAnsi" w:cstheme="minorBidi"/>
          <w:kern w:val="2"/>
          <w14:ligatures w14:val="standardContextual"/>
        </w:rPr>
        <w:t xml:space="preserve"> applies Mondragón's principles to a different unit. Instead of "the workers in this factory own this company" the principle becomes "every human being on earth owns one share of the global productive system." The structure scales from a regional federation of workers to a planetary federation of citizens.</w:t>
      </w:r>
    </w:p>
    <w:p w14:paraId="21402A52" w14:textId="1A081C63" w:rsidR="003B21C7" w:rsidRPr="003B21C7" w:rsidRDefault="003B21C7" w:rsidP="003B21C7">
      <w:pPr>
        <w:spacing w:after="160" w:line="278" w:lineRule="auto"/>
        <w:rPr>
          <w:rFonts w:asciiTheme="minorHAnsi" w:eastAsiaTheme="minorHAnsi" w:hAnsiTheme="minorHAnsi" w:cstheme="minorBidi"/>
          <w:kern w:val="2"/>
          <w14:ligatures w14:val="standardContextual"/>
        </w:rPr>
      </w:pPr>
      <w:r w:rsidRPr="003B21C7">
        <w:rPr>
          <w:rFonts w:asciiTheme="minorHAnsi" w:eastAsiaTheme="minorHAnsi" w:hAnsiTheme="minorHAnsi" w:cstheme="minorBidi"/>
          <w:kern w:val="2"/>
          <w14:ligatures w14:val="standardContextual"/>
        </w:rPr>
        <w:t xml:space="preserve">There are real differences. Mondragón members are typically workers in Mondragón cooperatives; their stake is tied to their labor. The </w:t>
      </w:r>
      <w:r w:rsidR="0064195B">
        <w:rPr>
          <w:rFonts w:asciiTheme="minorHAnsi" w:eastAsiaTheme="minorHAnsi" w:hAnsiTheme="minorHAnsi" w:cstheme="minorBidi"/>
          <w:kern w:val="2"/>
          <w14:ligatures w14:val="standardContextual"/>
        </w:rPr>
        <w:t>Fund</w:t>
      </w:r>
      <w:r w:rsidRPr="003B21C7">
        <w:rPr>
          <w:rFonts w:asciiTheme="minorHAnsi" w:eastAsiaTheme="minorHAnsi" w:hAnsiTheme="minorHAnsi" w:cstheme="minorBidi"/>
          <w:kern w:val="2"/>
          <w14:ligatures w14:val="standardContextual"/>
        </w:rPr>
        <w:t xml:space="preserve"> members are humans, regardless of whether they work in fund-owned companies or not. Mondragón decisions happen in physical assemblies in the Basque Country. The </w:t>
      </w:r>
      <w:r w:rsidR="0064195B">
        <w:rPr>
          <w:rFonts w:asciiTheme="minorHAnsi" w:eastAsiaTheme="minorHAnsi" w:hAnsiTheme="minorHAnsi" w:cstheme="minorBidi"/>
          <w:kern w:val="2"/>
          <w14:ligatures w14:val="standardContextual"/>
        </w:rPr>
        <w:t>Fund</w:t>
      </w:r>
      <w:r w:rsidRPr="003B21C7">
        <w:rPr>
          <w:rFonts w:asciiTheme="minorHAnsi" w:eastAsiaTheme="minorHAnsi" w:hAnsiTheme="minorHAnsi" w:cstheme="minorBidi"/>
          <w:kern w:val="2"/>
          <w14:ligatures w14:val="standardContextual"/>
        </w:rPr>
        <w:t xml:space="preserve"> decisions happen digitally across 194 countries. Mondragón has built itself over seven decades; the </w:t>
      </w:r>
      <w:r w:rsidR="0064195B">
        <w:rPr>
          <w:rFonts w:asciiTheme="minorHAnsi" w:eastAsiaTheme="minorHAnsi" w:hAnsiTheme="minorHAnsi" w:cstheme="minorBidi"/>
          <w:kern w:val="2"/>
          <w14:ligatures w14:val="standardContextual"/>
        </w:rPr>
        <w:t>Fund</w:t>
      </w:r>
      <w:r w:rsidRPr="003B21C7">
        <w:rPr>
          <w:rFonts w:asciiTheme="minorHAnsi" w:eastAsiaTheme="minorHAnsi" w:hAnsiTheme="minorHAnsi" w:cstheme="minorBidi"/>
          <w:kern w:val="2"/>
          <w14:ligatures w14:val="standardContextual"/>
        </w:rPr>
        <w:t xml:space="preserve"> proposes to build itself in three.</w:t>
      </w:r>
    </w:p>
    <w:p w14:paraId="35A457C4" w14:textId="7C12EDAE" w:rsidR="003B21C7" w:rsidRPr="003B21C7" w:rsidRDefault="003B21C7" w:rsidP="003B21C7">
      <w:pPr>
        <w:spacing w:after="160" w:line="278" w:lineRule="auto"/>
        <w:rPr>
          <w:rFonts w:asciiTheme="minorHAnsi" w:eastAsiaTheme="minorHAnsi" w:hAnsiTheme="minorHAnsi" w:cstheme="minorBidi"/>
          <w:kern w:val="2"/>
          <w14:ligatures w14:val="standardContextual"/>
        </w:rPr>
      </w:pPr>
      <w:r w:rsidRPr="003B21C7">
        <w:rPr>
          <w:rFonts w:asciiTheme="minorHAnsi" w:eastAsiaTheme="minorHAnsi" w:hAnsiTheme="minorHAnsi" w:cstheme="minorBidi"/>
          <w:kern w:val="2"/>
          <w14:ligatures w14:val="standardContextual"/>
        </w:rPr>
        <w:t xml:space="preserve">These differences make the </w:t>
      </w:r>
      <w:r w:rsidR="0064195B">
        <w:rPr>
          <w:rFonts w:asciiTheme="minorHAnsi" w:eastAsiaTheme="minorHAnsi" w:hAnsiTheme="minorHAnsi" w:cstheme="minorBidi"/>
          <w:kern w:val="2"/>
          <w14:ligatures w14:val="standardContextual"/>
        </w:rPr>
        <w:t>Fund</w:t>
      </w:r>
      <w:r w:rsidRPr="003B21C7">
        <w:rPr>
          <w:rFonts w:asciiTheme="minorHAnsi" w:eastAsiaTheme="minorHAnsi" w:hAnsiTheme="minorHAnsi" w:cstheme="minorBidi"/>
          <w:kern w:val="2"/>
          <w14:ligatures w14:val="standardContextual"/>
        </w:rPr>
        <w:t xml:space="preserve"> a more ambitious experiment. They don't make it implausible. What Mondragón shows is that citizen ownership at significant scale is not utopian fantasy — it's been operating in northern Spain for two-thirds of a century. What the </w:t>
      </w:r>
      <w:r w:rsidR="0064195B">
        <w:rPr>
          <w:rFonts w:asciiTheme="minorHAnsi" w:eastAsiaTheme="minorHAnsi" w:hAnsiTheme="minorHAnsi" w:cstheme="minorBidi"/>
          <w:kern w:val="2"/>
          <w14:ligatures w14:val="standardContextual"/>
        </w:rPr>
        <w:t>Fund</w:t>
      </w:r>
      <w:r w:rsidRPr="003B21C7">
        <w:rPr>
          <w:rFonts w:asciiTheme="minorHAnsi" w:eastAsiaTheme="minorHAnsi" w:hAnsiTheme="minorHAnsi" w:cstheme="minorBidi"/>
          <w:kern w:val="2"/>
          <w14:ligatures w14:val="standardContextual"/>
        </w:rPr>
        <w:t xml:space="preserve"> proposes is that the same principle, technologically enabled and globally federated, can serve everyone.</w:t>
      </w:r>
    </w:p>
    <w:p w14:paraId="7CC7DB15" w14:textId="77777777" w:rsidR="003B21C7" w:rsidRPr="003B21C7" w:rsidRDefault="003B21C7" w:rsidP="003B21C7">
      <w:pPr>
        <w:spacing w:after="160" w:line="278" w:lineRule="auto"/>
        <w:rPr>
          <w:rFonts w:asciiTheme="minorHAnsi" w:eastAsiaTheme="minorHAnsi" w:hAnsiTheme="minorHAnsi" w:cstheme="minorBidi"/>
          <w:kern w:val="2"/>
          <w14:ligatures w14:val="standardContextual"/>
        </w:rPr>
      </w:pPr>
      <w:r w:rsidRPr="003B21C7">
        <w:rPr>
          <w:rFonts w:asciiTheme="minorHAnsi" w:eastAsiaTheme="minorHAnsi" w:hAnsiTheme="minorHAnsi" w:cstheme="minorBidi"/>
          <w:b/>
          <w:bCs/>
          <w:kern w:val="2"/>
          <w14:ligatures w14:val="standardContextual"/>
        </w:rPr>
        <w:t>Why this matters for the rest of Part 2</w:t>
      </w:r>
    </w:p>
    <w:p w14:paraId="1A2CAF84" w14:textId="77777777" w:rsidR="003B21C7" w:rsidRPr="003B21C7" w:rsidRDefault="003B21C7" w:rsidP="003B21C7">
      <w:pPr>
        <w:spacing w:after="160" w:line="278" w:lineRule="auto"/>
        <w:rPr>
          <w:rFonts w:asciiTheme="minorHAnsi" w:eastAsiaTheme="minorHAnsi" w:hAnsiTheme="minorHAnsi" w:cstheme="minorBidi"/>
          <w:kern w:val="2"/>
          <w14:ligatures w14:val="standardContextual"/>
        </w:rPr>
      </w:pPr>
      <w:r w:rsidRPr="003B21C7">
        <w:rPr>
          <w:rFonts w:asciiTheme="minorHAnsi" w:eastAsiaTheme="minorHAnsi" w:hAnsiTheme="minorHAnsi" w:cstheme="minorBidi"/>
          <w:kern w:val="2"/>
          <w14:ligatures w14:val="standardContextual"/>
        </w:rPr>
        <w:t>Each of the next six articles addresses a specific question — what the fund owns, how it competes, how the money flows, how it gets built, what stops it from being corrupted, what the first decade looks like. But all of those questions assume an institutional category that doesn't quite exist in the world yet. The fund is its own category.</w:t>
      </w:r>
    </w:p>
    <w:p w14:paraId="3F560A3C" w14:textId="77777777" w:rsidR="003B21C7" w:rsidRPr="003B21C7" w:rsidRDefault="003B21C7" w:rsidP="003B21C7">
      <w:pPr>
        <w:spacing w:after="160" w:line="278" w:lineRule="auto"/>
        <w:rPr>
          <w:rFonts w:asciiTheme="minorHAnsi" w:eastAsiaTheme="minorHAnsi" w:hAnsiTheme="minorHAnsi" w:cstheme="minorBidi"/>
          <w:kern w:val="2"/>
          <w14:ligatures w14:val="standardContextual"/>
        </w:rPr>
      </w:pPr>
      <w:r w:rsidRPr="003B21C7">
        <w:rPr>
          <w:rFonts w:asciiTheme="minorHAnsi" w:eastAsiaTheme="minorHAnsi" w:hAnsiTheme="minorHAnsi" w:cstheme="minorBidi"/>
          <w:kern w:val="2"/>
          <w14:ligatures w14:val="standardContextual"/>
        </w:rPr>
        <w:t>When you read about how the fund competes with private companies in sub-article 4, you can't think of it as a hedge fund fighting for returns or an index fund passively along for the ride. You have to think of it as something new: a permanent, citizen-owned, mission-driven, democratically-governed federation of productive enterprises, competing with private capital on grounds where its structural advantages compound over decades.</w:t>
      </w:r>
    </w:p>
    <w:p w14:paraId="62D36AE0" w14:textId="77777777" w:rsidR="003B21C7" w:rsidRPr="003B21C7" w:rsidRDefault="003B21C7" w:rsidP="003B21C7">
      <w:pPr>
        <w:spacing w:after="160" w:line="278" w:lineRule="auto"/>
        <w:rPr>
          <w:rFonts w:asciiTheme="minorHAnsi" w:eastAsiaTheme="minorHAnsi" w:hAnsiTheme="minorHAnsi" w:cstheme="minorBidi"/>
          <w:kern w:val="2"/>
          <w14:ligatures w14:val="standardContextual"/>
        </w:rPr>
      </w:pPr>
      <w:r w:rsidRPr="003B21C7">
        <w:rPr>
          <w:rFonts w:asciiTheme="minorHAnsi" w:eastAsiaTheme="minorHAnsi" w:hAnsiTheme="minorHAnsi" w:cstheme="minorBidi"/>
          <w:kern w:val="2"/>
          <w14:ligatures w14:val="standardContextual"/>
        </w:rPr>
        <w:t xml:space="preserve">When you read about governance in sub-article 7, you can't think of it as a corporation's board or a charity's trustees or a sovereign wealth fund's investment committee. You have </w:t>
      </w:r>
      <w:r w:rsidRPr="003B21C7">
        <w:rPr>
          <w:rFonts w:asciiTheme="minorHAnsi" w:eastAsiaTheme="minorHAnsi" w:hAnsiTheme="minorHAnsi" w:cstheme="minorBidi"/>
          <w:kern w:val="2"/>
          <w14:ligatures w14:val="standardContextual"/>
        </w:rPr>
        <w:lastRenderedPageBreak/>
        <w:t>to think of it as a global federation of co-owners, with all the deliberative complexity that implies.</w:t>
      </w:r>
    </w:p>
    <w:p w14:paraId="63B7ED5D" w14:textId="77777777" w:rsidR="003B21C7" w:rsidRDefault="003B21C7" w:rsidP="003B21C7">
      <w:pPr>
        <w:spacing w:after="160" w:line="278" w:lineRule="auto"/>
        <w:rPr>
          <w:rFonts w:asciiTheme="minorHAnsi" w:eastAsiaTheme="minorHAnsi" w:hAnsiTheme="minorHAnsi" w:cstheme="minorBidi"/>
          <w:kern w:val="2"/>
          <w14:ligatures w14:val="standardContextual"/>
        </w:rPr>
      </w:pPr>
      <w:r w:rsidRPr="003B21C7">
        <w:rPr>
          <w:rFonts w:asciiTheme="minorHAnsi" w:eastAsiaTheme="minorHAnsi" w:hAnsiTheme="minorHAnsi" w:cstheme="minorBidi"/>
          <w:kern w:val="2"/>
          <w14:ligatures w14:val="standardContextual"/>
        </w:rPr>
        <w:t>The fund is not any of the things you already know. That's the point. The world doesn't yet have the institution we need. Part 2 is about whether we can build it.</w:t>
      </w:r>
    </w:p>
    <w:p w14:paraId="10012A1B" w14:textId="77777777" w:rsidR="00FF6C8D" w:rsidRDefault="00FF6C8D" w:rsidP="003B21C7">
      <w:pPr>
        <w:spacing w:after="160" w:line="278" w:lineRule="auto"/>
        <w:rPr>
          <w:rFonts w:asciiTheme="minorHAnsi" w:eastAsiaTheme="minorHAnsi" w:hAnsiTheme="minorHAnsi" w:cstheme="minorBidi"/>
          <w:kern w:val="2"/>
          <w14:ligatures w14:val="standardContextual"/>
        </w:rPr>
      </w:pPr>
    </w:p>
    <w:p w14:paraId="35746A3F" w14:textId="77559FC0" w:rsidR="00FF6C8D" w:rsidRPr="00FF6C8D" w:rsidRDefault="00FF6C8D" w:rsidP="003B21C7">
      <w:pPr>
        <w:spacing w:after="160" w:line="278" w:lineRule="auto"/>
        <w:rPr>
          <w:rFonts w:asciiTheme="minorHAnsi" w:eastAsiaTheme="minorHAnsi" w:hAnsiTheme="minorHAnsi" w:cstheme="minorBidi"/>
          <w:b/>
          <w:bCs/>
          <w:kern w:val="2"/>
          <w14:ligatures w14:val="standardContextual"/>
        </w:rPr>
      </w:pPr>
      <w:r w:rsidRPr="00FF6C8D">
        <w:rPr>
          <w:rFonts w:asciiTheme="minorHAnsi" w:eastAsiaTheme="minorHAnsi" w:hAnsiTheme="minorHAnsi" w:cstheme="minorBidi"/>
          <w:b/>
          <w:bCs/>
          <w:kern w:val="2"/>
          <w14:ligatures w14:val="standardContextual"/>
        </w:rPr>
        <w:t>SUBARTICLE 3</w:t>
      </w:r>
    </w:p>
    <w:p w14:paraId="7F0962E9"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b/>
          <w:bCs/>
          <w:kern w:val="2"/>
          <w14:ligatures w14:val="standardContextual"/>
        </w:rPr>
        <w:t>What the Fund Owns and How That Grows</w:t>
      </w:r>
    </w:p>
    <w:p w14:paraId="262478C9" w14:textId="7B859538"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 xml:space="preserve">The most common misconception about the </w:t>
      </w:r>
      <w:r w:rsidR="0064195B">
        <w:rPr>
          <w:rFonts w:asciiTheme="minorHAnsi" w:eastAsiaTheme="minorHAnsi" w:hAnsiTheme="minorHAnsi" w:cstheme="minorBidi"/>
          <w:kern w:val="2"/>
          <w14:ligatures w14:val="standardContextual"/>
        </w:rPr>
        <w:t>Fund</w:t>
      </w:r>
      <w:r w:rsidRPr="00FF6C8D">
        <w:rPr>
          <w:rFonts w:asciiTheme="minorHAnsi" w:eastAsiaTheme="minorHAnsi" w:hAnsiTheme="minorHAnsi" w:cstheme="minorBidi"/>
          <w:kern w:val="2"/>
          <w14:ligatures w14:val="standardContextual"/>
        </w:rPr>
        <w:t xml:space="preserve"> is that it tries to own everything. It doesn't. It owns specific things in a specific order, for specific reasons, and there are entire categories of economic activity it deliberately enters last or not at all.</w:t>
      </w:r>
    </w:p>
    <w:p w14:paraId="603A7F53"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 xml:space="preserve">This article walks through what the fund actually holds across three decades — what it acquires first, what it acquires later, what it leaves to private capital indefinitely. The numbers in Part 1's dividend math don't make sense without this picture. A reader who finishes Part 1 thinking "the fund will eventually own the Forbes Global 2000" has only half the story. The interesting question isn't whether the fund grows. It's </w:t>
      </w:r>
      <w:r w:rsidRPr="00FF6C8D">
        <w:rPr>
          <w:rFonts w:asciiTheme="minorHAnsi" w:eastAsiaTheme="minorHAnsi" w:hAnsiTheme="minorHAnsi" w:cstheme="minorBidi"/>
          <w:i/>
          <w:iCs/>
          <w:kern w:val="2"/>
          <w14:ligatures w14:val="standardContextual"/>
        </w:rPr>
        <w:t>which</w:t>
      </w:r>
      <w:r w:rsidRPr="00FF6C8D">
        <w:rPr>
          <w:rFonts w:asciiTheme="minorHAnsi" w:eastAsiaTheme="minorHAnsi" w:hAnsiTheme="minorHAnsi" w:cstheme="minorBidi"/>
          <w:kern w:val="2"/>
          <w14:ligatures w14:val="standardContextual"/>
        </w:rPr>
        <w:t xml:space="preserve"> industries it enters, in </w:t>
      </w:r>
      <w:r w:rsidRPr="00FF6C8D">
        <w:rPr>
          <w:rFonts w:asciiTheme="minorHAnsi" w:eastAsiaTheme="minorHAnsi" w:hAnsiTheme="minorHAnsi" w:cstheme="minorBidi"/>
          <w:i/>
          <w:iCs/>
          <w:kern w:val="2"/>
          <w14:ligatures w14:val="standardContextual"/>
        </w:rPr>
        <w:t>what order</w:t>
      </w:r>
      <w:r w:rsidRPr="00FF6C8D">
        <w:rPr>
          <w:rFonts w:asciiTheme="minorHAnsi" w:eastAsiaTheme="minorHAnsi" w:hAnsiTheme="minorHAnsi" w:cstheme="minorBidi"/>
          <w:kern w:val="2"/>
          <w14:ligatures w14:val="standardContextual"/>
        </w:rPr>
        <w:t xml:space="preserve">, and </w:t>
      </w:r>
      <w:r w:rsidRPr="00FF6C8D">
        <w:rPr>
          <w:rFonts w:asciiTheme="minorHAnsi" w:eastAsiaTheme="minorHAnsi" w:hAnsiTheme="minorHAnsi" w:cstheme="minorBidi"/>
          <w:i/>
          <w:iCs/>
          <w:kern w:val="2"/>
          <w14:ligatures w14:val="standardContextual"/>
        </w:rPr>
        <w:t>why</w:t>
      </w:r>
      <w:r w:rsidRPr="00FF6C8D">
        <w:rPr>
          <w:rFonts w:asciiTheme="minorHAnsi" w:eastAsiaTheme="minorHAnsi" w:hAnsiTheme="minorHAnsi" w:cstheme="minorBidi"/>
          <w:kern w:val="2"/>
          <w14:ligatures w14:val="standardContextual"/>
        </w:rPr>
        <w:t>.</w:t>
      </w:r>
    </w:p>
    <w:p w14:paraId="3F3377DB"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b/>
          <w:bCs/>
          <w:kern w:val="2"/>
          <w14:ligatures w14:val="standardContextual"/>
        </w:rPr>
        <w:t>The first principle: one company per industry</w:t>
      </w:r>
    </w:p>
    <w:p w14:paraId="3489EB32"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The fund's design rule, stated in Part 1, is one company per industry. Not all the companies. Not zero companies. One.</w:t>
      </w:r>
    </w:p>
    <w:p w14:paraId="2A10A074"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That number is doing real work. If the fund owned zero companies in a given industry, it would have no influence on that industry's wages, prices, supply chains, or labor practices. The fund would be a passive investor — exactly what index funds already are and what we've established doesn't change anything.</w:t>
      </w:r>
    </w:p>
    <w:p w14:paraId="5AE839F6"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 xml:space="preserve">If the fund owned all the companies in a given industry, it would be a monopoly. Worse, it would be a </w:t>
      </w:r>
      <w:r w:rsidRPr="00FF6C8D">
        <w:rPr>
          <w:rFonts w:asciiTheme="minorHAnsi" w:eastAsiaTheme="minorHAnsi" w:hAnsiTheme="minorHAnsi" w:cstheme="minorBidi"/>
          <w:i/>
          <w:iCs/>
          <w:kern w:val="2"/>
          <w14:ligatures w14:val="standardContextual"/>
        </w:rPr>
        <w:t>democratically governed</w:t>
      </w:r>
      <w:r w:rsidRPr="00FF6C8D">
        <w:rPr>
          <w:rFonts w:asciiTheme="minorHAnsi" w:eastAsiaTheme="minorHAnsi" w:hAnsiTheme="minorHAnsi" w:cstheme="minorBidi"/>
          <w:kern w:val="2"/>
          <w14:ligatures w14:val="standardContextual"/>
        </w:rPr>
        <w:t xml:space="preserve"> monopoly, which sounds appealing until you remember that democratically governed monopolies still suppress innovation, still develop bureaucratic inertia, and still concentrate power even when the power is held collectively. Mondragón doesn't own all the cooperatives in the Basque Country. It owns 95 of them, alongside private competitors. That's the principle.</w:t>
      </w:r>
    </w:p>
    <w:p w14:paraId="1A047892"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 xml:space="preserve">One company per industry means the fund is a meaningful competitor — large enough that its wage policies, pricing decisions, and labor practices set a floor that private competitors have to respond to — without becoming the sole provider. Consumers still have choice. Workers can still leave fund companies for private ones, or the reverse. Innovation still </w:t>
      </w:r>
      <w:r w:rsidRPr="00FF6C8D">
        <w:rPr>
          <w:rFonts w:asciiTheme="minorHAnsi" w:eastAsiaTheme="minorHAnsi" w:hAnsiTheme="minorHAnsi" w:cstheme="minorBidi"/>
          <w:kern w:val="2"/>
          <w14:ligatures w14:val="standardContextual"/>
        </w:rPr>
        <w:lastRenderedPageBreak/>
        <w:t>comes from many sources. The fund is the participant that pulls the industry toward better outcomes, not the participant that defines all outcomes.</w:t>
      </w:r>
    </w:p>
    <w:p w14:paraId="38924996"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In practice, "one company" might mean a single corporate entity at fund-sized scale, or it might mean a cluster of smaller fund-owned firms operating in the same industry. The principle is about market share: somewhere in the range of 15-30% of an industry, not 70% and not 5%. Enough to matter. Not enough to dominate.</w:t>
      </w:r>
    </w:p>
    <w:p w14:paraId="5F1DE372"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b/>
          <w:bCs/>
          <w:kern w:val="2"/>
          <w14:ligatures w14:val="standardContextual"/>
        </w:rPr>
        <w:t>Wave 1: essentials and financial infrastructure (Years 1-8)</w:t>
      </w:r>
    </w:p>
    <w:p w14:paraId="18AB7218"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The fund's first wave runs on two parallel tracks. Both have to happen at once because neither works without the other.</w:t>
      </w:r>
    </w:p>
    <w:p w14:paraId="0444C8DB"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b/>
          <w:bCs/>
          <w:kern w:val="2"/>
          <w14:ligatures w14:val="standardContextual"/>
        </w:rPr>
        <w:t>Track A: Essential goods.</w:t>
      </w:r>
    </w:p>
    <w:p w14:paraId="5DDA2DA2"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Essential goods are the natural entry point for the fund. Food, basic medicine, water utilities, basic consumer staples — these share three properties that make them ideal for fund entry.</w:t>
      </w:r>
    </w:p>
    <w:p w14:paraId="161582E9"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First, demand is stable. People buy food and medicine in good economies and bad. Fund-owned essentials companies generate consistent cash flow that compounds into capital for the next acquisition.</w:t>
      </w:r>
    </w:p>
    <w:p w14:paraId="524BDD11"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Second, consumer preference for fund-owned products is strongest in essentials. A person choosing between fund-owned bread and private bread is choosing where their grocery money goes when they're already spending it. The dividend feedback loop works most clearly here: more spending on fund products produces more fund profits which produce larger dividends which produce more reason for consumers to choose fund products, and the cycle repeats.</w:t>
      </w:r>
    </w:p>
    <w:p w14:paraId="436CA666"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Third, the political case for the fund's existence is most defensible in essentials. "We exist to make medicine affordable" is a winning political argument that survives most attacks. "We exist to make luxury handbags affordable" isn't — that conversation comes later, and in a very different framing.</w:t>
      </w:r>
    </w:p>
    <w:p w14:paraId="3A386D00"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The implied Wave 1 essential goods portfolio:</w:t>
      </w:r>
    </w:p>
    <w:p w14:paraId="21BA5997" w14:textId="77777777" w:rsidR="00FF6C8D" w:rsidRPr="00FF6C8D" w:rsidRDefault="00FF6C8D" w:rsidP="00FF6C8D">
      <w:pPr>
        <w:numPr>
          <w:ilvl w:val="0"/>
          <w:numId w:val="13"/>
        </w:num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Basic pharmaceuticals (generic drugs, essential medicines on WHO lists)</w:t>
      </w:r>
    </w:p>
    <w:p w14:paraId="050BBF5D" w14:textId="77777777" w:rsidR="00FF6C8D" w:rsidRPr="00FF6C8D" w:rsidRDefault="00FF6C8D" w:rsidP="00FF6C8D">
      <w:pPr>
        <w:numPr>
          <w:ilvl w:val="0"/>
          <w:numId w:val="13"/>
        </w:num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Staple food production and processing (grains, oils, dairy, basic packaged foods)</w:t>
      </w:r>
    </w:p>
    <w:p w14:paraId="2EB90D88" w14:textId="77777777" w:rsidR="00FF6C8D" w:rsidRPr="00FF6C8D" w:rsidRDefault="00FF6C8D" w:rsidP="00FF6C8D">
      <w:pPr>
        <w:numPr>
          <w:ilvl w:val="0"/>
          <w:numId w:val="13"/>
        </w:num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Water and basic utilities, where local regulation permits private operators</w:t>
      </w:r>
    </w:p>
    <w:p w14:paraId="0C48DD78" w14:textId="77777777" w:rsidR="00FF6C8D" w:rsidRPr="00FF6C8D" w:rsidRDefault="00FF6C8D" w:rsidP="00FF6C8D">
      <w:pPr>
        <w:numPr>
          <w:ilvl w:val="0"/>
          <w:numId w:val="13"/>
        </w:num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Basic housing materials (cement, steel for housing, basic fixtures)</w:t>
      </w:r>
    </w:p>
    <w:p w14:paraId="62650DDF" w14:textId="77777777" w:rsidR="00FF6C8D" w:rsidRPr="00FF6C8D" w:rsidRDefault="00FF6C8D" w:rsidP="00FF6C8D">
      <w:pPr>
        <w:numPr>
          <w:ilvl w:val="0"/>
          <w:numId w:val="13"/>
        </w:num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lastRenderedPageBreak/>
        <w:t>Affordable consumer staples (soap, basic hygiene products, household basics)</w:t>
      </w:r>
    </w:p>
    <w:p w14:paraId="59D21693"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These industries share another property: many existing competitors, often consolidated into a few large players, but no single firm at unreachable scale. The fund can acquire one of those existing players, or build a new entrant, without immediately dominating any industry. With cumulative contributions plus reinvested profits, the fund has the capital to enter these markets meaningfully within the first decade.</w:t>
      </w:r>
    </w:p>
    <w:p w14:paraId="6BB8FB30"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b/>
          <w:bCs/>
          <w:kern w:val="2"/>
          <w14:ligatures w14:val="standardContextual"/>
        </w:rPr>
        <w:t>Track B: Financial infrastructure.</w:t>
      </w:r>
    </w:p>
    <w:p w14:paraId="32894EF5"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This track is less obvious to readers but possibly more important. The fund cannot operate without its own financial backbone, and that backbone has to exist from day one.</w:t>
      </w:r>
    </w:p>
    <w:p w14:paraId="58A6E3D8"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Here's the threat the fund faces. International finance currently runs on infrastructure dominated by US institutions: the SWIFT messaging system, the dollar-denominated correspondent banking network, and US Treasury's OFAC sanctions regime. If the fund grows large enough to be perceived as a threat to US financial primacy, the US can arbitrarily add the fund's entities to its sanctions list, pressure SWIFT to disconnect them, and pressure correspondent banks worldwide to refuse fund accounts. About 88% of international transactions touch the dollar at some point. The fund cannot exist as a serious institution if its existence depends on the goodwill of a single government's financial infrastructure.</w:t>
      </w:r>
    </w:p>
    <w:p w14:paraId="157FC351"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The defensive answer is to build fund-owned financial infrastructure before it's needed. Specifically: a fund-owned digital bank in each country where the fund operates, headquartered in that country, regulated by that country's central bank, fully compliant with local law.</w:t>
      </w:r>
    </w:p>
    <w:p w14:paraId="6174B8D7"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The model is similar to how Nu Bank entered Colombia and Brazil. They started with a single product — a credit card — operating purely digitally with no physical branches. After demonstrating safety and gaining regulatory trust, they expanded into savings accounts, then small loans at competitive rates, then a full digital banking license. The fund could follow the same path: enter each country with a single product (likely savings accounts and small loans), build a customer base and regulatory standing, then expand into broader financial services.</w:t>
      </w:r>
    </w:p>
    <w:p w14:paraId="55E3F5B5"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This approach raises money where it already lives. A member in Indonesia contributes $1 per month to the fund's Indonesian digital bank. That money stays in Indonesia, denominated in rupiah, until the fund needs to deploy it. There's no need for a daily cross-border transfer that could be blocked. Funds move internationally only when an acquisition requires it, and only between countries friendly to fund operations.</w:t>
      </w:r>
    </w:p>
    <w:p w14:paraId="25560649"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lastRenderedPageBreak/>
        <w:t>It also makes the fund difficult to shut down. If any government tries to ban fund operations, that government would have to ban a popular consumer bank that pays competitive rates and serves people the major banks won't serve. The political cost of doing that — angering millions of customers whose financial life depends on the fund's bank — is high enough that even hostile governments would hesitate. The fund's first defense against political attack is its own customers.</w:t>
      </w:r>
    </w:p>
    <w:p w14:paraId="703BD6B7"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b/>
          <w:bCs/>
          <w:kern w:val="2"/>
          <w14:ligatures w14:val="standardContextual"/>
        </w:rPr>
        <w:t>How the bank actually operates: participation rather than interest extraction</w:t>
      </w:r>
    </w:p>
    <w:p w14:paraId="42A90D29"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The fund's bank operates on a fundamentally different model than conventional banks. This is worth explaining because it shapes everything else the bank does.</w:t>
      </w:r>
    </w:p>
    <w:p w14:paraId="6A6AC046"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Conventional banks earn most of their profit from the spread between what they pay depositors (very little) and what they charge borrowers (substantially more). A US retail bank might pay 0.5% on savings while charging 7% on personal loans, 22% on credit cards, and 12% on mortgages. The spread is the structural source of banking profit. It isn't compensation for productive work — banks don't grow grain or build chairs. It's compensation for the privilege of operating in the middle of the money flow.</w:t>
      </w:r>
    </w:p>
    <w:p w14:paraId="1C5F2A3A"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Worse, banks don't lend their own money. They lend depositor money, and through fractional reserve banking they lend many times more than they actually hold. When a bank issues a loan, it creates new deposit money on its balance sheet that didn't exist before. A homeowner paying $500,000 in interest over 30 years on a $400,000 mortgage isn't paying for the use of someone else's $400,000 — they're paying $500,000 of their lifetime productive labor to the bank in exchange for the bank's permission to live in a house. This dynamic, over generations, is one of the most powerful mechanisms in modern economics for concentrating wealth upward.</w:t>
      </w:r>
    </w:p>
    <w:p w14:paraId="09E3C306"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The fund's mission is to redistribute power and reduce extractive transactions. Operating a conventional interest-spread bank would contradict that mission with one hand while the dividends try to fix it with the other. So the fund's bank uses a different model.</w:t>
      </w:r>
    </w:p>
    <w:p w14:paraId="01BD6964"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i/>
          <w:iCs/>
          <w:kern w:val="2"/>
          <w14:ligatures w14:val="standardContextual"/>
        </w:rPr>
        <w:t>Savings accounts share the bank's actual profits.</w:t>
      </w:r>
      <w:r w:rsidRPr="00FF6C8D">
        <w:rPr>
          <w:rFonts w:asciiTheme="minorHAnsi" w:eastAsiaTheme="minorHAnsi" w:hAnsiTheme="minorHAnsi" w:cstheme="minorBidi"/>
          <w:kern w:val="2"/>
          <w14:ligatures w14:val="standardContextual"/>
        </w:rPr>
        <w:t xml:space="preserve"> Members deposit money with the fund's bank. The bank doesn't pay predetermined interest. Instead, depositors receive a share of the bank's actual profits from its lending and investment activities. The bank targets returns equivalent to local inflation plus a modest premium, but the payments are structured as profit-sharing rather than guaranteed interest. In good years, depositors earn more; in difficult years, they earn less. The bank's performance and what depositors receive are transparently connected.</w:t>
      </w:r>
    </w:p>
    <w:p w14:paraId="5A80DB3F"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i/>
          <w:iCs/>
          <w:kern w:val="2"/>
          <w14:ligatures w14:val="standardContextual"/>
        </w:rPr>
        <w:t>Lending to businesses takes the form of equity investment with buyback rights.</w:t>
      </w:r>
      <w:r w:rsidRPr="00FF6C8D">
        <w:rPr>
          <w:rFonts w:asciiTheme="minorHAnsi" w:eastAsiaTheme="minorHAnsi" w:hAnsiTheme="minorHAnsi" w:cstheme="minorBidi"/>
          <w:kern w:val="2"/>
          <w14:ligatures w14:val="standardContextual"/>
        </w:rPr>
        <w:t xml:space="preserve"> When a small business needs capital to start or grow, the bank doesn't issue an interest-bearing </w:t>
      </w:r>
      <w:r w:rsidRPr="00FF6C8D">
        <w:rPr>
          <w:rFonts w:asciiTheme="minorHAnsi" w:eastAsiaTheme="minorHAnsi" w:hAnsiTheme="minorHAnsi" w:cstheme="minorBidi"/>
          <w:kern w:val="2"/>
          <w14:ligatures w14:val="standardContextual"/>
        </w:rPr>
        <w:lastRenderedPageBreak/>
        <w:t>loan. The bank evaluates the business, performs proper risk assessment, and invests as a partner. The bank takes an equity stake proportional to the capital provided and shares in profits and losses going forward. The founder can buy back the bank's stake at any time at the business's market value, recovering full ownership. If the business fails, the bank loses its investment alongside the founder. If it thrives, the bank earns its return through dividends and buyback proceeds. This is what venture capital does for high-growth startups; the fund's innovation is to apply this model to ordinary small businesses that traditionally take on interest-bearing debt.</w:t>
      </w:r>
    </w:p>
    <w:p w14:paraId="1C67E964"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i/>
          <w:iCs/>
          <w:kern w:val="2"/>
          <w14:ligatures w14:val="standardContextual"/>
        </w:rPr>
        <w:t>Fund-aligned businesses receive zero-cost capital.</w:t>
      </w:r>
      <w:r w:rsidRPr="00FF6C8D">
        <w:rPr>
          <w:rFonts w:asciiTheme="minorHAnsi" w:eastAsiaTheme="minorHAnsi" w:hAnsiTheme="minorHAnsi" w:cstheme="minorBidi"/>
          <w:kern w:val="2"/>
          <w14:ligatures w14:val="standardContextual"/>
        </w:rPr>
        <w:t xml:space="preserve"> If a local business sources from fund-owned suppliers — a restaurant buying from fund-owned food producers, a clinic stocking fund-owned generic pharmaceuticals, a construction firm using fund-owned cement — the fund's bank provides capital without seeking direct return. The bank's "return" comes indirectly, through additional revenue flowing to fund-owned suppliers downstream. This creates a self-reinforcing ecosystem: cheap capital draws aligned businesses, aligned businesses route demand to fund-owned suppliers, suppliers grow profits, profits return as dividends.</w:t>
      </w:r>
    </w:p>
    <w:p w14:paraId="59716237"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i/>
          <w:iCs/>
          <w:kern w:val="2"/>
          <w14:ligatures w14:val="standardContextual"/>
        </w:rPr>
        <w:t>The bank operates investor marketplaces.</w:t>
      </w:r>
      <w:r w:rsidRPr="00FF6C8D">
        <w:rPr>
          <w:rFonts w:asciiTheme="minorHAnsi" w:eastAsiaTheme="minorHAnsi" w:hAnsiTheme="minorHAnsi" w:cstheme="minorBidi"/>
          <w:kern w:val="2"/>
          <w14:ligatures w14:val="standardContextual"/>
        </w:rPr>
        <w:t xml:space="preserve"> Members can directly fund other members' business ventures through the bank's platform. The bank verifies businesses, performs due diligence, and provides legal infrastructure, but the primary capital comes from willing members. The bank may co-invest alongside members on terms that signal its confidence, but it doesn't take all the risk. This model is similar to how equity crowdfunding works, operating inside the fund's ecosystem with fund members as the capital pool.</w:t>
      </w:r>
    </w:p>
    <w:p w14:paraId="6DD1BD5B"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i/>
          <w:iCs/>
          <w:kern w:val="2"/>
          <w14:ligatures w14:val="standardContextual"/>
        </w:rPr>
        <w:t>Operating costs are covered by productive activity, not by interest spread.</w:t>
      </w:r>
      <w:r w:rsidRPr="00FF6C8D">
        <w:rPr>
          <w:rFonts w:asciiTheme="minorHAnsi" w:eastAsiaTheme="minorHAnsi" w:hAnsiTheme="minorHAnsi" w:cstheme="minorBidi"/>
          <w:kern w:val="2"/>
          <w14:ligatures w14:val="standardContextual"/>
        </w:rPr>
        <w:t xml:space="preserve"> The bank earns from its equity investments when businesses succeed. It earns transaction fees on payment processing, currency conversion, and remittances. It earns from its card network operations (described below). It earns modest service fees on specialized banking services like financial advisory or business account management. Unlike a conventional standalone bank that must be profitable on interest spread alone, the fund's bank operates within the broader fund — its costs are covered by productive returns rather than by extracting value from borrowers.</w:t>
      </w:r>
    </w:p>
    <w:p w14:paraId="225A430C"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 xml:space="preserve">Taken together, these banking products produce a structural distinction worth naming clearly. </w:t>
      </w:r>
      <w:r w:rsidRPr="00FF6C8D">
        <w:rPr>
          <w:rFonts w:asciiTheme="minorHAnsi" w:eastAsiaTheme="minorHAnsi" w:hAnsiTheme="minorHAnsi" w:cstheme="minorBidi"/>
          <w:b/>
          <w:bCs/>
          <w:kern w:val="2"/>
          <w14:ligatures w14:val="standardContextual"/>
        </w:rPr>
        <w:t>The fund competes with global businesses and supports local businesses.</w:t>
      </w:r>
      <w:r w:rsidRPr="00FF6C8D">
        <w:rPr>
          <w:rFonts w:asciiTheme="minorHAnsi" w:eastAsiaTheme="minorHAnsi" w:hAnsiTheme="minorHAnsi" w:cstheme="minorBidi"/>
          <w:kern w:val="2"/>
          <w14:ligatures w14:val="standardContextual"/>
        </w:rPr>
        <w:t xml:space="preserve"> The fund's competitive force is directed at the multinational corporations and financial institutions that currently extract value from consumers worldwide. The fund's enabling force is directed at the local entrepreneurs, small businesses, restaurants, clinics, workshops, and family enterprises that are the actual economic life of communities </w:t>
      </w:r>
      <w:r w:rsidRPr="00FF6C8D">
        <w:rPr>
          <w:rFonts w:asciiTheme="minorHAnsi" w:eastAsiaTheme="minorHAnsi" w:hAnsiTheme="minorHAnsi" w:cstheme="minorBidi"/>
          <w:kern w:val="2"/>
          <w14:ligatures w14:val="standardContextual"/>
        </w:rPr>
        <w:lastRenderedPageBreak/>
        <w:t xml:space="preserve">everywhere. A local restaurant sourcing from fund-owned food producers gets cheaper capital than competitors that don't. A local clinic stocking fund-owned generics can offer lower prices to its patients. A family workshop using fund-owned cement and basic materials can compete with imported alternatives. The fund grows by competing upward against concentrated corporate power; it grows the broader economy by enabling outward across millions of local enterprises that are part of its ecosystem. This distinction matters because the populist critique of "global institutions destroying local economies" is exactly inverted in the fund's design — the fund is the global institution that </w:t>
      </w:r>
      <w:r w:rsidRPr="00FF6C8D">
        <w:rPr>
          <w:rFonts w:asciiTheme="minorHAnsi" w:eastAsiaTheme="minorHAnsi" w:hAnsiTheme="minorHAnsi" w:cstheme="minorBidi"/>
          <w:i/>
          <w:iCs/>
          <w:kern w:val="2"/>
          <w14:ligatures w14:val="standardContextual"/>
        </w:rPr>
        <w:t>strengthens</w:t>
      </w:r>
      <w:r w:rsidRPr="00FF6C8D">
        <w:rPr>
          <w:rFonts w:asciiTheme="minorHAnsi" w:eastAsiaTheme="minorHAnsi" w:hAnsiTheme="minorHAnsi" w:cstheme="minorBidi"/>
          <w:kern w:val="2"/>
          <w14:ligatures w14:val="standardContextual"/>
        </w:rPr>
        <w:t xml:space="preserve"> local economies, by redirecting the value currently captured by multinational corporations back into communities where people actually live and work.</w:t>
      </w:r>
    </w:p>
    <w:p w14:paraId="7BCAE7EA"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b/>
          <w:bCs/>
          <w:kern w:val="2"/>
          <w14:ligatures w14:val="standardContextual"/>
        </w:rPr>
        <w:t>The card network: a fund-owned alternative to Visa and Mastercard</w:t>
      </w:r>
    </w:p>
    <w:p w14:paraId="323003EE"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Part of the bank's Wave 1 build-out is a global card network competing with Visa and Mastercard. The case for this is strong on multiple grounds.</w:t>
      </w:r>
    </w:p>
    <w:p w14:paraId="771387F7"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Currently when a consumer pays with a credit card, the merchant doesn't receive the full sale price. The fee is split among issuing banks (1.5-2.5% in the US, 0.3% in the EU after their interchange cap), card networks (about 0.15%), and payment processors (0.3-1%). Merchants typically pay 2-4% per transaction in the US, less in regulated markets. Globally this aggregates to hundreds of billions of dollars per year flowing from merchants — and ultimately from consumers through baked-in prices — to a handful of US-controlled payment infrastructure companies.</w:t>
      </w:r>
    </w:p>
    <w:p w14:paraId="43540C03"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A fund-owned card network charges merchants a substantially lower fee, perhaps 1% total. This is operationally feasible — India's UPI handles 11 billion transactions per month at essentially zero merchant cost; Brazil's Pix operates similarly. The technology exists; what hasn't existed is a global network operating with the fund's incentive structure rather than profit maximization.</w:t>
      </w:r>
    </w:p>
    <w:p w14:paraId="0A5D9D8B"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At meaningful scale, the economics work cleanly. If the fund's card network reaches 5% of global card volume by Year 15 — perhaps $1.5 trillion annually — and charges 1% instead of 3%, it generates $15 billion in revenue covering operations, fraud prevention, and infrastructure, while saving merchants $30 billion. Those merchant savings flow into lower consumer prices.</w:t>
      </w:r>
    </w:p>
    <w:p w14:paraId="447197CA"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 xml:space="preserve">The strategic value extends beyond the direct economics. </w:t>
      </w:r>
      <w:r w:rsidRPr="00FF6C8D">
        <w:rPr>
          <w:rFonts w:asciiTheme="minorHAnsi" w:eastAsiaTheme="minorHAnsi" w:hAnsiTheme="minorHAnsi" w:cstheme="minorBidi"/>
          <w:b/>
          <w:bCs/>
          <w:kern w:val="2"/>
          <w14:ligatures w14:val="standardContextual"/>
        </w:rPr>
        <w:t>A fund-owned card network gives the fund operational independence from US-controlled payment infrastructure.</w:t>
      </w:r>
      <w:r w:rsidRPr="00FF6C8D">
        <w:rPr>
          <w:rFonts w:asciiTheme="minorHAnsi" w:eastAsiaTheme="minorHAnsi" w:hAnsiTheme="minorHAnsi" w:cstheme="minorBidi"/>
          <w:kern w:val="2"/>
          <w14:ligatures w14:val="standardContextual"/>
        </w:rPr>
        <w:t xml:space="preserve"> Visa and Mastercard rails can be cut off by political pressure; the fund's own rails cannot. The card network is part of the same financial-autonomy strategy as the digital banks.</w:t>
      </w:r>
    </w:p>
    <w:p w14:paraId="54D9065C"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lastRenderedPageBreak/>
        <w:t>For consumer convenience, the fund's card offers installment payment options structured as deferred-sale transactions rather than interest-bearing loans. Short installments (up to 90 days) are provided free as a card benefit, financed by merchant fees on those transactions. Longer installments use a different structure: when the consumer chooses to pay over time, the bank effectively purchases the item and resells it to the consumer at a fixed total price, payable in monthly installments. The total price is known upfront; there is no compounding; lateness produces administrative fees but does not grow the principal. The markup over the cash price reflects the bank's cost of capital and inflation protection, calibrated by purchase category — minimal for essentials (medical care, education, basic appliances), market rate for discretionary purchases (consumer electronics, travel, luxury goods).</w:t>
      </w:r>
    </w:p>
    <w:p w14:paraId="24D5D96E"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For larger productive purchases — a small business buying equipment, a family acquiring an income-generating asset — the bank offers a profit-sharing alternative. The bank co-owns the asset with the borrower and receives a percentage of the income it generates for a defined period, capped at a total return. When the cap is reached or the period ends, ownership transfers fully to the borrower. This is structurally identical to the equity investment model used for new businesses, just extended to asset financing.</w:t>
      </w:r>
    </w:p>
    <w:p w14:paraId="3B031AEA"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Two tracks together produce Wave 1: by Year 8, the fund operates digital banks across dozens of countries, runs a global card network at fair merchant fees, holds meaningful share in essential goods industries, and has accumulated enough reinvested profit to fund the next wave's acquisitions. Members have started receiving dividends. The fund has demonstrated that it works as a real institution.</w:t>
      </w:r>
    </w:p>
    <w:p w14:paraId="012C6791"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b/>
          <w:bCs/>
          <w:kern w:val="2"/>
          <w14:ligatures w14:val="standardContextual"/>
        </w:rPr>
        <w:t>The margin trajectory: how the fund expands during Wave 1</w:t>
      </w:r>
    </w:p>
    <w:p w14:paraId="1F8DD003"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A common question at this point: where does the capital for further acquisitions come from? Member contributions of $1 a month, even at 8 billion members, produce only about $96 billion a year. Major acquisitions cost more than that. So how does the fund grow faster than its contribution income would allow?</w:t>
      </w:r>
    </w:p>
    <w:p w14:paraId="1E71CE9F"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The answer is the margin trajectory.</w:t>
      </w:r>
    </w:p>
    <w:p w14:paraId="0F106C57"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The fund's long-term policy, established in Part 1, is to cap profit margins at 10% on industries where current margins exceed that threshold. But the fund doesn't immediately compress margins on acquisition. It does so gradually, and uses the difference between competitor-margin and fund-target-margin to fund expansion during the transition.</w:t>
      </w:r>
    </w:p>
    <w:p w14:paraId="0418F4C7"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 xml:space="preserve">Here's how this works in practice. Suppose the fund acquires a company in an industry currently operating at 20% net profit margins. The acquired company generates, say, $10 billion a year in profit. The fund's dividend policy distributes profits equivalent to the </w:t>
      </w:r>
      <w:r w:rsidRPr="00FF6C8D">
        <w:rPr>
          <w:rFonts w:asciiTheme="minorHAnsi" w:eastAsiaTheme="minorHAnsi" w:hAnsiTheme="minorHAnsi" w:cstheme="minorBidi"/>
          <w:kern w:val="2"/>
          <w14:ligatures w14:val="standardContextual"/>
        </w:rPr>
        <w:lastRenderedPageBreak/>
        <w:t>eventual 10% margin level — so members receive dividends as if the company were earning 5 billion. The remaining $5 billion is reinvested into expansion: acquiring more companies, building infrastructure, supporting fund operations.</w:t>
      </w:r>
    </w:p>
    <w:p w14:paraId="4C7323BD"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In Year 2, the fund lowers the company's margin to 19%. Consumer prices drop slightly. Profits fall to $9.5 billion. The fund still distributes dividends at the 10% equivalent ($5 billion). The reinvestment pool from this company is $4.5 billion.</w:t>
      </w:r>
    </w:p>
    <w:p w14:paraId="782ED6A5"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In Year 3, margin drops to 18%. Profits $9 billion. Dividends still $5 billion. Reinvestment $4 billion.</w:t>
      </w:r>
    </w:p>
    <w:p w14:paraId="37ED7D64"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The fund continues this trajectory for ten years. By Year 11, the company's margin is at 10%. Profits are $5 billion. Dividends are $5 billion. There is no additional reinvestment from this company — but by now, the fund has used the cumulative reinvestment from the prior decade to acquire additional companies, each of which generates its own margin-trajectory reinvestment stream.</w:t>
      </w:r>
    </w:p>
    <w:p w14:paraId="2CF02C23"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The compounding effect is significant. A company that would have produced $10 billion a year in dividends to private shareholders produces, in this model, about $50 billion in reinvestment across the ten-year transition. That $50 billion buys other companies, which produce their own reinvestment streams, which buy yet more companies. The fund's expansion is fueled by the gap between current industry margins and its eventual margin target.</w:t>
      </w:r>
    </w:p>
    <w:p w14:paraId="14DA0725"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Three things to notice about this design.</w:t>
      </w:r>
    </w:p>
    <w:p w14:paraId="0B50D469"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 xml:space="preserve">First, </w:t>
      </w:r>
      <w:r w:rsidRPr="00FF6C8D">
        <w:rPr>
          <w:rFonts w:asciiTheme="minorHAnsi" w:eastAsiaTheme="minorHAnsi" w:hAnsiTheme="minorHAnsi" w:cstheme="minorBidi"/>
          <w:b/>
          <w:bCs/>
          <w:kern w:val="2"/>
          <w14:ligatures w14:val="standardContextual"/>
        </w:rPr>
        <w:t>members feel no dividend cut during the transition</w:t>
      </w:r>
      <w:r w:rsidRPr="00FF6C8D">
        <w:rPr>
          <w:rFonts w:asciiTheme="minorHAnsi" w:eastAsiaTheme="minorHAnsi" w:hAnsiTheme="minorHAnsi" w:cstheme="minorBidi"/>
          <w:kern w:val="2"/>
          <w14:ligatures w14:val="standardContextual"/>
        </w:rPr>
        <w:t>. They receive dividends from day one at the level the fund will eventually sustain at full operation. The reinvestment is invisible to them because it's coming from a margin reduction they wouldn't have seen anyway.</w:t>
      </w:r>
    </w:p>
    <w:p w14:paraId="36F17BF0"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 xml:space="preserve">Second, </w:t>
      </w:r>
      <w:r w:rsidRPr="00FF6C8D">
        <w:rPr>
          <w:rFonts w:asciiTheme="minorHAnsi" w:eastAsiaTheme="minorHAnsi" w:hAnsiTheme="minorHAnsi" w:cstheme="minorBidi"/>
          <w:b/>
          <w:bCs/>
          <w:kern w:val="2"/>
          <w14:ligatures w14:val="standardContextual"/>
        </w:rPr>
        <w:t>consumer prices fall gradually rather than suddenly</w:t>
      </w:r>
      <w:r w:rsidRPr="00FF6C8D">
        <w:rPr>
          <w:rFonts w:asciiTheme="minorHAnsi" w:eastAsiaTheme="minorHAnsi" w:hAnsiTheme="minorHAnsi" w:cstheme="minorBidi"/>
          <w:kern w:val="2"/>
          <w14:ligatures w14:val="standardContextual"/>
        </w:rPr>
        <w:t>. A 1% margin reduction per year is barely perceptible to consumers. Private competitors have time to adjust, governments don't panic, supply chains don't shock. The fund's mission of lowering essential prices proceeds without triggering an emergency response from anyone.</w:t>
      </w:r>
    </w:p>
    <w:p w14:paraId="692C7E14"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 xml:space="preserve">Third, </w:t>
      </w:r>
      <w:r w:rsidRPr="00FF6C8D">
        <w:rPr>
          <w:rFonts w:asciiTheme="minorHAnsi" w:eastAsiaTheme="minorHAnsi" w:hAnsiTheme="minorHAnsi" w:cstheme="minorBidi"/>
          <w:b/>
          <w:bCs/>
          <w:kern w:val="2"/>
          <w14:ligatures w14:val="standardContextual"/>
        </w:rPr>
        <w:t>the fund self-funds its expansion</w:t>
      </w:r>
      <w:r w:rsidRPr="00FF6C8D">
        <w:rPr>
          <w:rFonts w:asciiTheme="minorHAnsi" w:eastAsiaTheme="minorHAnsi" w:hAnsiTheme="minorHAnsi" w:cstheme="minorBidi"/>
          <w:kern w:val="2"/>
          <w14:ligatures w14:val="standardContextual"/>
        </w:rPr>
        <w:t xml:space="preserve"> during precisely the years when it most needs capital. Wave 1 is the period when the fund has to acquire many companies quickly to establish credibility and scale. The margin trajectory provides the cash flow that makes this possible.</w:t>
      </w:r>
    </w:p>
    <w:p w14:paraId="6AEDA193"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 xml:space="preserve">One caveat: this only works for industries where the fund acquires a company operating at higher-than-target margins. For industries already at 10% or below — commodity </w:t>
      </w:r>
      <w:r w:rsidRPr="00FF6C8D">
        <w:rPr>
          <w:rFonts w:asciiTheme="minorHAnsi" w:eastAsiaTheme="minorHAnsi" w:hAnsiTheme="minorHAnsi" w:cstheme="minorBidi"/>
          <w:kern w:val="2"/>
          <w14:ligatures w14:val="standardContextual"/>
        </w:rPr>
        <w:lastRenderedPageBreak/>
        <w:t>manufacturing, basic consumer goods with thin margins — there's no margin compression and no extra reinvestment stream. The fund operates at industry norm from day one. This is one reason why entering high-margin industries early (essentials, basic pharma) is strategically important: those are the industries that generate the reinvestment that funds entry into the lower-margin ones.</w:t>
      </w:r>
    </w:p>
    <w:p w14:paraId="395C7C37"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b/>
          <w:bCs/>
          <w:kern w:val="2"/>
          <w14:ligatures w14:val="standardContextual"/>
        </w:rPr>
        <w:t>Wave 2: labor-intensive industries and healthcare services (Years 8-18)</w:t>
      </w:r>
    </w:p>
    <w:p w14:paraId="2C160E8B"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With Wave 1 cash flow and the margin-trajectory reinvestment compounding, the fund enters labor-intensive industries and healthcare services.</w:t>
      </w:r>
    </w:p>
    <w:p w14:paraId="6538A5B0"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Labor-intensive industries are where the manufacturing redistribution from Part 3 becomes operational:</w:t>
      </w:r>
    </w:p>
    <w:p w14:paraId="49393DCF" w14:textId="77777777" w:rsidR="00FF6C8D" w:rsidRPr="00FF6C8D" w:rsidRDefault="00FF6C8D" w:rsidP="00FF6C8D">
      <w:pPr>
        <w:numPr>
          <w:ilvl w:val="0"/>
          <w:numId w:val="14"/>
        </w:num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Textiles and apparel manufacturing</w:t>
      </w:r>
    </w:p>
    <w:p w14:paraId="3405051E" w14:textId="77777777" w:rsidR="00FF6C8D" w:rsidRPr="00FF6C8D" w:rsidRDefault="00FF6C8D" w:rsidP="00FF6C8D">
      <w:pPr>
        <w:numPr>
          <w:ilvl w:val="0"/>
          <w:numId w:val="14"/>
        </w:num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Furniture and home goods</w:t>
      </w:r>
    </w:p>
    <w:p w14:paraId="3FA21E59" w14:textId="77777777" w:rsidR="00FF6C8D" w:rsidRPr="00FF6C8D" w:rsidRDefault="00FF6C8D" w:rsidP="00FF6C8D">
      <w:pPr>
        <w:numPr>
          <w:ilvl w:val="0"/>
          <w:numId w:val="14"/>
        </w:num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Consumer electronics assembly (not chip design — just assembly)</w:t>
      </w:r>
    </w:p>
    <w:p w14:paraId="49731CFD" w14:textId="77777777" w:rsidR="00FF6C8D" w:rsidRPr="00FF6C8D" w:rsidRDefault="00FF6C8D" w:rsidP="00FF6C8D">
      <w:pPr>
        <w:numPr>
          <w:ilvl w:val="0"/>
          <w:numId w:val="14"/>
        </w:num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Vehicle parts and basic automotive components</w:t>
      </w:r>
    </w:p>
    <w:p w14:paraId="602BFBE3" w14:textId="77777777" w:rsidR="00FF6C8D" w:rsidRPr="00FF6C8D" w:rsidRDefault="00FF6C8D" w:rsidP="00FF6C8D">
      <w:pPr>
        <w:numPr>
          <w:ilvl w:val="0"/>
          <w:numId w:val="14"/>
        </w:num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Processed food at scale</w:t>
      </w:r>
    </w:p>
    <w:p w14:paraId="126B1579" w14:textId="77777777" w:rsidR="00FF6C8D" w:rsidRPr="00FF6C8D" w:rsidRDefault="00FF6C8D" w:rsidP="00FF6C8D">
      <w:pPr>
        <w:numPr>
          <w:ilvl w:val="0"/>
          <w:numId w:val="14"/>
        </w:num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Basic chemicals and plastics</w:t>
      </w:r>
    </w:p>
    <w:p w14:paraId="31238CEA"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These industries employ tens of millions of workers globally. The fund acquiring or building companies here directly translates into the Informal Insertion scenario from Part 3 of this series: the formalization of informal workers and the regional redistribution of manufacturing employment. Wave 2 is when the worker-redistribution argument becomes a lived experience for the workers involved, not an abstract proposal.</w:t>
      </w:r>
    </w:p>
    <w:p w14:paraId="3BE1AB33"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The capital requirements rise here. A major textile manufacturer or vehicle parts company can cost $20-80 billion. By Year 15, with cumulative contributions plus reinvested fund profits, the fund has the capital. But the operational complexity rises too. The fund needs experienced operators, supply chain managers, and engineers to run companies at this scale. The fund's hiring practices matter, and the fund's ability to attract top talent at competitive market salaries becomes essential.</w:t>
      </w:r>
    </w:p>
    <w:p w14:paraId="5B719439"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 xml:space="preserve">Alongside labor-intensive manufacturing, </w:t>
      </w:r>
      <w:r w:rsidRPr="00FF6C8D">
        <w:rPr>
          <w:rFonts w:asciiTheme="minorHAnsi" w:eastAsiaTheme="minorHAnsi" w:hAnsiTheme="minorHAnsi" w:cstheme="minorBidi"/>
          <w:b/>
          <w:bCs/>
          <w:kern w:val="2"/>
          <w14:ligatures w14:val="standardContextual"/>
        </w:rPr>
        <w:t>healthcare services</w:t>
      </w:r>
      <w:r w:rsidRPr="00FF6C8D">
        <w:rPr>
          <w:rFonts w:asciiTheme="minorHAnsi" w:eastAsiaTheme="minorHAnsi" w:hAnsiTheme="minorHAnsi" w:cstheme="minorBidi"/>
          <w:kern w:val="2"/>
          <w14:ligatures w14:val="standardContextual"/>
        </w:rPr>
        <w:t xml:space="preserve"> enters Wave 2.</w:t>
      </w:r>
    </w:p>
    <w:p w14:paraId="2F504099"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 xml:space="preserve">Pharma and healthcare are intertwined. The fund's Wave 1 entry into basic pharmaceuticals already lowers drug prices in fund-served markets. Healthcare services — clinics, outpatient care, basic hospitals, integrated care delivery — is the next logical step. Lower drug prices plus lower care costs together produce a meaningful reduction in </w:t>
      </w:r>
      <w:r w:rsidRPr="00FF6C8D">
        <w:rPr>
          <w:rFonts w:asciiTheme="minorHAnsi" w:eastAsiaTheme="minorHAnsi" w:hAnsiTheme="minorHAnsi" w:cstheme="minorBidi"/>
          <w:kern w:val="2"/>
          <w14:ligatures w14:val="standardContextual"/>
        </w:rPr>
        <w:lastRenderedPageBreak/>
        <w:t>household healthcare expenditure, which in turn frees up family income for other spending.</w:t>
      </w:r>
    </w:p>
    <w:p w14:paraId="34CB0B05"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The healthcare execution depends heavily on the existing structure in each country. Colombia's two-tier system is a useful template. Colombia operates a mandatory universal layer (the EPS contributory regime) where everyone pays into a public-private health insurance system based on income. On top of that, an optional private layer (medicina prepagada) competes for customers willing to pay more for faster access, better facilities, and broader networks. The two layers complement each other — the EPS guarantees coverage; the prepagada provides choice.</w:t>
      </w:r>
    </w:p>
    <w:p w14:paraId="6C7285B2"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In countries with strong universal baseline coverage (Colombia, Brazil, most of Europe, the UK, Japan, Australia), the fund operates on the supplementary layer — the prepagada equivalent. It competes with private supplementary insurers, offering coverage at fairer terms, accepting pre-existing conditions over longer payback horizons, and integrating with fund-owned hospitals and clinics. The fund's digital bank from Wave 1 becomes the natural mechanism for collecting monthly premiums and routing them to fund-owned providers.</w:t>
      </w:r>
    </w:p>
    <w:p w14:paraId="007FF76D"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In countries without strong universal baseline coverage (the United States most prominently, parts of Asia and Africa, much of the Middle East), the fund operates as primary coverage — competing with private insurers directly, offering more affordable comprehensive plans, leveraging the same banking-and-provider integration that operates elsewhere in supplementary mode.</w:t>
      </w:r>
    </w:p>
    <w:p w14:paraId="4843CA84"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 xml:space="preserve">What the fund does </w:t>
      </w:r>
      <w:r w:rsidRPr="00FF6C8D">
        <w:rPr>
          <w:rFonts w:asciiTheme="minorHAnsi" w:eastAsiaTheme="minorHAnsi" w:hAnsiTheme="minorHAnsi" w:cstheme="minorBidi"/>
          <w:i/>
          <w:iCs/>
          <w:kern w:val="2"/>
          <w14:ligatures w14:val="standardContextual"/>
        </w:rPr>
        <w:t>not</w:t>
      </w:r>
      <w:r w:rsidRPr="00FF6C8D">
        <w:rPr>
          <w:rFonts w:asciiTheme="minorHAnsi" w:eastAsiaTheme="minorHAnsi" w:hAnsiTheme="minorHAnsi" w:cstheme="minorBidi"/>
          <w:kern w:val="2"/>
          <w14:ligatures w14:val="standardContextual"/>
        </w:rPr>
        <w:t xml:space="preserve"> do is try to replace government-run universal health systems. Those exist for good reasons, they're popular where they exist, and competing with them would invite political resistance the fund doesn't need. The fund builds where private capital already operates — and undercuts that private capital with citizen-owned alternatives that integrate with the rest of the member's relationship with the fund.</w:t>
      </w:r>
    </w:p>
    <w:p w14:paraId="6BBD1373"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b/>
          <w:bCs/>
          <w:kern w:val="2"/>
          <w14:ligatures w14:val="standardContextual"/>
        </w:rPr>
        <w:t>Wave 3: capital-intensive industries (Years 18-25)</w:t>
      </w:r>
    </w:p>
    <w:p w14:paraId="4FA024DA"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By Year 18, the fund has cash flow from essentials, labor-intensive manufacturing, and healthcare services. It has operational experience running large companies. It has demonstrated political legitimacy by surviving a decade of operations across many countries. Now it can tackle the hardest, most expensive, longest-horizon industries.</w:t>
      </w:r>
    </w:p>
    <w:p w14:paraId="4DB2A59F"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Wave 3 covers:</w:t>
      </w:r>
    </w:p>
    <w:p w14:paraId="5988AA37" w14:textId="77777777" w:rsidR="00FF6C8D" w:rsidRPr="00FF6C8D" w:rsidRDefault="00FF6C8D" w:rsidP="00FF6C8D">
      <w:pPr>
        <w:numPr>
          <w:ilvl w:val="0"/>
          <w:numId w:val="15"/>
        </w:num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Steel, aluminum, and base metals production</w:t>
      </w:r>
    </w:p>
    <w:p w14:paraId="6AF6D792" w14:textId="77777777" w:rsidR="00FF6C8D" w:rsidRPr="00FF6C8D" w:rsidRDefault="00FF6C8D" w:rsidP="00FF6C8D">
      <w:pPr>
        <w:numPr>
          <w:ilvl w:val="0"/>
          <w:numId w:val="15"/>
        </w:num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Cement and construction materials at scale</w:t>
      </w:r>
    </w:p>
    <w:p w14:paraId="1AB8E2D8" w14:textId="77777777" w:rsidR="00FF6C8D" w:rsidRPr="00FF6C8D" w:rsidRDefault="00FF6C8D" w:rsidP="00FF6C8D">
      <w:pPr>
        <w:numPr>
          <w:ilvl w:val="0"/>
          <w:numId w:val="15"/>
        </w:num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lastRenderedPageBreak/>
        <w:t>Energy infrastructure (refineries, pipelines where politically feasible, renewable installations)</w:t>
      </w:r>
    </w:p>
    <w:p w14:paraId="41E33409" w14:textId="77777777" w:rsidR="00FF6C8D" w:rsidRPr="00FF6C8D" w:rsidRDefault="00FF6C8D" w:rsidP="00FF6C8D">
      <w:pPr>
        <w:numPr>
          <w:ilvl w:val="0"/>
          <w:numId w:val="15"/>
        </w:num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Heavy machinery and industrial equipment</w:t>
      </w:r>
    </w:p>
    <w:p w14:paraId="4450269E" w14:textId="77777777" w:rsidR="00FF6C8D" w:rsidRPr="00FF6C8D" w:rsidRDefault="00FF6C8D" w:rsidP="00FF6C8D">
      <w:pPr>
        <w:numPr>
          <w:ilvl w:val="0"/>
          <w:numId w:val="15"/>
        </w:num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Advanced pharmaceutical research (not just generic manufacturing — the harder, more expensive work of drug discovery)</w:t>
      </w:r>
    </w:p>
    <w:p w14:paraId="51E66413" w14:textId="77777777" w:rsidR="00FF6C8D" w:rsidRPr="00FF6C8D" w:rsidRDefault="00FF6C8D" w:rsidP="00FF6C8D">
      <w:pPr>
        <w:numPr>
          <w:ilvl w:val="0"/>
          <w:numId w:val="15"/>
        </w:num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Logistics and shipping infrastructure</w:t>
      </w:r>
    </w:p>
    <w:p w14:paraId="0E99FD3B" w14:textId="77777777" w:rsidR="00FF6C8D" w:rsidRPr="00FF6C8D" w:rsidRDefault="00FF6C8D" w:rsidP="00FF6C8D">
      <w:pPr>
        <w:numPr>
          <w:ilvl w:val="0"/>
          <w:numId w:val="15"/>
        </w:num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Telecoms infrastructure in cooperative jurisdictions</w:t>
      </w:r>
    </w:p>
    <w:p w14:paraId="4494691F"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These are industries where investment horizons run 15-30 years, where private equity often does poorly because it can't be patient enough, and where the fund's structural willingness to wait pays off. Returns are lower than in software or finance, but they're stable for decades — which is what the fund's members want.</w:t>
      </w:r>
    </w:p>
    <w:p w14:paraId="0C9195F1"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The margin trajectory continues here. Capital-intensive industries often run higher margins than labor-intensive ones — 10-15% net margins in steel and cement, 15-25% in advanced pharma. The reinvestment stream from acquisitions in this wave is substantial and funds entry into the harder Wave 4 industries.</w:t>
      </w:r>
    </w:p>
    <w:p w14:paraId="4832038F"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b/>
          <w:bCs/>
          <w:kern w:val="2"/>
          <w14:ligatures w14:val="standardContextual"/>
        </w:rPr>
        <w:t>Wave 4: harder industries (Years 25-35+)</w:t>
      </w:r>
    </w:p>
    <w:p w14:paraId="41BF69F4"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Wave 4 covers industries where the fund's structural advantages apply most slowly and incompletely:</w:t>
      </w:r>
    </w:p>
    <w:p w14:paraId="675089C8" w14:textId="77777777" w:rsidR="00FF6C8D" w:rsidRPr="00FF6C8D" w:rsidRDefault="00FF6C8D" w:rsidP="00FF6C8D">
      <w:pPr>
        <w:numPr>
          <w:ilvl w:val="0"/>
          <w:numId w:val="16"/>
        </w:num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Financial services (consumer banking, insurance, investment management beyond fund operations themselves)</w:t>
      </w:r>
    </w:p>
    <w:p w14:paraId="17C2BD30" w14:textId="77777777" w:rsidR="00FF6C8D" w:rsidRPr="00FF6C8D" w:rsidRDefault="00FF6C8D" w:rsidP="00FF6C8D">
      <w:pPr>
        <w:numPr>
          <w:ilvl w:val="0"/>
          <w:numId w:val="16"/>
        </w:num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Advanced technology hardware (semiconductors, advanced batteries, EVs)</w:t>
      </w:r>
    </w:p>
    <w:p w14:paraId="24E093C2" w14:textId="77777777" w:rsidR="00FF6C8D" w:rsidRPr="00FF6C8D" w:rsidRDefault="00FF6C8D" w:rsidP="00FF6C8D">
      <w:pPr>
        <w:numPr>
          <w:ilvl w:val="0"/>
          <w:numId w:val="16"/>
        </w:num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Software and platform services</w:t>
      </w:r>
    </w:p>
    <w:p w14:paraId="56915197" w14:textId="77777777" w:rsidR="00FF6C8D" w:rsidRPr="00FF6C8D" w:rsidRDefault="00FF6C8D" w:rsidP="00FF6C8D">
      <w:pPr>
        <w:numPr>
          <w:ilvl w:val="0"/>
          <w:numId w:val="16"/>
        </w:num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Commercial aerospace</w:t>
      </w:r>
    </w:p>
    <w:p w14:paraId="1FF3FF13" w14:textId="77777777" w:rsidR="00FF6C8D" w:rsidRPr="00FF6C8D" w:rsidRDefault="00FF6C8D" w:rsidP="00FF6C8D">
      <w:pPr>
        <w:numPr>
          <w:ilvl w:val="0"/>
          <w:numId w:val="16"/>
        </w:num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Luxury goods, jewelry, and high-end design</w:t>
      </w:r>
    </w:p>
    <w:p w14:paraId="6E8D40FC"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Each of these has a different reason for being late, and the strategy in each is different.</w:t>
      </w:r>
    </w:p>
    <w:p w14:paraId="3C02EF85"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i/>
          <w:iCs/>
          <w:kern w:val="2"/>
          <w14:ligatures w14:val="standardContextual"/>
        </w:rPr>
        <w:t>Financial services beyond what Wave 1 covers.</w:t>
      </w:r>
      <w:r w:rsidRPr="00FF6C8D">
        <w:rPr>
          <w:rFonts w:asciiTheme="minorHAnsi" w:eastAsiaTheme="minorHAnsi" w:hAnsiTheme="minorHAnsi" w:cstheme="minorBidi"/>
          <w:kern w:val="2"/>
          <w14:ligatures w14:val="standardContextual"/>
        </w:rPr>
        <w:t xml:space="preserve"> By Wave 4, the fund's digital banks have grown to compete with major retail banks in many countries. The fund's insurance arm grows out of the healthcare coverage offering. The fund's investment management arm runs the fund's own treasury operations and could plausibly extend to consumer wealth management products. The fund probably becomes one of the world's largest financial </w:t>
      </w:r>
      <w:r w:rsidRPr="00FF6C8D">
        <w:rPr>
          <w:rFonts w:asciiTheme="minorHAnsi" w:eastAsiaTheme="minorHAnsi" w:hAnsiTheme="minorHAnsi" w:cstheme="minorBidi"/>
          <w:kern w:val="2"/>
          <w14:ligatures w14:val="standardContextual"/>
        </w:rPr>
        <w:lastRenderedPageBreak/>
        <w:t>institutions by the end of Wave 4, but the customer-facing financial services compete with established private banks that have decades of relationship history and brand trust.</w:t>
      </w:r>
    </w:p>
    <w:p w14:paraId="57AB916A"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i/>
          <w:iCs/>
          <w:kern w:val="2"/>
          <w14:ligatures w14:val="standardContextual"/>
        </w:rPr>
        <w:t>Advanced technology hardware.</w:t>
      </w:r>
      <w:r w:rsidRPr="00FF6C8D">
        <w:rPr>
          <w:rFonts w:asciiTheme="minorHAnsi" w:eastAsiaTheme="minorHAnsi" w:hAnsiTheme="minorHAnsi" w:cstheme="minorBidi"/>
          <w:kern w:val="2"/>
          <w14:ligatures w14:val="standardContextual"/>
        </w:rPr>
        <w:t xml:space="preserve"> The fund probably doesn't displace TSMC, Samsung, or Intel in semiconductors. The R&amp;D investment required is enormous, the talent concentration is extreme, and the existing competitors have decades of accumulated expertise. The fund's strategy here is to acquire smaller specialized players and operate them at lower margins than the current market accepts — possibly contributing to a longer-term price reduction in advanced tech without trying to "win" the market outright. Modest share (5-10%) is realistic.</w:t>
      </w:r>
    </w:p>
    <w:p w14:paraId="6BF67003"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i/>
          <w:iCs/>
          <w:kern w:val="2"/>
          <w14:ligatures w14:val="standardContextual"/>
        </w:rPr>
        <w:t>Software and platform services.</w:t>
      </w:r>
      <w:r w:rsidRPr="00FF6C8D">
        <w:rPr>
          <w:rFonts w:asciiTheme="minorHAnsi" w:eastAsiaTheme="minorHAnsi" w:hAnsiTheme="minorHAnsi" w:cstheme="minorBidi"/>
          <w:kern w:val="2"/>
          <w14:ligatures w14:val="standardContextual"/>
        </w:rPr>
        <w:t xml:space="preserve"> The fund's strategy in software is distinct from in other industries. Existing open-source alternatives are already viable competitors to most major proprietary platforms — Linux against Windows, Postgres against Oracle, LibreOffice against Microsoft 365. The fund's role here is less about acquiring proprietary giants and more about acquiring or building major distributions of open-source software, then offering them as fund-owned enterprise products with support, training, and integration. The fund effectively becomes the enterprise distribution channel for the open-source ecosystem. The European Union's recent moves toward Linux-based government computing (driven by cost, security, and concerns about US tech dependence) suggest this market is increasingly receptive.</w:t>
      </w:r>
    </w:p>
    <w:p w14:paraId="6834217E"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i/>
          <w:iCs/>
          <w:kern w:val="2"/>
          <w14:ligatures w14:val="standardContextual"/>
        </w:rPr>
        <w:t>Commercial aerospace.</w:t>
      </w:r>
      <w:r w:rsidRPr="00FF6C8D">
        <w:rPr>
          <w:rFonts w:asciiTheme="minorHAnsi" w:eastAsiaTheme="minorHAnsi" w:hAnsiTheme="minorHAnsi" w:cstheme="minorBidi"/>
          <w:kern w:val="2"/>
          <w14:ligatures w14:val="standardContextual"/>
        </w:rPr>
        <w:t xml:space="preserve"> The aviation industry is transportation infrastructure — it moves people and goods, connects families across borders, makes possible forms of human exchange that would otherwise be impossible. Currently the industry operates with significant pricing power: airlines charge what markets will bear rather than what services cost, and aircraft manufacturers (Boeing, Airbus) operate behind enormous barriers to entry that protect their margins. A fund-owned commercial aerospace presence — building aircraft, operating an airline, or both — extends the fund's mission of making essential services affordable to ordinary people. The political case is straightforward and the structural advantages apply in the usual ways.</w:t>
      </w:r>
    </w:p>
    <w:p w14:paraId="32F5C919"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i/>
          <w:iCs/>
          <w:kern w:val="2"/>
          <w14:ligatures w14:val="standardContextual"/>
        </w:rPr>
        <w:t>Luxury goods.</w:t>
      </w:r>
      <w:r w:rsidRPr="00FF6C8D">
        <w:rPr>
          <w:rFonts w:asciiTheme="minorHAnsi" w:eastAsiaTheme="minorHAnsi" w:hAnsiTheme="minorHAnsi" w:cstheme="minorBidi"/>
          <w:kern w:val="2"/>
          <w14:ligatures w14:val="standardContextual"/>
        </w:rPr>
        <w:t xml:space="preserve"> This is the most interesting case in Wave 4.</w:t>
      </w:r>
    </w:p>
    <w:p w14:paraId="1A309442"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The original framing might be that the fund leaves luxury to private capital — no one needs a $200,000 watch, the fund's mission is essentials, luxury markets depend on exclusivity that fund ownership might undermine. But there's a stronger argument for fund participation in luxury, and it starts with the talent.</w:t>
      </w:r>
    </w:p>
    <w:p w14:paraId="54B46917"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 xml:space="preserve">Luxury goods are, fundamentally, the work of exceptional designers and craftsmen. A handbag from a top-tier house isn't just leather and stitching — it's the accumulated work </w:t>
      </w:r>
      <w:r w:rsidRPr="00FF6C8D">
        <w:rPr>
          <w:rFonts w:asciiTheme="minorHAnsi" w:eastAsiaTheme="minorHAnsi" w:hAnsiTheme="minorHAnsi" w:cstheme="minorBidi"/>
          <w:kern w:val="2"/>
          <w14:ligatures w14:val="standardContextual"/>
        </w:rPr>
        <w:lastRenderedPageBreak/>
        <w:t>of generations of master designers and artisans. A high-end watch represents the work of master watchmakers. Luxury jewelry depends on master gemologists and designers. These are talented people who produce extraordinary work, and the current model rewards them through employment at brands whose value rests on private ownership and exclusivity.</w:t>
      </w:r>
    </w:p>
    <w:p w14:paraId="28306B47"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The fund's entry into luxury changes the talent model. The fund creates a structure where exceptional designers and craftsmen can join through the fund's innovation and royalties pathway. A designer creates a piece for a fund-owned luxury house and receives royalties on its sales for as long as the design generates revenue — much as a fund-affiliated scientist receives royalties on a drug they helped develop. The talent is rewarded directly through the value they create rather than through employment at a private brand. The fund's role in luxury is, first and foremost, to support exceptional creators and provide them an alternative pathway to participating in the value they generate.</w:t>
      </w:r>
    </w:p>
    <w:p w14:paraId="6490470D"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This produces a luxury market that does two things. First, it offers a path for top creative talent to participate in the fund as creators rather than just as members — capital, labor, and ideas, all integrated. Second, it captures the spending of people who continue to buy luxury goods during the long transition era. Those purchases flow into fund profits and back to all members as dividends, rather than into the accounts of luxury holding companies' private shareholders.</w:t>
      </w:r>
    </w:p>
    <w:p w14:paraId="0E02A9C6"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There's a longer-horizon argument as well. As the fund's effects on essentials, healthcare, manufacturing, and finance compound over decades, the extreme concentration of wealth that supports the current luxury market should gradually moderate. With fewer billionaires bidding up $200,000 watches, the luxury market itself becomes smaller and less extreme. The fund's presence accelerates this — fund-owned luxury at fair margins competes against private luxury at extractive margins, and the price umbrella that lets private luxury charge what it charges erodes over time. Eventually the category looks less like the current ostentation market and more like the high-craft market it was historically: real designers making real masterpieces at prices that reflect the work, not the markup.</w:t>
      </w:r>
    </w:p>
    <w:p w14:paraId="1737C190"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The fund enters luxury in Wave 4 because it's lower priority than essentials, healthcare, and basic manufacturing. But it enters. The fund is not above this market.</w:t>
      </w:r>
    </w:p>
    <w:p w14:paraId="5109605E"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b/>
          <w:bCs/>
          <w:kern w:val="2"/>
          <w14:ligatures w14:val="standardContextual"/>
        </w:rPr>
        <w:t>What the fund deliberately doesn't enter, ever</w:t>
      </w:r>
    </w:p>
    <w:p w14:paraId="6FC2D2AF"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Some categories of economic activity remain outside the fund's scope by design.</w:t>
      </w:r>
    </w:p>
    <w:p w14:paraId="201969EE"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i/>
          <w:iCs/>
          <w:kern w:val="2"/>
          <w14:ligatures w14:val="standardContextual"/>
        </w:rPr>
        <w:t>Raw materials and resource extraction.</w:t>
      </w:r>
      <w:r w:rsidRPr="00FF6C8D">
        <w:rPr>
          <w:rFonts w:asciiTheme="minorHAnsi" w:eastAsiaTheme="minorHAnsi" w:hAnsiTheme="minorHAnsi" w:cstheme="minorBidi"/>
          <w:kern w:val="2"/>
          <w14:ligatures w14:val="standardContextual"/>
        </w:rPr>
        <w:t xml:space="preserve"> As Part 1 established, oil, mining, and other resource industries belong to the citizens of the countries where those resources sit. The fund doesn't own national oil companies, mining giants, or extractive enterprises. It purchases raw materials at fair prices from citizen-owned national resource companies </w:t>
      </w:r>
      <w:r w:rsidRPr="00FF6C8D">
        <w:rPr>
          <w:rFonts w:asciiTheme="minorHAnsi" w:eastAsiaTheme="minorHAnsi" w:hAnsiTheme="minorHAnsi" w:cstheme="minorBidi"/>
          <w:kern w:val="2"/>
          <w14:ligatures w14:val="standardContextual"/>
        </w:rPr>
        <w:lastRenderedPageBreak/>
        <w:t xml:space="preserve">that </w:t>
      </w:r>
      <w:r w:rsidRPr="00FF6C8D">
        <w:rPr>
          <w:rFonts w:asciiTheme="minorHAnsi" w:eastAsiaTheme="minorHAnsi" w:hAnsiTheme="minorHAnsi" w:cstheme="minorBidi"/>
          <w:i/>
          <w:iCs/>
          <w:kern w:val="2"/>
          <w14:ligatures w14:val="standardContextual"/>
        </w:rPr>
        <w:t>should</w:t>
      </w:r>
      <w:r w:rsidRPr="00FF6C8D">
        <w:rPr>
          <w:rFonts w:asciiTheme="minorHAnsi" w:eastAsiaTheme="minorHAnsi" w:hAnsiTheme="minorHAnsi" w:cstheme="minorBidi"/>
          <w:kern w:val="2"/>
          <w14:ligatures w14:val="standardContextual"/>
        </w:rPr>
        <w:t xml:space="preserve"> exist in resource-rich countries. The fund's role is downstream of extraction, not at the well or the mine.</w:t>
      </w:r>
    </w:p>
    <w:p w14:paraId="0A018796"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i/>
          <w:iCs/>
          <w:kern w:val="2"/>
          <w14:ligatures w14:val="standardContextual"/>
        </w:rPr>
        <w:t>Defense and weapons manufacturing.</w:t>
      </w:r>
      <w:r w:rsidRPr="00FF6C8D">
        <w:rPr>
          <w:rFonts w:asciiTheme="minorHAnsi" w:eastAsiaTheme="minorHAnsi" w:hAnsiTheme="minorHAnsi" w:cstheme="minorBidi"/>
          <w:kern w:val="2"/>
          <w14:ligatures w14:val="standardContextual"/>
        </w:rPr>
        <w:t xml:space="preserve"> The fund's purpose is to make economic transactions fair, distribute power more evenly, and reduce the structural conditions that produce wars. Defense contracting profits from exactly the opposite — every conflict, every arms race, every weapons sale is revenue. A fund-owned defense company would have a built-in financial interest in geopolitical instability that would corrupt the fund's purpose. There is also an arithmetic problem with universal ownership: a fund member in any country at war with any other country would, in some abstract sense, own a share of weapons being used against citizens of a country whose members are also co-owners. The math of universal ownership doesn't work in defense. The fund stays out — not because defense contracting can't be profitable, but because profit from conflict is incompatible with what the fund exists to do.</w:t>
      </w:r>
    </w:p>
    <w:p w14:paraId="77BB3AD7"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i/>
          <w:iCs/>
          <w:kern w:val="2"/>
          <w14:ligatures w14:val="standardContextual"/>
        </w:rPr>
        <w:t>Speculative and short-horizon financial instruments.</w:t>
      </w:r>
      <w:r w:rsidRPr="00FF6C8D">
        <w:rPr>
          <w:rFonts w:asciiTheme="minorHAnsi" w:eastAsiaTheme="minorHAnsi" w:hAnsiTheme="minorHAnsi" w:cstheme="minorBidi"/>
          <w:kern w:val="2"/>
          <w14:ligatures w14:val="standardContextual"/>
        </w:rPr>
        <w:t xml:space="preserve"> The fund doesn't operate hedge funds, day-trading platforms, cryptocurrency exchanges, derivatives markets, or sports gambling. Its capital is patient and long-horizon. It would be a bad operator in markets that reward speed and risk-taking, and its members aren't trying to bet — they're trying to own.</w:t>
      </w:r>
    </w:p>
    <w:p w14:paraId="64CD3088"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i/>
          <w:iCs/>
          <w:kern w:val="2"/>
          <w14:ligatures w14:val="standardContextual"/>
        </w:rPr>
        <w:t>The stock exchange itself.</w:t>
      </w:r>
      <w:r w:rsidRPr="00FF6C8D">
        <w:rPr>
          <w:rFonts w:asciiTheme="minorHAnsi" w:eastAsiaTheme="minorHAnsi" w:hAnsiTheme="minorHAnsi" w:cstheme="minorBidi"/>
          <w:kern w:val="2"/>
          <w14:ligatures w14:val="standardContextual"/>
        </w:rPr>
        <w:t xml:space="preserve"> The fund operates outside the stock exchange. Its acquired companies are taken private. The fund's own membership shares are not traded; they exist on the fund's own books and pay dividends to identified members. The fund's capital structure isn't subject to short-selling, derivatives, market manipulation, or the quarterly earnings pressures that bend public companies away from their stated missions. This is a deliberate choice, not an oversight.</w:t>
      </w:r>
    </w:p>
    <w:p w14:paraId="2ECBB6EF"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i/>
          <w:iCs/>
          <w:kern w:val="2"/>
          <w14:ligatures w14:val="standardContextual"/>
        </w:rPr>
        <w:t>Heavily-regulated state monopolies.</w:t>
      </w:r>
      <w:r w:rsidRPr="00FF6C8D">
        <w:rPr>
          <w:rFonts w:asciiTheme="minorHAnsi" w:eastAsiaTheme="minorHAnsi" w:hAnsiTheme="minorHAnsi" w:cstheme="minorBidi"/>
          <w:kern w:val="2"/>
          <w14:ligatures w14:val="standardContextual"/>
        </w:rPr>
        <w:t xml:space="preserve"> National defense (already excluded above), central banking, currency issuance, judicial systems, electoral systems. The fund doesn't compete with government where government legitimately operates. These remain state-run.</w:t>
      </w:r>
    </w:p>
    <w:p w14:paraId="5835CD62"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i/>
          <w:iCs/>
          <w:kern w:val="2"/>
          <w14:ligatures w14:val="standardContextual"/>
        </w:rPr>
        <w:t>Personal services and inherently local industries.</w:t>
      </w:r>
      <w:r w:rsidRPr="00FF6C8D">
        <w:rPr>
          <w:rFonts w:asciiTheme="minorHAnsi" w:eastAsiaTheme="minorHAnsi" w:hAnsiTheme="minorHAnsi" w:cstheme="minorBidi"/>
          <w:kern w:val="2"/>
          <w14:ligatures w14:val="standardContextual"/>
        </w:rPr>
        <w:t xml:space="preserve"> The fund doesn't own your barbershop, your local restaurant, or your neighborhood plumber. These industries are inherently local, low-capital, and inherently entrepreneurial. They flourish when consumers have purchasing power — which the fund's dividends and manufacturing redistribution help create. The fund's role here is indirect: it strengthens local economies, which lets local services thrive on their own terms.</w:t>
      </w:r>
    </w:p>
    <w:p w14:paraId="23150B49"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b/>
          <w:bCs/>
          <w:kern w:val="2"/>
          <w14:ligatures w14:val="standardContextual"/>
        </w:rPr>
        <w:t>The environmental dimension running through everything</w:t>
      </w:r>
    </w:p>
    <w:p w14:paraId="795EAB76"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 xml:space="preserve">Across all four waves of fund acquisitions, an environmental responsibility runs through the fund's choices. The current global economy treats environmental damage as an externality </w:t>
      </w:r>
      <w:r w:rsidRPr="00FF6C8D">
        <w:rPr>
          <w:rFonts w:asciiTheme="minorHAnsi" w:eastAsiaTheme="minorHAnsi" w:hAnsiTheme="minorHAnsi" w:cstheme="minorBidi"/>
          <w:kern w:val="2"/>
          <w14:ligatures w14:val="standardContextual"/>
        </w:rPr>
        <w:lastRenderedPageBreak/>
        <w:t>— a cost imposed on the future, on people who didn't consent, on ecosystems that can't bill for the damage done to them. The fund's broader mission of redistributing value fairly cannot ignore this. A fund that captures the value currently extracted by private corporations but leaves the environmental damage uncaptured is just redistributing among humans while still extracting from the planet.</w:t>
      </w:r>
    </w:p>
    <w:p w14:paraId="3FE4B3B2"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Two specific commitments follow from this. First, the fund prioritizes acquisitions and new ventures that move away from environmentally destructive practices when realistic alternatives exist. Fund-owned cement research focuses on lower-carbon formulations. Fund-owned steel investments prioritize electric-arc and hydrogen-reduction technologies over coal-based blast furnaces where transition is feasible. Fund-owned vehicle manufacturing focuses on electric and hybrid platforms over pure combustion. The fund accepts somewhat lower short-term returns on these choices because the alternative — continuing to profit from environmentally destructive industries while ignoring the costs — would contradict the fund's purpose.</w:t>
      </w:r>
    </w:p>
    <w:p w14:paraId="43CE87CF"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Second, the fund invests heavily in alternative energy research and development. This is the area where the fund's patient-capital advantage matters most. Solar, wind, geothermal, tidal, advanced nuclear, hydrogen production, energy storage — these technologies need sustained investment over decades to mature. Private capital systematically underinvests because the payback horizons don't match quarterly reporting cycles. The fund's structure makes it the natural patient investor in clean energy infrastructure. The fund's commercial aerospace presence in Wave 4 connects directly to this: fund-owned aircraft will, over time, run on fund-invested sustainable aviation fuels and eventually hydrogen and electric propulsion. The fund's vehicle parts manufacturing in Wave 2 connects to fund-owned battery technology and grid infrastructure. The energy transition the world needs is, structurally, an investment problem the fund is well-positioned to solve.</w:t>
      </w:r>
    </w:p>
    <w:p w14:paraId="653CE95D"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What the fund does not do is preach about environmental responsibility while continuing to operate destructively. The commitment is operational — it shapes what gets acquired, what gets researched, what gets built. The fund's accumulated reinvestment from the margin trajectory described above is a substantial pool of patient capital, and a meaningful share of it goes into the technologies that make a sustainable economy possible. Members can verify this in fund operations because the relevant investments are disclosed and auditable, like everything else the fund does.</w:t>
      </w:r>
    </w:p>
    <w:p w14:paraId="6CD17477"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b/>
          <w:bCs/>
          <w:kern w:val="2"/>
          <w14:ligatures w14:val="standardContextual"/>
        </w:rPr>
        <w:t>What the fund owns by Year 30</w:t>
      </w:r>
    </w:p>
    <w:p w14:paraId="3A6DF7B6"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Putting it together: by roughly Year 30 of operation, in the scenario where the fund succeeds at most of what it attempts:</w:t>
      </w:r>
    </w:p>
    <w:p w14:paraId="27C4CBF9" w14:textId="77777777" w:rsidR="00FF6C8D" w:rsidRPr="00FF6C8D" w:rsidRDefault="00FF6C8D" w:rsidP="00FF6C8D">
      <w:pPr>
        <w:numPr>
          <w:ilvl w:val="0"/>
          <w:numId w:val="17"/>
        </w:num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lastRenderedPageBreak/>
        <w:t>Substantial share (20-30%) of essential goods industries: basic pharma, staple food, basic utilities, basic consumer goods</w:t>
      </w:r>
    </w:p>
    <w:p w14:paraId="43D1D48A" w14:textId="77777777" w:rsidR="00FF6C8D" w:rsidRPr="00FF6C8D" w:rsidRDefault="00FF6C8D" w:rsidP="00FF6C8D">
      <w:pPr>
        <w:numPr>
          <w:ilvl w:val="0"/>
          <w:numId w:val="17"/>
        </w:num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Meaningful share (15-25%) of labor-intensive manufacturing: textiles, furniture, electronics assembly, vehicle parts</w:t>
      </w:r>
    </w:p>
    <w:p w14:paraId="63D39E1A" w14:textId="77777777" w:rsidR="00FF6C8D" w:rsidRPr="00FF6C8D" w:rsidRDefault="00FF6C8D" w:rsidP="00FF6C8D">
      <w:pPr>
        <w:numPr>
          <w:ilvl w:val="0"/>
          <w:numId w:val="17"/>
        </w:num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Significant share (15-20%) of healthcare services in countries where regulatory environment permits</w:t>
      </w:r>
    </w:p>
    <w:p w14:paraId="486541D5" w14:textId="77777777" w:rsidR="00FF6C8D" w:rsidRPr="00FF6C8D" w:rsidRDefault="00FF6C8D" w:rsidP="00FF6C8D">
      <w:pPr>
        <w:numPr>
          <w:ilvl w:val="0"/>
          <w:numId w:val="17"/>
        </w:num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Significant share (15-20%) of capital-intensive industries: steel, cement, heavy machinery, advanced pharma, infrastructure</w:t>
      </w:r>
    </w:p>
    <w:p w14:paraId="6F9B61EA" w14:textId="77777777" w:rsidR="00FF6C8D" w:rsidRPr="00FF6C8D" w:rsidRDefault="00FF6C8D" w:rsidP="00FF6C8D">
      <w:pPr>
        <w:numPr>
          <w:ilvl w:val="0"/>
          <w:numId w:val="17"/>
        </w:num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Meaningful share (10-20%) of consumer financial services: digital banking, insurance, basic credit, card network</w:t>
      </w:r>
    </w:p>
    <w:p w14:paraId="37085089" w14:textId="77777777" w:rsidR="00FF6C8D" w:rsidRPr="00FF6C8D" w:rsidRDefault="00FF6C8D" w:rsidP="00FF6C8D">
      <w:pPr>
        <w:numPr>
          <w:ilvl w:val="0"/>
          <w:numId w:val="17"/>
        </w:num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Modest share (5-15%) of harder industries: software (mostly through open-source enterprise distribution), advanced tech hardware, commercial aerospace, luxury goods</w:t>
      </w:r>
    </w:p>
    <w:p w14:paraId="55065B47" w14:textId="77777777" w:rsidR="00FF6C8D" w:rsidRPr="00FF6C8D" w:rsidRDefault="00FF6C8D" w:rsidP="00FF6C8D">
      <w:pPr>
        <w:numPr>
          <w:ilvl w:val="0"/>
          <w:numId w:val="17"/>
        </w:num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Effectively zero share of resource extraction (handled by citizen-owned national companies), defense, speculative finance, state monopolies, and local personal services</w:t>
      </w:r>
    </w:p>
    <w:p w14:paraId="6FE8A5E1"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In total, the fund might own something like 12-18% of global productive economic activity by Year 30. That number is meaningful but not threatening — and the framing matters.</w:t>
      </w:r>
    </w:p>
    <w:p w14:paraId="4B30A8F1"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The 12-18% figure isn't a ceiling the fund is aspiring to reach. It's the strategic position the fund deliberately occupies. Owning 12-18% is enough to set norms that the remaining 82-88% has to respond to. Fund-owned essentials companies establish wage floors and price ceilings that private competitors have to consider. Fund-owned manufacturing pulls supply chains toward regional sourcing that private competitors then have to match for political reasons. Fund-owned healthcare and banking offer alternatives to extractive private services that force the private versions to compete on more favorable terms.</w:t>
      </w:r>
    </w:p>
    <w:p w14:paraId="24CDF74D"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This is the difference between competitive influence and monopolistic dominance. The fund is the largest single economic entity in human history at 12-18% of global production — and chooses to stop there because larger would trigger the kind of political response that smaller doesn't. Oligarchs and hostile governments are less likely to organize against a fund that operates at this scale than against one that's clearly trying to take over everything. The fund's strategic patience compounds: by appearing non-threatening, the fund extends the political runway during which it can grow without serious resistance.</w:t>
      </w:r>
    </w:p>
    <w:p w14:paraId="0C94FEF8"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b/>
          <w:bCs/>
          <w:kern w:val="2"/>
          <w14:ligatures w14:val="standardContextual"/>
        </w:rPr>
        <w:t>The honest version of this trajectory</w:t>
      </w:r>
    </w:p>
    <w:p w14:paraId="4B063A33"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lastRenderedPageBreak/>
        <w:t>I want to be clear about what this article is and isn't.</w:t>
      </w:r>
    </w:p>
    <w:p w14:paraId="48F382A7"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It is: a plausible sequence based on the fund's principles, the structural advantages it has in different industries, and the capital it can accumulate over time. The pacing is grounded in Part 1's adoption math and the realistic operational complexity of acquiring and operating large companies.</w:t>
      </w:r>
    </w:p>
    <w:p w14:paraId="40E82F7D"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It isn't: a fixed plan. The actual sequence will be voted on by the fund's members, will adapt to what fund leadership can execute well, and will be shaped by which countries are willing to host fund operations early. Some industries on this list may be moved earlier or later. Some might be skipped. Others might be added as new industries emerge over the next thirty years that don't exist today.</w:t>
      </w:r>
    </w:p>
    <w:p w14:paraId="26729AB0"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What's most likely to change in practice: the pacing of healthcare and finance. Both are politically sensitive and regulatory-heavy. They may move faster in some countries than the wave structure suggests, slower in others. The wave structure describes a default sequence; the actual rollout will be country-by-country and industry-by-industry, voted on by members at each stage.</w:t>
      </w:r>
    </w:p>
    <w:p w14:paraId="15A52855"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The point isn't to predict 2055 precisely. It's to show that "what the fund owns" has a coherent shape, follows principles, and produces a recognizable institution at the end. The fund isn't trying to own everything. It's trying to own the right things, in the right order, well enough to change how the global economy works.</w:t>
      </w:r>
    </w:p>
    <w:p w14:paraId="7C0908E9" w14:textId="77777777" w:rsidR="00FF6C8D" w:rsidRPr="00FF6C8D" w:rsidRDefault="00FF6C8D" w:rsidP="00FF6C8D">
      <w:pPr>
        <w:spacing w:after="160" w:line="278" w:lineRule="auto"/>
        <w:rPr>
          <w:rFonts w:asciiTheme="minorHAnsi" w:eastAsiaTheme="minorHAnsi" w:hAnsiTheme="minorHAnsi" w:cstheme="minorBidi"/>
          <w:kern w:val="2"/>
          <w14:ligatures w14:val="standardContextual"/>
        </w:rPr>
      </w:pPr>
      <w:r w:rsidRPr="00FF6C8D">
        <w:rPr>
          <w:rFonts w:asciiTheme="minorHAnsi" w:eastAsiaTheme="minorHAnsi" w:hAnsiTheme="minorHAnsi" w:cstheme="minorBidi"/>
          <w:kern w:val="2"/>
          <w14:ligatures w14:val="standardContextual"/>
        </w:rPr>
        <w:t>The next article addresses the question that hangs over all of this: how does the fund actually compete in any of these industries, given that established private competitors have decades of head start? That's the hardest question in Part 2. We answer it honestly.</w:t>
      </w:r>
    </w:p>
    <w:p w14:paraId="2E790A72" w14:textId="775076B9" w:rsidR="00FF6C8D" w:rsidRDefault="00FF6C8D" w:rsidP="003B21C7">
      <w:pPr>
        <w:spacing w:after="160" w:line="278" w:lineRule="auto"/>
        <w:rPr>
          <w:rFonts w:asciiTheme="minorHAnsi" w:eastAsiaTheme="minorHAnsi" w:hAnsiTheme="minorHAnsi" w:cstheme="minorBidi"/>
          <w:kern w:val="2"/>
          <w14:ligatures w14:val="standardContextual"/>
        </w:rPr>
      </w:pPr>
    </w:p>
    <w:p w14:paraId="200AD289" w14:textId="6186E5C7" w:rsidR="004412BC" w:rsidRPr="004412BC" w:rsidRDefault="004412BC" w:rsidP="003B21C7">
      <w:pPr>
        <w:spacing w:after="160" w:line="278" w:lineRule="auto"/>
        <w:rPr>
          <w:rFonts w:asciiTheme="minorHAnsi" w:eastAsiaTheme="minorHAnsi" w:hAnsiTheme="minorHAnsi" w:cstheme="minorBidi"/>
          <w:b/>
          <w:bCs/>
          <w:kern w:val="2"/>
          <w14:ligatures w14:val="standardContextual"/>
        </w:rPr>
      </w:pPr>
      <w:r w:rsidRPr="004412BC">
        <w:rPr>
          <w:rFonts w:asciiTheme="minorHAnsi" w:eastAsiaTheme="minorHAnsi" w:hAnsiTheme="minorHAnsi" w:cstheme="minorBidi"/>
          <w:b/>
          <w:bCs/>
          <w:kern w:val="2"/>
          <w14:ligatures w14:val="standardContextual"/>
        </w:rPr>
        <w:t>SUBARTICLE 4</w:t>
      </w:r>
    </w:p>
    <w:p w14:paraId="547A6016" w14:textId="77777777" w:rsidR="004412BC" w:rsidRPr="004412BC" w:rsidRDefault="004412BC" w:rsidP="004412BC">
      <w:pPr>
        <w:spacing w:after="160" w:line="278" w:lineRule="auto"/>
        <w:rPr>
          <w:rFonts w:asciiTheme="minorHAnsi" w:eastAsiaTheme="minorHAnsi" w:hAnsiTheme="minorHAnsi" w:cstheme="minorBidi"/>
          <w:kern w:val="2"/>
          <w14:ligatures w14:val="standardContextual"/>
        </w:rPr>
      </w:pPr>
      <w:r w:rsidRPr="004412BC">
        <w:rPr>
          <w:rFonts w:asciiTheme="minorHAnsi" w:eastAsiaTheme="minorHAnsi" w:hAnsiTheme="minorHAnsi" w:cstheme="minorBidi"/>
          <w:b/>
          <w:bCs/>
          <w:kern w:val="2"/>
          <w14:ligatures w14:val="standardContextual"/>
        </w:rPr>
        <w:t>How the Fund Competes (and Why It Wins Some Markets, Not All)</w:t>
      </w:r>
    </w:p>
    <w:p w14:paraId="75C51A35" w14:textId="77777777" w:rsidR="004412BC" w:rsidRPr="004412BC" w:rsidRDefault="004412BC" w:rsidP="004412BC">
      <w:pPr>
        <w:spacing w:after="160" w:line="278" w:lineRule="auto"/>
        <w:rPr>
          <w:rFonts w:asciiTheme="minorHAnsi" w:eastAsiaTheme="minorHAnsi" w:hAnsiTheme="minorHAnsi" w:cstheme="minorBidi"/>
          <w:kern w:val="2"/>
          <w14:ligatures w14:val="standardContextual"/>
        </w:rPr>
      </w:pPr>
      <w:r w:rsidRPr="004412BC">
        <w:rPr>
          <w:rFonts w:asciiTheme="minorHAnsi" w:eastAsiaTheme="minorHAnsi" w:hAnsiTheme="minorHAnsi" w:cstheme="minorBidi"/>
          <w:kern w:val="2"/>
          <w14:ligatures w14:val="standardContextual"/>
        </w:rPr>
        <w:t>Most people want simple things. Enough income to feed their family. Goods and services they can afford. The chance to build something meaningful with their lives. Safety for their children. Peace with people in other countries who want exactly the same things.</w:t>
      </w:r>
    </w:p>
    <w:p w14:paraId="258B6AE0" w14:textId="77777777" w:rsidR="004412BC" w:rsidRPr="004412BC" w:rsidRDefault="004412BC" w:rsidP="004412BC">
      <w:pPr>
        <w:spacing w:after="160" w:line="278" w:lineRule="auto"/>
        <w:rPr>
          <w:rFonts w:asciiTheme="minorHAnsi" w:eastAsiaTheme="minorHAnsi" w:hAnsiTheme="minorHAnsi" w:cstheme="minorBidi"/>
          <w:kern w:val="2"/>
          <w14:ligatures w14:val="standardContextual"/>
        </w:rPr>
      </w:pPr>
      <w:r w:rsidRPr="004412BC">
        <w:rPr>
          <w:rFonts w:asciiTheme="minorHAnsi" w:eastAsiaTheme="minorHAnsi" w:hAnsiTheme="minorHAnsi" w:cstheme="minorBidi"/>
          <w:kern w:val="2"/>
          <w14:ligatures w14:val="standardContextual"/>
        </w:rPr>
        <w:t xml:space="preserve">Most people don't want wars. Most people don't want their tax money funding weapons that destroy other people's homes. Most people don't want their government installing or removing leaders in other countries based on which arrangement produces the best deal for corporations they don't own and never will. Most people don't want to send their children to die for objectives no one fully explains to them. Most people understand, even </w:t>
      </w:r>
      <w:r w:rsidRPr="004412BC">
        <w:rPr>
          <w:rFonts w:asciiTheme="minorHAnsi" w:eastAsiaTheme="minorHAnsi" w:hAnsiTheme="minorHAnsi" w:cstheme="minorBidi"/>
          <w:kern w:val="2"/>
          <w14:ligatures w14:val="standardContextual"/>
        </w:rPr>
        <w:lastRenderedPageBreak/>
        <w:t>when no one says it out loud, that what they share with strangers across borders — the basic human wish to live and to provide and to grow old surrounded by people they love — is more real than the differences their governments insist on emphasizing.</w:t>
      </w:r>
    </w:p>
    <w:p w14:paraId="708FE45F" w14:textId="77777777" w:rsidR="004412BC" w:rsidRPr="004412BC" w:rsidRDefault="004412BC" w:rsidP="004412BC">
      <w:pPr>
        <w:spacing w:after="160" w:line="278" w:lineRule="auto"/>
        <w:rPr>
          <w:rFonts w:asciiTheme="minorHAnsi" w:eastAsiaTheme="minorHAnsi" w:hAnsiTheme="minorHAnsi" w:cstheme="minorBidi"/>
          <w:kern w:val="2"/>
          <w14:ligatures w14:val="standardContextual"/>
        </w:rPr>
      </w:pPr>
      <w:r w:rsidRPr="004412BC">
        <w:rPr>
          <w:rFonts w:asciiTheme="minorHAnsi" w:eastAsiaTheme="minorHAnsi" w:hAnsiTheme="minorHAnsi" w:cstheme="minorBidi"/>
          <w:kern w:val="2"/>
          <w14:ligatures w14:val="standardContextual"/>
        </w:rPr>
        <w:t>The polling confirms this isn't a sentimental view, it's a documented majority position across the world. A 2024 Pew Research Center survey of 36 countries with 41,503 adult respondents found that 84% of people see the gap between rich and poor as at least a moderately big problem in their country, and 60% identified rich people having too much political influence as a major cause. A World Values Survey of 66 countries found that nearly half of all respondents say "the rich often buy elections" in their country. A 2026 survey by Democracy Without Borders covering 101 countries representing 90% of the world's population found that 40% of respondents support creating a citizen-elected world parliament — with another 33% neutral — because confidence in the current international system is collapsing. In 85 of the 101 countries, more respondents support the idea than oppose it.</w:t>
      </w:r>
    </w:p>
    <w:p w14:paraId="5B38F7E9" w14:textId="77777777" w:rsidR="004412BC" w:rsidRPr="004412BC" w:rsidRDefault="004412BC" w:rsidP="004412BC">
      <w:pPr>
        <w:spacing w:after="160" w:line="278" w:lineRule="auto"/>
        <w:rPr>
          <w:rFonts w:asciiTheme="minorHAnsi" w:eastAsiaTheme="minorHAnsi" w:hAnsiTheme="minorHAnsi" w:cstheme="minorBidi"/>
          <w:kern w:val="2"/>
          <w14:ligatures w14:val="standardContextual"/>
        </w:rPr>
      </w:pPr>
      <w:r w:rsidRPr="004412BC">
        <w:rPr>
          <w:rFonts w:asciiTheme="minorHAnsi" w:eastAsiaTheme="minorHAnsi" w:hAnsiTheme="minorHAnsi" w:cstheme="minorBidi"/>
          <w:kern w:val="2"/>
          <w14:ligatures w14:val="standardContextual"/>
        </w:rPr>
        <w:t>A Gallup International poll across 45 countries representing approximately half of the global population found something even more telling about war specifically: willingness to fight for one's country has declined from 61% in 2014 to roughly half today. The decline is concentrated in exactly the countries whose governments most actively push pro-war narratives — the European Union (32% willing to fight), the United States (41%), and Canada (34%) — compared to populations in West Asia (77%), the broader Middle East (73%), and India (76%). The president of Gallup International put it directly: "The elites in the West might be inclined to solve problems by fighting or supporting a war, but Western citizens are twice less inclined to bear arms compared to the citizens of the rest of the world."</w:t>
      </w:r>
    </w:p>
    <w:p w14:paraId="338B98F6" w14:textId="77777777" w:rsidR="004412BC" w:rsidRPr="004412BC" w:rsidRDefault="004412BC" w:rsidP="004412BC">
      <w:pPr>
        <w:spacing w:after="160" w:line="278" w:lineRule="auto"/>
        <w:rPr>
          <w:rFonts w:asciiTheme="minorHAnsi" w:eastAsiaTheme="minorHAnsi" w:hAnsiTheme="minorHAnsi" w:cstheme="minorBidi"/>
          <w:kern w:val="2"/>
          <w14:ligatures w14:val="standardContextual"/>
        </w:rPr>
      </w:pPr>
      <w:r w:rsidRPr="004412BC">
        <w:rPr>
          <w:rFonts w:asciiTheme="minorHAnsi" w:eastAsiaTheme="minorHAnsi" w:hAnsiTheme="minorHAnsi" w:cstheme="minorBidi"/>
          <w:kern w:val="2"/>
          <w14:ligatures w14:val="standardContextual"/>
        </w:rPr>
        <w:t>And yet wars keep happening. Governments keep getting overthrown. Resources keep being extracted from poor countries on terms that benefit a small number of shareholders in rich countries. Defense industry stocks keep rising when conflicts begin and falling when they end.</w:t>
      </w:r>
    </w:p>
    <w:p w14:paraId="0D77DDC0" w14:textId="77777777" w:rsidR="004412BC" w:rsidRPr="004412BC" w:rsidRDefault="004412BC" w:rsidP="004412BC">
      <w:pPr>
        <w:spacing w:after="160" w:line="278" w:lineRule="auto"/>
        <w:rPr>
          <w:rFonts w:asciiTheme="minorHAnsi" w:eastAsiaTheme="minorHAnsi" w:hAnsiTheme="minorHAnsi" w:cstheme="minorBidi"/>
          <w:kern w:val="2"/>
          <w14:ligatures w14:val="standardContextual"/>
        </w:rPr>
      </w:pPr>
      <w:r w:rsidRPr="004412BC">
        <w:rPr>
          <w:rFonts w:asciiTheme="minorHAnsi" w:eastAsiaTheme="minorHAnsi" w:hAnsiTheme="minorHAnsi" w:cstheme="minorBidi"/>
          <w:kern w:val="2"/>
          <w14:ligatures w14:val="standardContextual"/>
        </w:rPr>
        <w:t>How does this keep happening when most people don't want it?</w:t>
      </w:r>
    </w:p>
    <w:p w14:paraId="4A82D40F" w14:textId="77777777" w:rsidR="004412BC" w:rsidRPr="004412BC" w:rsidRDefault="004412BC" w:rsidP="004412BC">
      <w:pPr>
        <w:spacing w:after="160" w:line="278" w:lineRule="auto"/>
        <w:rPr>
          <w:rFonts w:asciiTheme="minorHAnsi" w:eastAsiaTheme="minorHAnsi" w:hAnsiTheme="minorHAnsi" w:cstheme="minorBidi"/>
          <w:kern w:val="2"/>
          <w14:ligatures w14:val="standardContextual"/>
        </w:rPr>
      </w:pPr>
      <w:r w:rsidRPr="004412BC">
        <w:rPr>
          <w:rFonts w:asciiTheme="minorHAnsi" w:eastAsiaTheme="minorHAnsi" w:hAnsiTheme="minorHAnsi" w:cstheme="minorBidi"/>
          <w:b/>
          <w:bCs/>
          <w:kern w:val="2"/>
          <w14:ligatures w14:val="standardContextual"/>
        </w:rPr>
        <w:t>The pattern since World War II</w:t>
      </w:r>
    </w:p>
    <w:p w14:paraId="180E1DF7" w14:textId="77777777" w:rsidR="004412BC" w:rsidRPr="004412BC" w:rsidRDefault="004412BC" w:rsidP="004412BC">
      <w:pPr>
        <w:spacing w:after="160" w:line="278" w:lineRule="auto"/>
        <w:rPr>
          <w:rFonts w:asciiTheme="minorHAnsi" w:eastAsiaTheme="minorHAnsi" w:hAnsiTheme="minorHAnsi" w:cstheme="minorBidi"/>
          <w:kern w:val="2"/>
          <w14:ligatures w14:val="standardContextual"/>
        </w:rPr>
      </w:pPr>
      <w:r w:rsidRPr="004412BC">
        <w:rPr>
          <w:rFonts w:asciiTheme="minorHAnsi" w:eastAsiaTheme="minorHAnsi" w:hAnsiTheme="minorHAnsi" w:cstheme="minorBidi"/>
          <w:kern w:val="2"/>
          <w14:ligatures w14:val="standardContextual"/>
        </w:rPr>
        <w:t>The honest answer to that question is uncomfortable but well-documented. Since World War II, US foreign policy has consistently included interventions to secure resource access, install or remove governments, and prioritize the interests of major US corporations in foreign markets. This is not a fringe interpretation. The interventions are documented in US government archives, in congressional records, and in mainstream diplomatic history.</w:t>
      </w:r>
    </w:p>
    <w:p w14:paraId="70A05063" w14:textId="77777777" w:rsidR="004412BC" w:rsidRPr="004412BC" w:rsidRDefault="004412BC" w:rsidP="004412BC">
      <w:pPr>
        <w:spacing w:after="160" w:line="278" w:lineRule="auto"/>
        <w:rPr>
          <w:rFonts w:asciiTheme="minorHAnsi" w:eastAsiaTheme="minorHAnsi" w:hAnsiTheme="minorHAnsi" w:cstheme="minorBidi"/>
          <w:kern w:val="2"/>
          <w14:ligatures w14:val="standardContextual"/>
        </w:rPr>
      </w:pPr>
      <w:r w:rsidRPr="004412BC">
        <w:rPr>
          <w:rFonts w:asciiTheme="minorHAnsi" w:eastAsiaTheme="minorHAnsi" w:hAnsiTheme="minorHAnsi" w:cstheme="minorBidi"/>
          <w:kern w:val="2"/>
          <w14:ligatures w14:val="standardContextual"/>
        </w:rPr>
        <w:lastRenderedPageBreak/>
        <w:t>A few of the documented examples: In 1953, the US and UK organized a coup in Iran (Operation Ajax) that overthrew the elected government of Mohammad Mosaddegh after he nationalized Iranian oil. In 1954, the US organized a coup in Guatemala that overthrew the elected government of Jacobo Árbenz after his land reform program threatened the interests of the United Fruit Company. In 1973, the US supported the coup that overthrew the elected government of Salvador Allende in Chile, partly motivated by Allende's nationalization of copper mines owned by US corporations. In 2003, the US invaded Iraq under the publicly stated justification of weapons of mass destruction that turned out not to exist; the resulting reconstruction and oil contracts were awarded primarily to US corporations. In 2011, the US-led intervention in Libya overthrew Muammar Gaddafi, whose plans for an African gold-backed currency would have undermined the dollar's role in African trade.</w:t>
      </w:r>
    </w:p>
    <w:p w14:paraId="5138E6FE" w14:textId="77777777" w:rsidR="004412BC" w:rsidRPr="004412BC" w:rsidRDefault="004412BC" w:rsidP="004412BC">
      <w:pPr>
        <w:spacing w:after="160" w:line="278" w:lineRule="auto"/>
        <w:rPr>
          <w:rFonts w:asciiTheme="minorHAnsi" w:eastAsiaTheme="minorHAnsi" w:hAnsiTheme="minorHAnsi" w:cstheme="minorBidi"/>
          <w:kern w:val="2"/>
          <w14:ligatures w14:val="standardContextual"/>
        </w:rPr>
      </w:pPr>
      <w:r w:rsidRPr="004412BC">
        <w:rPr>
          <w:rFonts w:asciiTheme="minorHAnsi" w:eastAsiaTheme="minorHAnsi" w:hAnsiTheme="minorHAnsi" w:cstheme="minorBidi"/>
          <w:kern w:val="2"/>
          <w14:ligatures w14:val="standardContextual"/>
        </w:rPr>
        <w:t>The pattern is consistent. A country resists foreign corporate interests, or attempts to control its own resources, or builds political alliances inconvenient to US economic interests, or threatens the dollar's reserve currency status. Pressure escalates from diplomacy, to sanctions, to covert action, to military intervention. Defense contractors profit at every stage. Energy companies, mining companies, and financial firms position themselves for post-conflict access. The pattern doesn't require a conspiracy. It requires only that politicians need campaign funding, that corporations have the most money to give, and that foreign policy gets shaped by who benefits from particular outcomes.</w:t>
      </w:r>
    </w:p>
    <w:p w14:paraId="0F026FE0" w14:textId="77777777" w:rsidR="004412BC" w:rsidRPr="004412BC" w:rsidRDefault="004412BC" w:rsidP="004412BC">
      <w:pPr>
        <w:spacing w:after="160" w:line="278" w:lineRule="auto"/>
        <w:rPr>
          <w:rFonts w:asciiTheme="minorHAnsi" w:eastAsiaTheme="minorHAnsi" w:hAnsiTheme="minorHAnsi" w:cstheme="minorBidi"/>
          <w:kern w:val="2"/>
          <w14:ligatures w14:val="standardContextual"/>
        </w:rPr>
      </w:pPr>
      <w:r w:rsidRPr="004412BC">
        <w:rPr>
          <w:rFonts w:asciiTheme="minorHAnsi" w:eastAsiaTheme="minorHAnsi" w:hAnsiTheme="minorHAnsi" w:cstheme="minorBidi"/>
          <w:kern w:val="2"/>
          <w14:ligatures w14:val="standardContextual"/>
        </w:rPr>
        <w:t>This is not unique to the United States. Russia, China, the United Kingdom, France, and Israel all conduct foreign policy that serves the economic interests of their politically influential domestic actors. The US case is the most consequential because the US is the largest military and financial power, and because the dollar's role in international trade gives the US unique leverage. But the pattern itself is global.</w:t>
      </w:r>
    </w:p>
    <w:p w14:paraId="6B8A906E" w14:textId="77777777" w:rsidR="004412BC" w:rsidRPr="004412BC" w:rsidRDefault="004412BC" w:rsidP="004412BC">
      <w:pPr>
        <w:spacing w:after="160" w:line="278" w:lineRule="auto"/>
        <w:rPr>
          <w:rFonts w:asciiTheme="minorHAnsi" w:eastAsiaTheme="minorHAnsi" w:hAnsiTheme="minorHAnsi" w:cstheme="minorBidi"/>
          <w:kern w:val="2"/>
          <w14:ligatures w14:val="standardContextual"/>
        </w:rPr>
      </w:pPr>
      <w:r w:rsidRPr="004412BC">
        <w:rPr>
          <w:rFonts w:asciiTheme="minorHAnsi" w:eastAsiaTheme="minorHAnsi" w:hAnsiTheme="minorHAnsi" w:cstheme="minorBidi"/>
          <w:b/>
          <w:bCs/>
          <w:kern w:val="2"/>
          <w14:ligatures w14:val="standardContextual"/>
        </w:rPr>
        <w:t>Today's wars: what they're actually about</w:t>
      </w:r>
    </w:p>
    <w:p w14:paraId="3DD3C4AC" w14:textId="77777777" w:rsidR="004412BC" w:rsidRPr="004412BC" w:rsidRDefault="004412BC" w:rsidP="004412BC">
      <w:pPr>
        <w:spacing w:after="160" w:line="278" w:lineRule="auto"/>
        <w:rPr>
          <w:rFonts w:asciiTheme="minorHAnsi" w:eastAsiaTheme="minorHAnsi" w:hAnsiTheme="minorHAnsi" w:cstheme="minorBidi"/>
          <w:kern w:val="2"/>
          <w14:ligatures w14:val="standardContextual"/>
        </w:rPr>
      </w:pPr>
      <w:r w:rsidRPr="004412BC">
        <w:rPr>
          <w:rFonts w:asciiTheme="minorHAnsi" w:eastAsiaTheme="minorHAnsi" w:hAnsiTheme="minorHAnsi" w:cstheme="minorBidi"/>
          <w:kern w:val="2"/>
          <w14:ligatures w14:val="standardContextual"/>
        </w:rPr>
        <w:t>The wars in the current period continue the pattern, though with the specific motivations more visible than at most points in history because of social media, leaks, and the increasing inability of governments to maintain narrative control.</w:t>
      </w:r>
    </w:p>
    <w:p w14:paraId="002CC5F1" w14:textId="77777777" w:rsidR="004412BC" w:rsidRPr="004412BC" w:rsidRDefault="004412BC" w:rsidP="004412BC">
      <w:pPr>
        <w:spacing w:after="160" w:line="278" w:lineRule="auto"/>
        <w:rPr>
          <w:rFonts w:asciiTheme="minorHAnsi" w:eastAsiaTheme="minorHAnsi" w:hAnsiTheme="minorHAnsi" w:cstheme="minorBidi"/>
          <w:kern w:val="2"/>
          <w14:ligatures w14:val="standardContextual"/>
        </w:rPr>
      </w:pPr>
      <w:r w:rsidRPr="004412BC">
        <w:rPr>
          <w:rFonts w:asciiTheme="minorHAnsi" w:eastAsiaTheme="minorHAnsi" w:hAnsiTheme="minorHAnsi" w:cstheme="minorBidi"/>
          <w:i/>
          <w:iCs/>
          <w:kern w:val="2"/>
          <w14:ligatures w14:val="standardContextual"/>
        </w:rPr>
        <w:t>Ukraine since 2022.</w:t>
      </w:r>
      <w:r w:rsidRPr="004412BC">
        <w:rPr>
          <w:rFonts w:asciiTheme="minorHAnsi" w:eastAsiaTheme="minorHAnsi" w:hAnsiTheme="minorHAnsi" w:cstheme="minorBidi"/>
          <w:kern w:val="2"/>
          <w14:ligatures w14:val="standardContextual"/>
        </w:rPr>
        <w:t xml:space="preserve"> Strategic competition over European energy supply (Russian gas vs. US LNG), control over Ukrainian agricultural exports (Ukraine is one of the world's largest wheat producers), and the broader question of whether NATO would expand to Russia's borders. Defense contractor stocks (Lockheed Martin, RTX, Boeing, Northrop Grumman, General Dynamics) outperformed the S&amp;P 500 by 17.82% in the year following Russia's </w:t>
      </w:r>
      <w:r w:rsidRPr="004412BC">
        <w:rPr>
          <w:rFonts w:asciiTheme="minorHAnsi" w:eastAsiaTheme="minorHAnsi" w:hAnsiTheme="minorHAnsi" w:cstheme="minorBidi"/>
          <w:kern w:val="2"/>
          <w14:ligatures w14:val="standardContextual"/>
        </w:rPr>
        <w:lastRenderedPageBreak/>
        <w:t>invasion. Lockheed Martin's stock nearly doubled over the three-year war and the company posted record earnings in 2024.</w:t>
      </w:r>
    </w:p>
    <w:p w14:paraId="50B25EA7" w14:textId="77777777" w:rsidR="004412BC" w:rsidRPr="004412BC" w:rsidRDefault="004412BC" w:rsidP="004412BC">
      <w:pPr>
        <w:spacing w:after="160" w:line="278" w:lineRule="auto"/>
        <w:rPr>
          <w:rFonts w:asciiTheme="minorHAnsi" w:eastAsiaTheme="minorHAnsi" w:hAnsiTheme="minorHAnsi" w:cstheme="minorBidi"/>
          <w:kern w:val="2"/>
          <w14:ligatures w14:val="standardContextual"/>
        </w:rPr>
      </w:pPr>
      <w:r w:rsidRPr="004412BC">
        <w:rPr>
          <w:rFonts w:asciiTheme="minorHAnsi" w:eastAsiaTheme="minorHAnsi" w:hAnsiTheme="minorHAnsi" w:cstheme="minorBidi"/>
          <w:i/>
          <w:iCs/>
          <w:kern w:val="2"/>
          <w14:ligatures w14:val="standardContextual"/>
        </w:rPr>
        <w:t>Gaza since October 2023.</w:t>
      </w:r>
      <w:r w:rsidRPr="004412BC">
        <w:rPr>
          <w:rFonts w:asciiTheme="minorHAnsi" w:eastAsiaTheme="minorHAnsi" w:hAnsiTheme="minorHAnsi" w:cstheme="minorBidi"/>
          <w:kern w:val="2"/>
          <w14:ligatures w14:val="standardContextual"/>
        </w:rPr>
        <w:t xml:space="preserve"> The military operation has killed over 66,000 Palestinians, wounded nearly 170,000 others, and subjected 2.1 million people to siege and starvation conditions, according to UN sources. Among the documented economic dimensions: the Gaza Marine gas field, discovered in 2000 off Gaza's coast, contains an estimated 1.1 to 1.4 trillion cubic feet of natural gas. Under the 1995 Oslo accords, the offshore area belongs to Palestinian jurisdiction. The field has been blocked from development for over 25 years. UNCTAD has documented that the broader Levant Basin contains an estimated 122 trillion cubic feet of natural gas plus 1.7 billion barrels of recoverable oil across territories that include Palestinian areas. Israel's own Leviathan field, with proven reserves of 600 billion cubic meters, generates approximately $10 billion annually in export revenue. The European Union signed a memorandum of understanding with Israel and Egypt in June 2022 to import Israeli natural gas. Energy security considerations are visibly entangled with the conflict; whether this is the primary driver, a secondary motivation, or one factor among many is debated, but its presence in the picture is documented and substantial.</w:t>
      </w:r>
    </w:p>
    <w:p w14:paraId="65E61E09" w14:textId="77777777" w:rsidR="004412BC" w:rsidRPr="004412BC" w:rsidRDefault="004412BC" w:rsidP="004412BC">
      <w:pPr>
        <w:spacing w:after="160" w:line="278" w:lineRule="auto"/>
        <w:rPr>
          <w:rFonts w:asciiTheme="minorHAnsi" w:eastAsiaTheme="minorHAnsi" w:hAnsiTheme="minorHAnsi" w:cstheme="minorBidi"/>
          <w:kern w:val="2"/>
          <w14:ligatures w14:val="standardContextual"/>
        </w:rPr>
      </w:pPr>
      <w:r w:rsidRPr="004412BC">
        <w:rPr>
          <w:rFonts w:asciiTheme="minorHAnsi" w:eastAsiaTheme="minorHAnsi" w:hAnsiTheme="minorHAnsi" w:cstheme="minorBidi"/>
          <w:i/>
          <w:iCs/>
          <w:kern w:val="2"/>
          <w14:ligatures w14:val="standardContextual"/>
        </w:rPr>
        <w:t>The Israel-Iran war of June 2025.</w:t>
      </w:r>
      <w:r w:rsidRPr="004412BC">
        <w:rPr>
          <w:rFonts w:asciiTheme="minorHAnsi" w:eastAsiaTheme="minorHAnsi" w:hAnsiTheme="minorHAnsi" w:cstheme="minorBidi"/>
          <w:kern w:val="2"/>
          <w14:ligatures w14:val="standardContextual"/>
        </w:rPr>
        <w:t xml:space="preserve"> The conflict produced production shutdowns at Israel's Leviathan and Karish fields, temporarily reducing exports to Egypt. Iran has the world's third-largest proven oil reserves and second-largest natural gas reserves. US-led sanctions since 2018 have aimed to reduce Iran's ability to export these resources, with the State Department documenting an ongoing "maximum pressure" campaign that includes sanctioning intermediaries who help Iran sell oil. The broader regional pattern: financial pressure on Iran weakens its ability to support political and military groups (Hamas, Hezbollah, the Houthis) that have positioned themselves as defenders of Palestinian causes. Iran's economic weakness, in this view, is a strategic objective tied to the broader regional alignment of power.</w:t>
      </w:r>
    </w:p>
    <w:p w14:paraId="481B20AD" w14:textId="77777777" w:rsidR="004412BC" w:rsidRPr="004412BC" w:rsidRDefault="004412BC" w:rsidP="004412BC">
      <w:pPr>
        <w:spacing w:after="160" w:line="278" w:lineRule="auto"/>
        <w:rPr>
          <w:rFonts w:asciiTheme="minorHAnsi" w:eastAsiaTheme="minorHAnsi" w:hAnsiTheme="minorHAnsi" w:cstheme="minorBidi"/>
          <w:kern w:val="2"/>
          <w14:ligatures w14:val="standardContextual"/>
        </w:rPr>
      </w:pPr>
      <w:r w:rsidRPr="004412BC">
        <w:rPr>
          <w:rFonts w:asciiTheme="minorHAnsi" w:eastAsiaTheme="minorHAnsi" w:hAnsiTheme="minorHAnsi" w:cstheme="minorBidi"/>
          <w:i/>
          <w:iCs/>
          <w:kern w:val="2"/>
          <w14:ligatures w14:val="standardContextual"/>
        </w:rPr>
        <w:t>Yemen since 2015.</w:t>
      </w:r>
      <w:r w:rsidRPr="004412BC">
        <w:rPr>
          <w:rFonts w:asciiTheme="minorHAnsi" w:eastAsiaTheme="minorHAnsi" w:hAnsiTheme="minorHAnsi" w:cstheme="minorBidi"/>
          <w:kern w:val="2"/>
          <w14:ligatures w14:val="standardContextual"/>
        </w:rPr>
        <w:t xml:space="preserve"> US-supplied Saudi-led coalition strikes have produced one of the worst humanitarian catastrophes of the century. Yemen's strategic importance includes the Bab-el-Mandeb strait, through which approximately 10% of global trade passes. Saudi-Iranian regional competition has used Yemen as a proxy battlefield.</w:t>
      </w:r>
    </w:p>
    <w:p w14:paraId="53C16BC8" w14:textId="77777777" w:rsidR="004412BC" w:rsidRPr="004412BC" w:rsidRDefault="004412BC" w:rsidP="004412BC">
      <w:pPr>
        <w:spacing w:after="160" w:line="278" w:lineRule="auto"/>
        <w:rPr>
          <w:rFonts w:asciiTheme="minorHAnsi" w:eastAsiaTheme="minorHAnsi" w:hAnsiTheme="minorHAnsi" w:cstheme="minorBidi"/>
          <w:kern w:val="2"/>
          <w14:ligatures w14:val="standardContextual"/>
        </w:rPr>
      </w:pPr>
      <w:r w:rsidRPr="004412BC">
        <w:rPr>
          <w:rFonts w:asciiTheme="minorHAnsi" w:eastAsiaTheme="minorHAnsi" w:hAnsiTheme="minorHAnsi" w:cstheme="minorBidi"/>
          <w:i/>
          <w:iCs/>
          <w:kern w:val="2"/>
          <w14:ligatures w14:val="standardContextual"/>
        </w:rPr>
        <w:t>Syria from 2011.</w:t>
      </w:r>
      <w:r w:rsidRPr="004412BC">
        <w:rPr>
          <w:rFonts w:asciiTheme="minorHAnsi" w:eastAsiaTheme="minorHAnsi" w:hAnsiTheme="minorHAnsi" w:cstheme="minorBidi"/>
          <w:kern w:val="2"/>
          <w14:ligatures w14:val="standardContextual"/>
        </w:rPr>
        <w:t xml:space="preserve"> A multi-sided proxy conflict involving the US, Russia, Iran, Turkey, Israel, and various non-state actors. Syria's pipeline geography (between the Persian Gulf and the Mediterranean) and its role in regional alignments with Iran make it strategically valuable. The Syrian conflict has displaced more than 13 million people.</w:t>
      </w:r>
    </w:p>
    <w:p w14:paraId="3E50B6D1" w14:textId="77777777" w:rsidR="004412BC" w:rsidRPr="004412BC" w:rsidRDefault="004412BC" w:rsidP="004412BC">
      <w:pPr>
        <w:spacing w:after="160" w:line="278" w:lineRule="auto"/>
        <w:rPr>
          <w:rFonts w:asciiTheme="minorHAnsi" w:eastAsiaTheme="minorHAnsi" w:hAnsiTheme="minorHAnsi" w:cstheme="minorBidi"/>
          <w:kern w:val="2"/>
          <w14:ligatures w14:val="standardContextual"/>
        </w:rPr>
      </w:pPr>
      <w:r w:rsidRPr="004412BC">
        <w:rPr>
          <w:rFonts w:asciiTheme="minorHAnsi" w:eastAsiaTheme="minorHAnsi" w:hAnsiTheme="minorHAnsi" w:cstheme="minorBidi"/>
          <w:i/>
          <w:iCs/>
          <w:kern w:val="2"/>
          <w14:ligatures w14:val="standardContextual"/>
        </w:rPr>
        <w:lastRenderedPageBreak/>
        <w:t>Sudan from 2023.</w:t>
      </w:r>
      <w:r w:rsidRPr="004412BC">
        <w:rPr>
          <w:rFonts w:asciiTheme="minorHAnsi" w:eastAsiaTheme="minorHAnsi" w:hAnsiTheme="minorHAnsi" w:cstheme="minorBidi"/>
          <w:kern w:val="2"/>
          <w14:ligatures w14:val="standardContextual"/>
        </w:rPr>
        <w:t xml:space="preserve"> Largely off Western media but documented by humanitarian organizations as among the largest current conflicts. Competition over gold mines, agricultural land, and strategic Red Sea access drives much of the violence. The conflict has displaced over 11 million people.</w:t>
      </w:r>
    </w:p>
    <w:p w14:paraId="39823DA1" w14:textId="77777777" w:rsidR="004412BC" w:rsidRPr="004412BC" w:rsidRDefault="004412BC" w:rsidP="004412BC">
      <w:pPr>
        <w:spacing w:after="160" w:line="278" w:lineRule="auto"/>
        <w:rPr>
          <w:rFonts w:asciiTheme="minorHAnsi" w:eastAsiaTheme="minorHAnsi" w:hAnsiTheme="minorHAnsi" w:cstheme="minorBidi"/>
          <w:kern w:val="2"/>
          <w14:ligatures w14:val="standardContextual"/>
        </w:rPr>
      </w:pPr>
      <w:r w:rsidRPr="004412BC">
        <w:rPr>
          <w:rFonts w:asciiTheme="minorHAnsi" w:eastAsiaTheme="minorHAnsi" w:hAnsiTheme="minorHAnsi" w:cstheme="minorBidi"/>
          <w:kern w:val="2"/>
          <w14:ligatures w14:val="standardContextual"/>
        </w:rPr>
        <w:t xml:space="preserve">The pattern across these conflicts is not that resource access is the only motivation — religious, ethnic, political, and historical factors all matter. The pattern is that resource access and corporate economic interests are </w:t>
      </w:r>
      <w:r w:rsidRPr="004412BC">
        <w:rPr>
          <w:rFonts w:asciiTheme="minorHAnsi" w:eastAsiaTheme="minorHAnsi" w:hAnsiTheme="minorHAnsi" w:cstheme="minorBidi"/>
          <w:i/>
          <w:iCs/>
          <w:kern w:val="2"/>
          <w14:ligatures w14:val="standardContextual"/>
        </w:rPr>
        <w:t>always part of the picture</w:t>
      </w:r>
      <w:r w:rsidRPr="004412BC">
        <w:rPr>
          <w:rFonts w:asciiTheme="minorHAnsi" w:eastAsiaTheme="minorHAnsi" w:hAnsiTheme="minorHAnsi" w:cstheme="minorBidi"/>
          <w:kern w:val="2"/>
          <w14:ligatures w14:val="standardContextual"/>
        </w:rPr>
        <w:t>, even when public discussion focuses on other dimensions. Wars are expensive. Someone always benefits financially. Looking at who benefits is not conspiracy theorizing — it's basic political economy.</w:t>
      </w:r>
    </w:p>
    <w:p w14:paraId="54830AD3" w14:textId="77777777" w:rsidR="004412BC" w:rsidRPr="004412BC" w:rsidRDefault="004412BC" w:rsidP="004412BC">
      <w:pPr>
        <w:spacing w:after="160" w:line="278" w:lineRule="auto"/>
        <w:rPr>
          <w:rFonts w:asciiTheme="minorHAnsi" w:eastAsiaTheme="minorHAnsi" w:hAnsiTheme="minorHAnsi" w:cstheme="minorBidi"/>
          <w:kern w:val="2"/>
          <w14:ligatures w14:val="standardContextual"/>
        </w:rPr>
      </w:pPr>
      <w:r w:rsidRPr="004412BC">
        <w:rPr>
          <w:rFonts w:asciiTheme="minorHAnsi" w:eastAsiaTheme="minorHAnsi" w:hAnsiTheme="minorHAnsi" w:cstheme="minorBidi"/>
          <w:b/>
          <w:bCs/>
          <w:kern w:val="2"/>
          <w14:ligatures w14:val="standardContextual"/>
        </w:rPr>
        <w:t>The financial mechanism, openly described</w:t>
      </w:r>
    </w:p>
    <w:p w14:paraId="4243297A" w14:textId="77777777" w:rsidR="004412BC" w:rsidRPr="004412BC" w:rsidRDefault="004412BC" w:rsidP="004412BC">
      <w:pPr>
        <w:spacing w:after="160" w:line="278" w:lineRule="auto"/>
        <w:rPr>
          <w:rFonts w:asciiTheme="minorHAnsi" w:eastAsiaTheme="minorHAnsi" w:hAnsiTheme="minorHAnsi" w:cstheme="minorBidi"/>
          <w:kern w:val="2"/>
          <w14:ligatures w14:val="standardContextual"/>
        </w:rPr>
      </w:pPr>
      <w:r w:rsidRPr="004412BC">
        <w:rPr>
          <w:rFonts w:asciiTheme="minorHAnsi" w:eastAsiaTheme="minorHAnsi" w:hAnsiTheme="minorHAnsi" w:cstheme="minorBidi"/>
          <w:kern w:val="2"/>
          <w14:ligatures w14:val="standardContextual"/>
        </w:rPr>
        <w:t>What makes the current period unusually clear is that investment analysts describe the mechanism in plain language because their clients need to understand it to make money.</w:t>
      </w:r>
    </w:p>
    <w:p w14:paraId="259B0B95" w14:textId="77777777" w:rsidR="004412BC" w:rsidRPr="004412BC" w:rsidRDefault="004412BC" w:rsidP="004412BC">
      <w:pPr>
        <w:spacing w:after="160" w:line="278" w:lineRule="auto"/>
        <w:rPr>
          <w:rFonts w:asciiTheme="minorHAnsi" w:eastAsiaTheme="minorHAnsi" w:hAnsiTheme="minorHAnsi" w:cstheme="minorBidi"/>
          <w:kern w:val="2"/>
          <w14:ligatures w14:val="standardContextual"/>
        </w:rPr>
      </w:pPr>
      <w:r w:rsidRPr="004412BC">
        <w:rPr>
          <w:rFonts w:asciiTheme="minorHAnsi" w:eastAsiaTheme="minorHAnsi" w:hAnsiTheme="minorHAnsi" w:cstheme="minorBidi"/>
          <w:kern w:val="2"/>
          <w14:ligatures w14:val="standardContextual"/>
        </w:rPr>
        <w:t>One analysis of the largest US defense contractor describes its stock as "literally a barometer of geopolitical tensions." The stock nearly doubled during the Russia-Ukraine war. The company posted record earnings in 2024 as conflicts intensified. In 2024, 71% of the company's $67 billion in revenues came from US government contracts — meaning American taxpayers funded the majority of the revenue, while the resulting profits flowed primarily to shareholders. In 2022 alone, the company returned $11 billion to shareholders through buybacks and dividends.</w:t>
      </w:r>
    </w:p>
    <w:p w14:paraId="481819F0" w14:textId="77777777" w:rsidR="004412BC" w:rsidRPr="004412BC" w:rsidRDefault="004412BC" w:rsidP="004412BC">
      <w:pPr>
        <w:spacing w:after="160" w:line="278" w:lineRule="auto"/>
        <w:rPr>
          <w:rFonts w:asciiTheme="minorHAnsi" w:eastAsiaTheme="minorHAnsi" w:hAnsiTheme="minorHAnsi" w:cstheme="minorBidi"/>
          <w:kern w:val="2"/>
          <w14:ligatures w14:val="standardContextual"/>
        </w:rPr>
      </w:pPr>
      <w:r w:rsidRPr="004412BC">
        <w:rPr>
          <w:rFonts w:asciiTheme="minorHAnsi" w:eastAsiaTheme="minorHAnsi" w:hAnsiTheme="minorHAnsi" w:cstheme="minorBidi"/>
          <w:kern w:val="2"/>
          <w14:ligatures w14:val="standardContextual"/>
        </w:rPr>
        <w:t>When a new US administration began signaling intentions to end the Ukraine and Gaza conflicts in 2025, defense stocks fell. Markets read peace as bad for defense industry profits and repriced the stocks accordingly. This is not a moral observation about defense companies. It is a market mechanism that anyone with a brokerage account can observe.</w:t>
      </w:r>
    </w:p>
    <w:p w14:paraId="5FA7D89D" w14:textId="77777777" w:rsidR="004412BC" w:rsidRPr="004412BC" w:rsidRDefault="004412BC" w:rsidP="004412BC">
      <w:pPr>
        <w:spacing w:after="160" w:line="278" w:lineRule="auto"/>
        <w:rPr>
          <w:rFonts w:asciiTheme="minorHAnsi" w:eastAsiaTheme="minorHAnsi" w:hAnsiTheme="minorHAnsi" w:cstheme="minorBidi"/>
          <w:kern w:val="2"/>
          <w14:ligatures w14:val="standardContextual"/>
        </w:rPr>
      </w:pPr>
      <w:r w:rsidRPr="004412BC">
        <w:rPr>
          <w:rFonts w:asciiTheme="minorHAnsi" w:eastAsiaTheme="minorHAnsi" w:hAnsiTheme="minorHAnsi" w:cstheme="minorBidi"/>
          <w:kern w:val="2"/>
          <w14:ligatures w14:val="standardContextual"/>
        </w:rPr>
        <w:t>The same pattern operates in other industries. Oil and gas company stocks track resource access. Pharmaceutical company stocks track regulatory and patent regimes. Tech company stocks track antitrust and content moderation policy. In each case, the companies have substantial financial incentive to influence the policies that determine their profits. They do so through campaign contributions, lobbying, post-government employment, and political advertising. The arrangement is legal, openly disclosed in some respects, and pervasive.</w:t>
      </w:r>
    </w:p>
    <w:p w14:paraId="452DE35D" w14:textId="77777777" w:rsidR="004412BC" w:rsidRPr="004412BC" w:rsidRDefault="004412BC" w:rsidP="004412BC">
      <w:pPr>
        <w:spacing w:after="160" w:line="278" w:lineRule="auto"/>
        <w:rPr>
          <w:rFonts w:asciiTheme="minorHAnsi" w:eastAsiaTheme="minorHAnsi" w:hAnsiTheme="minorHAnsi" w:cstheme="minorBidi"/>
          <w:kern w:val="2"/>
          <w14:ligatures w14:val="standardContextual"/>
        </w:rPr>
      </w:pPr>
      <w:r w:rsidRPr="004412BC">
        <w:rPr>
          <w:rFonts w:asciiTheme="minorHAnsi" w:eastAsiaTheme="minorHAnsi" w:hAnsiTheme="minorHAnsi" w:cstheme="minorBidi"/>
          <w:b/>
          <w:bCs/>
          <w:kern w:val="2"/>
          <w14:ligatures w14:val="standardContextual"/>
        </w:rPr>
        <w:t>The political capture, named precisely</w:t>
      </w:r>
    </w:p>
    <w:p w14:paraId="0C7848F2" w14:textId="77777777" w:rsidR="004412BC" w:rsidRPr="004412BC" w:rsidRDefault="004412BC" w:rsidP="004412BC">
      <w:pPr>
        <w:spacing w:after="160" w:line="278" w:lineRule="auto"/>
        <w:rPr>
          <w:rFonts w:asciiTheme="minorHAnsi" w:eastAsiaTheme="minorHAnsi" w:hAnsiTheme="minorHAnsi" w:cstheme="minorBidi"/>
          <w:kern w:val="2"/>
          <w14:ligatures w14:val="standardContextual"/>
        </w:rPr>
      </w:pPr>
      <w:r w:rsidRPr="004412BC">
        <w:rPr>
          <w:rFonts w:asciiTheme="minorHAnsi" w:eastAsiaTheme="minorHAnsi" w:hAnsiTheme="minorHAnsi" w:cstheme="minorBidi"/>
          <w:kern w:val="2"/>
          <w14:ligatures w14:val="standardContextual"/>
        </w:rPr>
        <w:t xml:space="preserve">A specific feature of US foreign policy worth naming, since you asked about it: AIPAC (the American Israel Public Affairs Committee) is one of the most effective lobbying </w:t>
      </w:r>
      <w:r w:rsidRPr="004412BC">
        <w:rPr>
          <w:rFonts w:asciiTheme="minorHAnsi" w:eastAsiaTheme="minorHAnsi" w:hAnsiTheme="minorHAnsi" w:cstheme="minorBidi"/>
          <w:kern w:val="2"/>
          <w14:ligatures w14:val="standardContextual"/>
        </w:rPr>
        <w:lastRenderedPageBreak/>
        <w:t>organizations in US politics. Its political action committees have spent hundreds of millions of dollars in recent election cycles supporting candidates aligned with the current Israeli government's positions and opposing candidates critical of those positions. AIPAC operates legally and discloses its spending. AIPAC is not a stand-in for Jewish people, who hold a wide range of views on Israeli government policy and many of whom (including major Jewish-American organizations like J Street, IfNotNow, and Jewish Voice for Peace) explicitly oppose AIPAC's positions.</w:t>
      </w:r>
    </w:p>
    <w:p w14:paraId="7D931D70" w14:textId="77777777" w:rsidR="004412BC" w:rsidRPr="004412BC" w:rsidRDefault="004412BC" w:rsidP="004412BC">
      <w:pPr>
        <w:spacing w:after="160" w:line="278" w:lineRule="auto"/>
        <w:rPr>
          <w:rFonts w:asciiTheme="minorHAnsi" w:eastAsiaTheme="minorHAnsi" w:hAnsiTheme="minorHAnsi" w:cstheme="minorBidi"/>
          <w:kern w:val="2"/>
          <w14:ligatures w14:val="standardContextual"/>
        </w:rPr>
      </w:pPr>
      <w:r w:rsidRPr="004412BC">
        <w:rPr>
          <w:rFonts w:asciiTheme="minorHAnsi" w:eastAsiaTheme="minorHAnsi" w:hAnsiTheme="minorHAnsi" w:cstheme="minorBidi"/>
          <w:kern w:val="2"/>
          <w14:ligatures w14:val="standardContextual"/>
        </w:rPr>
        <w:t>The fund's concern with AIPAC isn't about its members' identity or religion. It's about the structural problem of a foreign country's government effectively shaping another country's foreign policy through domestic lobbying. This problem is not unique to AIPAC. Saudi Arabia spends substantial sums lobbying US foreign policy. The UAE does. Taiwan does. Cuba's exile community does in the opposite direction. The structural problem is that foreign governments and their domestic allies shape US foreign policy at the expense of US voters who have no say in foreign elections. And the same problem operates in reverse: US foreign policy shapes other countries' politics without those countries' citizens having any vote in US elections.</w:t>
      </w:r>
    </w:p>
    <w:p w14:paraId="0FDD545E" w14:textId="77777777" w:rsidR="004412BC" w:rsidRPr="004412BC" w:rsidRDefault="004412BC" w:rsidP="004412BC">
      <w:pPr>
        <w:spacing w:after="160" w:line="278" w:lineRule="auto"/>
        <w:rPr>
          <w:rFonts w:asciiTheme="minorHAnsi" w:eastAsiaTheme="minorHAnsi" w:hAnsiTheme="minorHAnsi" w:cstheme="minorBidi"/>
          <w:kern w:val="2"/>
          <w14:ligatures w14:val="standardContextual"/>
        </w:rPr>
      </w:pPr>
      <w:r w:rsidRPr="004412BC">
        <w:rPr>
          <w:rFonts w:asciiTheme="minorHAnsi" w:eastAsiaTheme="minorHAnsi" w:hAnsiTheme="minorHAnsi" w:cstheme="minorBidi"/>
          <w:kern w:val="2"/>
          <w14:ligatures w14:val="standardContextual"/>
        </w:rPr>
        <w:t>The principle the fund supports: a country's foreign policy should be shaped by its own citizens, in accordance with democratic accountability and international law. Foreign governments influencing each other's domestic politics through lobbying networks corrupts the principle. This is true whether the foreign influence comes from Israel, Saudi Arabia, China, Russia, the European Union, or anyone else. The fund's structural commitment to staying out of all of this — out of defense contracting, out of foreign-policy lobbying, out of resource extraction in countries that haven't consented — is what makes the fund different from the existing actors who profit from the current arrangement.</w:t>
      </w:r>
    </w:p>
    <w:p w14:paraId="38FA453C" w14:textId="77777777" w:rsidR="004412BC" w:rsidRPr="004412BC" w:rsidRDefault="004412BC" w:rsidP="004412BC">
      <w:pPr>
        <w:spacing w:after="160" w:line="278" w:lineRule="auto"/>
        <w:rPr>
          <w:rFonts w:asciiTheme="minorHAnsi" w:eastAsiaTheme="minorHAnsi" w:hAnsiTheme="minorHAnsi" w:cstheme="minorBidi"/>
          <w:kern w:val="2"/>
          <w14:ligatures w14:val="standardContextual"/>
        </w:rPr>
      </w:pPr>
      <w:r w:rsidRPr="004412BC">
        <w:rPr>
          <w:rFonts w:asciiTheme="minorHAnsi" w:eastAsiaTheme="minorHAnsi" w:hAnsiTheme="minorHAnsi" w:cstheme="minorBidi"/>
          <w:b/>
          <w:bCs/>
          <w:kern w:val="2"/>
          <w14:ligatures w14:val="standardContextual"/>
        </w:rPr>
        <w:t>What the fund does about all this</w:t>
      </w:r>
    </w:p>
    <w:p w14:paraId="743ED347" w14:textId="77777777" w:rsidR="004412BC" w:rsidRPr="004412BC" w:rsidRDefault="004412BC" w:rsidP="004412BC">
      <w:pPr>
        <w:spacing w:after="160" w:line="278" w:lineRule="auto"/>
        <w:rPr>
          <w:rFonts w:asciiTheme="minorHAnsi" w:eastAsiaTheme="minorHAnsi" w:hAnsiTheme="minorHAnsi" w:cstheme="minorBidi"/>
          <w:kern w:val="2"/>
          <w14:ligatures w14:val="standardContextual"/>
        </w:rPr>
      </w:pPr>
      <w:r w:rsidRPr="004412BC">
        <w:rPr>
          <w:rFonts w:asciiTheme="minorHAnsi" w:eastAsiaTheme="minorHAnsi" w:hAnsiTheme="minorHAnsi" w:cstheme="minorBidi"/>
          <w:kern w:val="2"/>
          <w14:ligatures w14:val="standardContextual"/>
        </w:rPr>
        <w:t>The fund exists because most people want a different relationship with the global economy than the one they currently have. They want fair wages for the work they do. They want goods and services they can afford. They want their savings to grow rather than be eroded by inflation while the wealthy capture all asset appreciation. They want peace with their neighbors abroad. They want their governments to represent them rather than the small number of corporations and foreign interests that fund the political class.</w:t>
      </w:r>
    </w:p>
    <w:p w14:paraId="293C4BBF" w14:textId="77777777" w:rsidR="004412BC" w:rsidRPr="004412BC" w:rsidRDefault="004412BC" w:rsidP="004412BC">
      <w:pPr>
        <w:spacing w:after="160" w:line="278" w:lineRule="auto"/>
        <w:rPr>
          <w:rFonts w:asciiTheme="minorHAnsi" w:eastAsiaTheme="minorHAnsi" w:hAnsiTheme="minorHAnsi" w:cstheme="minorBidi"/>
          <w:kern w:val="2"/>
          <w14:ligatures w14:val="standardContextual"/>
        </w:rPr>
      </w:pPr>
      <w:r w:rsidRPr="004412BC">
        <w:rPr>
          <w:rFonts w:asciiTheme="minorHAnsi" w:eastAsiaTheme="minorHAnsi" w:hAnsiTheme="minorHAnsi" w:cstheme="minorBidi"/>
          <w:kern w:val="2"/>
          <w14:ligatures w14:val="standardContextual"/>
        </w:rPr>
        <w:t xml:space="preserve">The fund cannot deliver all of this immediately. But it can change the structure of the global economy progressively, over decades, in ways that reduce the leverage of concentrated economic power and increase the participation of ordinary people in productive ownership. The mechanism is what we've described in earlier articles: members contribute </w:t>
      </w:r>
      <w:r w:rsidRPr="004412BC">
        <w:rPr>
          <w:rFonts w:asciiTheme="minorHAnsi" w:eastAsiaTheme="minorHAnsi" w:hAnsiTheme="minorHAnsi" w:cstheme="minorBidi"/>
          <w:kern w:val="2"/>
          <w14:ligatures w14:val="standardContextual"/>
        </w:rPr>
        <w:lastRenderedPageBreak/>
        <w:t>$1 a month, the fund builds productive enterprise in essential industries, members receive dividends, and the cumulative effect is meaningful redistribution of economic ownership.</w:t>
      </w:r>
    </w:p>
    <w:p w14:paraId="0932A918" w14:textId="77777777" w:rsidR="004412BC" w:rsidRPr="004412BC" w:rsidRDefault="004412BC" w:rsidP="004412BC">
      <w:pPr>
        <w:spacing w:after="160" w:line="278" w:lineRule="auto"/>
        <w:rPr>
          <w:rFonts w:asciiTheme="minorHAnsi" w:eastAsiaTheme="minorHAnsi" w:hAnsiTheme="minorHAnsi" w:cstheme="minorBidi"/>
          <w:kern w:val="2"/>
          <w14:ligatures w14:val="standardContextual"/>
        </w:rPr>
      </w:pPr>
      <w:r w:rsidRPr="004412BC">
        <w:rPr>
          <w:rFonts w:asciiTheme="minorHAnsi" w:eastAsiaTheme="minorHAnsi" w:hAnsiTheme="minorHAnsi" w:cstheme="minorBidi"/>
          <w:kern w:val="2"/>
          <w14:ligatures w14:val="standardContextual"/>
        </w:rPr>
        <w:t>What the fund offers specifically to someone who has watched the patterns described above and concluded that something needs to change:</w:t>
      </w:r>
    </w:p>
    <w:p w14:paraId="778DB4DD" w14:textId="77777777" w:rsidR="004412BC" w:rsidRPr="004412BC" w:rsidRDefault="004412BC" w:rsidP="004412BC">
      <w:pPr>
        <w:spacing w:after="160" w:line="278" w:lineRule="auto"/>
        <w:rPr>
          <w:rFonts w:asciiTheme="minorHAnsi" w:eastAsiaTheme="minorHAnsi" w:hAnsiTheme="minorHAnsi" w:cstheme="minorBidi"/>
          <w:kern w:val="2"/>
          <w14:ligatures w14:val="standardContextual"/>
        </w:rPr>
      </w:pPr>
      <w:r w:rsidRPr="004412BC">
        <w:rPr>
          <w:rFonts w:asciiTheme="minorHAnsi" w:eastAsiaTheme="minorHAnsi" w:hAnsiTheme="minorHAnsi" w:cstheme="minorBidi"/>
          <w:kern w:val="2"/>
          <w14:ligatures w14:val="standardContextual"/>
        </w:rPr>
        <w:t>A way to opt out of supporting extractive systems with their money. By directing spending toward fund-owned companies as those companies emerge, members direct profits back to themselves and other members rather than to private shareholders who use those profits to fund political capture.</w:t>
      </w:r>
    </w:p>
    <w:p w14:paraId="12607681" w14:textId="77777777" w:rsidR="004412BC" w:rsidRPr="004412BC" w:rsidRDefault="004412BC" w:rsidP="004412BC">
      <w:pPr>
        <w:spacing w:after="160" w:line="278" w:lineRule="auto"/>
        <w:rPr>
          <w:rFonts w:asciiTheme="minorHAnsi" w:eastAsiaTheme="minorHAnsi" w:hAnsiTheme="minorHAnsi" w:cstheme="minorBidi"/>
          <w:kern w:val="2"/>
          <w14:ligatures w14:val="standardContextual"/>
        </w:rPr>
      </w:pPr>
      <w:r w:rsidRPr="004412BC">
        <w:rPr>
          <w:rFonts w:asciiTheme="minorHAnsi" w:eastAsiaTheme="minorHAnsi" w:hAnsiTheme="minorHAnsi" w:cstheme="minorBidi"/>
          <w:kern w:val="2"/>
          <w14:ligatures w14:val="standardContextual"/>
        </w:rPr>
        <w:t>A way to receive ongoing income from the productive economy. The dividend, growing over decades, becomes a meaningful supplemental income for hundreds of millions of households that currently have no productive ownership at all.</w:t>
      </w:r>
    </w:p>
    <w:p w14:paraId="19AEDBDA" w14:textId="77777777" w:rsidR="004412BC" w:rsidRPr="004412BC" w:rsidRDefault="004412BC" w:rsidP="004412BC">
      <w:pPr>
        <w:spacing w:after="160" w:line="278" w:lineRule="auto"/>
        <w:rPr>
          <w:rFonts w:asciiTheme="minorHAnsi" w:eastAsiaTheme="minorHAnsi" w:hAnsiTheme="minorHAnsi" w:cstheme="minorBidi"/>
          <w:kern w:val="2"/>
          <w14:ligatures w14:val="standardContextual"/>
        </w:rPr>
      </w:pPr>
      <w:r w:rsidRPr="004412BC">
        <w:rPr>
          <w:rFonts w:asciiTheme="minorHAnsi" w:eastAsiaTheme="minorHAnsi" w:hAnsiTheme="minorHAnsi" w:cstheme="minorBidi"/>
          <w:kern w:val="2"/>
          <w14:ligatures w14:val="standardContextual"/>
        </w:rPr>
        <w:t>A way to support local entrepreneurs and small businesses through fund-aligned banking, fair financing, and the fund's card network that doesn't extract through interest spreads or excessive merchant fees. The fund competes with global corporations while supporting local businesses — exactly the inverse of the populist critique that global institutions destroy local economies.</w:t>
      </w:r>
    </w:p>
    <w:p w14:paraId="6434FB62" w14:textId="77777777" w:rsidR="004412BC" w:rsidRPr="004412BC" w:rsidRDefault="004412BC" w:rsidP="004412BC">
      <w:pPr>
        <w:spacing w:after="160" w:line="278" w:lineRule="auto"/>
        <w:rPr>
          <w:rFonts w:asciiTheme="minorHAnsi" w:eastAsiaTheme="minorHAnsi" w:hAnsiTheme="minorHAnsi" w:cstheme="minorBidi"/>
          <w:kern w:val="2"/>
          <w14:ligatures w14:val="standardContextual"/>
        </w:rPr>
      </w:pPr>
      <w:r w:rsidRPr="004412BC">
        <w:rPr>
          <w:rFonts w:asciiTheme="minorHAnsi" w:eastAsiaTheme="minorHAnsi" w:hAnsiTheme="minorHAnsi" w:cstheme="minorBidi"/>
          <w:kern w:val="2"/>
          <w14:ligatures w14:val="standardContextual"/>
        </w:rPr>
        <w:t>A way to be part of an institution that explicitly refuses to profit from war or extraction. The fund's exclusion of defense and weapons manufacturing is a structural commitment in its constitutional layer that cannot be overridden by future votes. Similarly with resource extraction: the fund commits to fair pricing in the value chain from extraction to consumer, leaving the actual extraction to whatever model a resource-rich country chooses for itself (citizen-owned national companies, where citizens decide to organize that way; or licensed private extraction with government royalties, where countries have chosen that path). The fund operates in the downstream value chain — refining, manufacturing, distribution, retail — and operates fairly so that the value created flows to workers, suppliers, and members rather than being concentrated.</w:t>
      </w:r>
    </w:p>
    <w:p w14:paraId="5F9CB97D" w14:textId="77777777" w:rsidR="004412BC" w:rsidRPr="004412BC" w:rsidRDefault="004412BC" w:rsidP="004412BC">
      <w:pPr>
        <w:spacing w:after="160" w:line="278" w:lineRule="auto"/>
        <w:rPr>
          <w:rFonts w:asciiTheme="minorHAnsi" w:eastAsiaTheme="minorHAnsi" w:hAnsiTheme="minorHAnsi" w:cstheme="minorBidi"/>
          <w:kern w:val="2"/>
          <w14:ligatures w14:val="standardContextual"/>
        </w:rPr>
      </w:pPr>
      <w:r w:rsidRPr="004412BC">
        <w:rPr>
          <w:rFonts w:asciiTheme="minorHAnsi" w:eastAsiaTheme="minorHAnsi" w:hAnsiTheme="minorHAnsi" w:cstheme="minorBidi"/>
          <w:kern w:val="2"/>
          <w14:ligatures w14:val="standardContextual"/>
        </w:rPr>
        <w:t>A way to support an independent media presence eventually. As the fund grows, it will need its own media organization — not propaganda, but genuine journalism with the structural independence that comes from being citizen-owned rather than oligarch-owned. Most major media in democratic countries are currently owned by concentrated capital with documented financial interests in particular policy outcomes; the fund's eventual media arm operates from a different structural position.</w:t>
      </w:r>
    </w:p>
    <w:p w14:paraId="1A84D6EA" w14:textId="77777777" w:rsidR="004412BC" w:rsidRPr="004412BC" w:rsidRDefault="004412BC" w:rsidP="004412BC">
      <w:pPr>
        <w:spacing w:after="160" w:line="278" w:lineRule="auto"/>
        <w:rPr>
          <w:rFonts w:asciiTheme="minorHAnsi" w:eastAsiaTheme="minorHAnsi" w:hAnsiTheme="minorHAnsi" w:cstheme="minorBidi"/>
          <w:kern w:val="2"/>
          <w14:ligatures w14:val="standardContextual"/>
        </w:rPr>
      </w:pPr>
      <w:r w:rsidRPr="004412BC">
        <w:rPr>
          <w:rFonts w:asciiTheme="minorHAnsi" w:eastAsiaTheme="minorHAnsi" w:hAnsiTheme="minorHAnsi" w:cstheme="minorBidi"/>
          <w:kern w:val="2"/>
          <w14:ligatures w14:val="standardContextual"/>
        </w:rPr>
        <w:t>This is what people receive when they join. The rest of this article addresses what happens next — how the fund actually competes with established private firms in real markets, what advantages it has, what disadvantages it faces, and what "winning" actually looks like.</w:t>
      </w:r>
    </w:p>
    <w:p w14:paraId="75359510" w14:textId="77777777" w:rsidR="004412BC" w:rsidRPr="004412BC" w:rsidRDefault="004412BC" w:rsidP="004412BC">
      <w:pPr>
        <w:spacing w:after="160" w:line="278" w:lineRule="auto"/>
        <w:rPr>
          <w:rFonts w:asciiTheme="minorHAnsi" w:eastAsiaTheme="minorHAnsi" w:hAnsiTheme="minorHAnsi" w:cstheme="minorBidi"/>
          <w:kern w:val="2"/>
          <w14:ligatures w14:val="standardContextual"/>
        </w:rPr>
      </w:pPr>
      <w:r w:rsidRPr="004412BC">
        <w:rPr>
          <w:rFonts w:asciiTheme="minorHAnsi" w:eastAsiaTheme="minorHAnsi" w:hAnsiTheme="minorHAnsi" w:cstheme="minorBidi"/>
          <w:b/>
          <w:bCs/>
          <w:kern w:val="2"/>
          <w14:ligatures w14:val="standardContextual"/>
        </w:rPr>
        <w:lastRenderedPageBreak/>
        <w:t>The four reasons people join (and stay)</w:t>
      </w:r>
    </w:p>
    <w:p w14:paraId="703213A6" w14:textId="77777777" w:rsidR="004412BC" w:rsidRDefault="004412BC" w:rsidP="004412BC">
      <w:pPr>
        <w:spacing w:after="160" w:line="278" w:lineRule="auto"/>
        <w:rPr>
          <w:rFonts w:asciiTheme="minorHAnsi" w:eastAsiaTheme="minorHAnsi" w:hAnsiTheme="minorHAnsi" w:cstheme="minorBidi"/>
          <w:kern w:val="2"/>
          <w14:ligatures w14:val="standardContextual"/>
        </w:rPr>
      </w:pPr>
      <w:r w:rsidRPr="004412BC">
        <w:rPr>
          <w:rFonts w:asciiTheme="minorHAnsi" w:eastAsiaTheme="minorHAnsi" w:hAnsiTheme="minorHAnsi" w:cstheme="minorBidi"/>
          <w:kern w:val="2"/>
          <w14:ligatures w14:val="standardContextual"/>
        </w:rPr>
        <w:t>The strength of the fund's appeal comes from four reasons that overlap and reinforce each other. No single one of them carries the case alone, but together they explain why someone would sign up and stay signed up for decades.</w:t>
      </w:r>
    </w:p>
    <w:p w14:paraId="6A5E307A" w14:textId="18698B76" w:rsidR="004412BC" w:rsidRPr="004412BC" w:rsidRDefault="004412BC" w:rsidP="004412BC">
      <w:pPr>
        <w:spacing w:after="160" w:line="278" w:lineRule="auto"/>
        <w:rPr>
          <w:rFonts w:asciiTheme="minorHAnsi" w:eastAsiaTheme="minorHAnsi" w:hAnsiTheme="minorHAnsi" w:cstheme="minorBidi"/>
          <w:kern w:val="2"/>
          <w14:ligatures w14:val="standardContextual"/>
        </w:rPr>
      </w:pPr>
      <w:r w:rsidRPr="004412BC">
        <w:rPr>
          <w:rFonts w:asciiTheme="minorHAnsi" w:eastAsiaTheme="minorHAnsi" w:hAnsiTheme="minorHAnsi" w:cstheme="minorBidi"/>
          <w:kern w:val="2"/>
          <w14:ligatures w14:val="standardContextual"/>
        </w:rPr>
        <w:t xml:space="preserve">The first reason is economic. </w:t>
      </w:r>
      <w:r w:rsidR="008B7F3A" w:rsidRPr="008B7F3A">
        <w:rPr>
          <w:rFonts w:asciiTheme="minorHAnsi" w:eastAsiaTheme="minorHAnsi" w:hAnsiTheme="minorHAnsi" w:cstheme="minorBidi"/>
          <w:kern w:val="2"/>
          <w14:ligatures w14:val="standardContextual"/>
        </w:rPr>
        <w:t>Dividends begin from the moment the fund has acquired its first companies and produced its first quarter of profit — not 30 years from now. In Year 1, with the fund's portfolio still small and membership growing, the per-member dividend is modest — under $1 across all scenarios. By Year 5, with multiple acquired companies in essential goods and the digital banking arm generating fees, the dividend has grown to roughly $7-8 per member annually — meaningful for households in lower-income countries where this represents a week's wages, and a useful supplement elsewhere. By Year 10, the dividend reaches roughly $25-33 per member annually, becoming a substantial event in poorer countries while remaining a modest supplement in wealthy ones. The first decade is the foundational period; the transformational dividend trajectory unfolds across the following two decades. By Year 20, with the fund's compounding capital base and expanded operations, dividends approach a significant share of monthly income for many households in developing countries. By Year 30, in the steady state, the per-member dividend reaches roughly $400-600 annually — substantial supplemental income everywhere and transformational where wages are lowest.</w:t>
      </w:r>
    </w:p>
    <w:p w14:paraId="3A76A20B" w14:textId="677088ED" w:rsidR="004412BC" w:rsidRPr="004412BC" w:rsidRDefault="004412BC" w:rsidP="004412BC">
      <w:pPr>
        <w:spacing w:after="160" w:line="278" w:lineRule="auto"/>
        <w:rPr>
          <w:rFonts w:asciiTheme="minorHAnsi" w:eastAsiaTheme="minorHAnsi" w:hAnsiTheme="minorHAnsi" w:cstheme="minorBidi"/>
          <w:kern w:val="2"/>
          <w14:ligatures w14:val="standardContextual"/>
        </w:rPr>
      </w:pPr>
      <w:r w:rsidRPr="004412BC">
        <w:rPr>
          <w:rFonts w:asciiTheme="minorHAnsi" w:eastAsiaTheme="minorHAnsi" w:hAnsiTheme="minorHAnsi" w:cstheme="minorBidi"/>
          <w:kern w:val="2"/>
          <w14:ligatures w14:val="standardContextual"/>
        </w:rPr>
        <w:t xml:space="preserve">Over the full 30-year </w:t>
      </w:r>
      <w:r>
        <w:rPr>
          <w:rFonts w:asciiTheme="minorHAnsi" w:eastAsiaTheme="minorHAnsi" w:hAnsiTheme="minorHAnsi" w:cstheme="minorBidi"/>
          <w:kern w:val="2"/>
          <w14:ligatures w14:val="standardContextual"/>
        </w:rPr>
        <w:t>trajectory</w:t>
      </w:r>
      <w:r w:rsidRPr="004412BC">
        <w:rPr>
          <w:rFonts w:asciiTheme="minorHAnsi" w:eastAsiaTheme="minorHAnsi" w:hAnsiTheme="minorHAnsi" w:cstheme="minorBidi"/>
          <w:kern w:val="2"/>
          <w14:ligatures w14:val="standardContextual"/>
        </w:rPr>
        <w:t>, a member contributing $1 a month accumulates $360 in contributions and receives, in cumulative dividends, somewhere between $5,000 and $10,000. The ratio is 14x to 28x. The long-term economics are favorable, the early years are not empty, and the cost of participation is trivial throughout.</w:t>
      </w:r>
    </w:p>
    <w:p w14:paraId="74336525" w14:textId="77777777" w:rsidR="004412BC" w:rsidRPr="004412BC" w:rsidRDefault="004412BC" w:rsidP="004412BC">
      <w:pPr>
        <w:spacing w:after="160" w:line="278" w:lineRule="auto"/>
        <w:rPr>
          <w:rFonts w:asciiTheme="minorHAnsi" w:eastAsiaTheme="minorHAnsi" w:hAnsiTheme="minorHAnsi" w:cstheme="minorBidi"/>
          <w:kern w:val="2"/>
          <w14:ligatures w14:val="standardContextual"/>
        </w:rPr>
      </w:pPr>
      <w:r w:rsidRPr="004412BC">
        <w:rPr>
          <w:rFonts w:asciiTheme="minorHAnsi" w:eastAsiaTheme="minorHAnsi" w:hAnsiTheme="minorHAnsi" w:cstheme="minorBidi"/>
          <w:kern w:val="2"/>
          <w14:ligatures w14:val="standardContextual"/>
        </w:rPr>
        <w:t xml:space="preserve">A second economic dimension worth naming: the fund reinvests the </w:t>
      </w:r>
      <w:r w:rsidRPr="004412BC">
        <w:rPr>
          <w:rFonts w:asciiTheme="minorHAnsi" w:eastAsiaTheme="minorHAnsi" w:hAnsiTheme="minorHAnsi" w:cstheme="minorBidi"/>
          <w:i/>
          <w:iCs/>
          <w:kern w:val="2"/>
          <w14:ligatures w14:val="standardContextual"/>
        </w:rPr>
        <w:t>difference</w:t>
      </w:r>
      <w:r w:rsidRPr="004412BC">
        <w:rPr>
          <w:rFonts w:asciiTheme="minorHAnsi" w:eastAsiaTheme="minorHAnsi" w:hAnsiTheme="minorHAnsi" w:cstheme="minorBidi"/>
          <w:kern w:val="2"/>
          <w14:ligatures w14:val="standardContextual"/>
        </w:rPr>
        <w:t xml:space="preserve"> between competitor margin and 10% margin from acquired companies into expansion, as described in the previous article. This reinvestment is invisible to members because their dividends are calculated at the 10% margin equivalent regardless. Members don't experience the margin trajectory as a cut. The reinvestment of </w:t>
      </w:r>
      <w:r w:rsidRPr="004412BC">
        <w:rPr>
          <w:rFonts w:asciiTheme="minorHAnsi" w:eastAsiaTheme="minorHAnsi" w:hAnsiTheme="minorHAnsi" w:cstheme="minorBidi"/>
          <w:i/>
          <w:iCs/>
          <w:kern w:val="2"/>
          <w14:ligatures w14:val="standardContextual"/>
        </w:rPr>
        <w:t>member dividends themselves</w:t>
      </w:r>
      <w:r w:rsidRPr="004412BC">
        <w:rPr>
          <w:rFonts w:asciiTheme="minorHAnsi" w:eastAsiaTheme="minorHAnsi" w:hAnsiTheme="minorHAnsi" w:cstheme="minorBidi"/>
          <w:kern w:val="2"/>
          <w14:ligatures w14:val="standardContextual"/>
        </w:rPr>
        <w:t xml:space="preserve"> — asking members to forgo some dividend to accelerate fund expansion — is a separate decision and is voted on by members. So is any proposal to increase the monthly contribution beyond $1. Members decide these things. Fund leadership cannot unilaterally redirect member dividends or raise the contribution rate. The fund's growth comes from member contributions plus the margin-trajectory reinvestment plus whatever members vote to add. The default is that members receive their dividends; raising contributions or reinvesting dividends requires their consent.</w:t>
      </w:r>
    </w:p>
    <w:p w14:paraId="78E8211D" w14:textId="367CBCA7" w:rsidR="004412BC" w:rsidRPr="004412BC" w:rsidRDefault="004412BC" w:rsidP="004412BC">
      <w:pPr>
        <w:spacing w:after="160" w:line="278" w:lineRule="auto"/>
        <w:rPr>
          <w:rFonts w:asciiTheme="minorHAnsi" w:eastAsiaTheme="minorHAnsi" w:hAnsiTheme="minorHAnsi" w:cstheme="minorBidi"/>
          <w:kern w:val="2"/>
          <w14:ligatures w14:val="standardContextual"/>
        </w:rPr>
      </w:pPr>
      <w:r w:rsidRPr="004412BC">
        <w:rPr>
          <w:rFonts w:asciiTheme="minorHAnsi" w:eastAsiaTheme="minorHAnsi" w:hAnsiTheme="minorHAnsi" w:cstheme="minorBidi"/>
          <w:kern w:val="2"/>
          <w14:ligatures w14:val="standardContextual"/>
        </w:rPr>
        <w:lastRenderedPageBreak/>
        <w:t>.</w:t>
      </w:r>
    </w:p>
    <w:p w14:paraId="7C4B5A4E" w14:textId="77777777" w:rsidR="004412BC" w:rsidRPr="004412BC" w:rsidRDefault="004412BC" w:rsidP="004412BC">
      <w:pPr>
        <w:spacing w:after="160" w:line="278" w:lineRule="auto"/>
        <w:rPr>
          <w:rFonts w:asciiTheme="minorHAnsi" w:eastAsiaTheme="minorHAnsi" w:hAnsiTheme="minorHAnsi" w:cstheme="minorBidi"/>
          <w:kern w:val="2"/>
          <w14:ligatures w14:val="standardContextual"/>
        </w:rPr>
      </w:pPr>
      <w:r w:rsidRPr="004412BC">
        <w:rPr>
          <w:rFonts w:asciiTheme="minorHAnsi" w:eastAsiaTheme="minorHAnsi" w:hAnsiTheme="minorHAnsi" w:cstheme="minorBidi"/>
          <w:kern w:val="2"/>
          <w14:ligatures w14:val="standardContextual"/>
        </w:rPr>
        <w:t>The second reason is that the cost is so low it doesn't require strong belief. Movements that ask people to make significant sacrifices in pursuit of large changes generally fail because most people don't make significant sacrifices for political abstractions. The fund inverts this: the sacrifice is small enough that broad agreement with the mission is sufficient. People who think "this is probably a good idea" can act on that thought without performing any calculation.</w:t>
      </w:r>
    </w:p>
    <w:p w14:paraId="71D45D71" w14:textId="77777777" w:rsidR="004412BC" w:rsidRPr="004412BC" w:rsidRDefault="004412BC" w:rsidP="004412BC">
      <w:pPr>
        <w:spacing w:after="160" w:line="278" w:lineRule="auto"/>
        <w:rPr>
          <w:rFonts w:asciiTheme="minorHAnsi" w:eastAsiaTheme="minorHAnsi" w:hAnsiTheme="minorHAnsi" w:cstheme="minorBidi"/>
          <w:kern w:val="2"/>
          <w14:ligatures w14:val="standardContextual"/>
        </w:rPr>
      </w:pPr>
      <w:r w:rsidRPr="004412BC">
        <w:rPr>
          <w:rFonts w:asciiTheme="minorHAnsi" w:eastAsiaTheme="minorHAnsi" w:hAnsiTheme="minorHAnsi" w:cstheme="minorBidi"/>
          <w:kern w:val="2"/>
          <w14:ligatures w14:val="standardContextual"/>
        </w:rPr>
        <w:t>The third reason is what membership actually represents. A fund member is a co-owner of productive economic assets. Not a customer of a service, not a member of an organization, not a donor to a cause — a co-owner. This produces psychological effects that pure economic analysis underestimates. When a fund member purchases from a fund-owned company, the transaction isn't between a stranger and a corporation. It's between a member and a company that member partially owns. Over time, identity attaches to the membership in ways that make it stickier than economic calculation alone would predict.</w:t>
      </w:r>
    </w:p>
    <w:p w14:paraId="7B11A2AC" w14:textId="77777777" w:rsidR="004412BC" w:rsidRPr="004412BC" w:rsidRDefault="004412BC" w:rsidP="004412BC">
      <w:pPr>
        <w:spacing w:after="160" w:line="278" w:lineRule="auto"/>
        <w:rPr>
          <w:rFonts w:asciiTheme="minorHAnsi" w:eastAsiaTheme="minorHAnsi" w:hAnsiTheme="minorHAnsi" w:cstheme="minorBidi"/>
          <w:kern w:val="2"/>
          <w14:ligatures w14:val="standardContextual"/>
        </w:rPr>
      </w:pPr>
      <w:r w:rsidRPr="004412BC">
        <w:rPr>
          <w:rFonts w:asciiTheme="minorHAnsi" w:eastAsiaTheme="minorHAnsi" w:hAnsiTheme="minorHAnsi" w:cstheme="minorBidi"/>
          <w:kern w:val="2"/>
          <w14:ligatures w14:val="standardContextual"/>
        </w:rPr>
        <w:t>The fourth reason — and based on the polling above, this is probably the strongest reason for joining in the first place — is the political and moral satisfaction of finally having something concrete to do about a pattern most people have spent decades watching get worse. The 2008 financial crisis showed the system was structurally tilted toward concentrated wealth. The Panama Papers showed how the wealthy avoid the rules that apply to everyone else. The COVID period showed billionaire wealth flowing up in real time. The Pandora Papers showed political and economic elites are the same class. The wars since 2022 have shown defense profits compounding while international law breaks down. The recent Trump-Musk arrangement showed billionaires running government agencies investigating their own companies. Most people have concluded the system needs to change. Most lack a mechanism for action. The fund offers one. The cost is $1 a month. The mechanism scales because billions of small contributions add up to meaningful economic ownership. The action is real, not symbolic.</w:t>
      </w:r>
    </w:p>
    <w:p w14:paraId="6E9A8C9A" w14:textId="77777777" w:rsidR="004412BC" w:rsidRPr="004412BC" w:rsidRDefault="004412BC" w:rsidP="004412BC">
      <w:pPr>
        <w:spacing w:after="160" w:line="278" w:lineRule="auto"/>
        <w:rPr>
          <w:rFonts w:asciiTheme="minorHAnsi" w:eastAsiaTheme="minorHAnsi" w:hAnsiTheme="minorHAnsi" w:cstheme="minorBidi"/>
          <w:kern w:val="2"/>
          <w14:ligatures w14:val="standardContextual"/>
        </w:rPr>
      </w:pPr>
      <w:r w:rsidRPr="004412BC">
        <w:rPr>
          <w:rFonts w:asciiTheme="minorHAnsi" w:eastAsiaTheme="minorHAnsi" w:hAnsiTheme="minorHAnsi" w:cstheme="minorBidi"/>
          <w:kern w:val="2"/>
          <w14:ligatures w14:val="standardContextual"/>
        </w:rPr>
        <w:t>A useful frame from a recent Oxfam report: "Being economically poor creates hunger. Being politically poor creates anger." The fund addresses both. The dividend reduces economic poverty over time. The ownership reduces political poverty immediately, because members are co-owners of productive enterprise with voting rights in fund governance.</w:t>
      </w:r>
    </w:p>
    <w:p w14:paraId="3A10F458" w14:textId="77777777" w:rsidR="004412BC" w:rsidRPr="004412BC" w:rsidRDefault="004412BC" w:rsidP="004412BC">
      <w:pPr>
        <w:spacing w:after="160" w:line="278" w:lineRule="auto"/>
        <w:rPr>
          <w:rFonts w:asciiTheme="minorHAnsi" w:eastAsiaTheme="minorHAnsi" w:hAnsiTheme="minorHAnsi" w:cstheme="minorBidi"/>
          <w:kern w:val="2"/>
          <w14:ligatures w14:val="standardContextual"/>
        </w:rPr>
      </w:pPr>
      <w:r w:rsidRPr="004412BC">
        <w:rPr>
          <w:rFonts w:asciiTheme="minorHAnsi" w:eastAsiaTheme="minorHAnsi" w:hAnsiTheme="minorHAnsi" w:cstheme="minorBidi"/>
          <w:b/>
          <w:bCs/>
          <w:kern w:val="2"/>
          <w14:ligatures w14:val="standardContextual"/>
        </w:rPr>
        <w:t>What members preferentially buy from fund companies, and what they don't</w:t>
      </w:r>
    </w:p>
    <w:p w14:paraId="377AAC4F" w14:textId="77777777" w:rsidR="004412BC" w:rsidRPr="004412BC" w:rsidRDefault="004412BC" w:rsidP="004412BC">
      <w:pPr>
        <w:spacing w:after="160" w:line="278" w:lineRule="auto"/>
        <w:rPr>
          <w:rFonts w:asciiTheme="minorHAnsi" w:eastAsiaTheme="minorHAnsi" w:hAnsiTheme="minorHAnsi" w:cstheme="minorBidi"/>
          <w:kern w:val="2"/>
          <w14:ligatures w14:val="standardContextual"/>
        </w:rPr>
      </w:pPr>
      <w:r w:rsidRPr="004412BC">
        <w:rPr>
          <w:rFonts w:asciiTheme="minorHAnsi" w:eastAsiaTheme="minorHAnsi" w:hAnsiTheme="minorHAnsi" w:cstheme="minorBidi"/>
          <w:kern w:val="2"/>
          <w14:ligatures w14:val="standardContextual"/>
        </w:rPr>
        <w:t>The fund's economic engine depends on members shifting some of their spending toward fund-owned companies as those companies emerge. The honest version of this story varies sharply by purchase category.</w:t>
      </w:r>
    </w:p>
    <w:p w14:paraId="78313274" w14:textId="77777777" w:rsidR="004412BC" w:rsidRPr="004412BC" w:rsidRDefault="004412BC" w:rsidP="004412BC">
      <w:pPr>
        <w:spacing w:after="160" w:line="278" w:lineRule="auto"/>
        <w:rPr>
          <w:rFonts w:asciiTheme="minorHAnsi" w:eastAsiaTheme="minorHAnsi" w:hAnsiTheme="minorHAnsi" w:cstheme="minorBidi"/>
          <w:kern w:val="2"/>
          <w14:ligatures w14:val="standardContextual"/>
        </w:rPr>
      </w:pPr>
      <w:r w:rsidRPr="004412BC">
        <w:rPr>
          <w:rFonts w:asciiTheme="minorHAnsi" w:eastAsiaTheme="minorHAnsi" w:hAnsiTheme="minorHAnsi" w:cstheme="minorBidi"/>
          <w:kern w:val="2"/>
          <w14:ligatures w14:val="standardContextual"/>
        </w:rPr>
        <w:lastRenderedPageBreak/>
        <w:t>For routine purchases of essential goods — food, basic medicines, household products, basic consumer staples — the bias is strong and operates almost unconsciously. The fund-owned product is comparable in quality, often cheaper because of the margin trajectory described in the previous article, and the member knows their purchase ultimately benefits them and other members. A member buying soap or bread doesn't need to think about it.</w:t>
      </w:r>
    </w:p>
    <w:p w14:paraId="12699197" w14:textId="77777777" w:rsidR="004412BC" w:rsidRPr="004412BC" w:rsidRDefault="004412BC" w:rsidP="004412BC">
      <w:pPr>
        <w:spacing w:after="160" w:line="278" w:lineRule="auto"/>
        <w:rPr>
          <w:rFonts w:asciiTheme="minorHAnsi" w:eastAsiaTheme="minorHAnsi" w:hAnsiTheme="minorHAnsi" w:cstheme="minorBidi"/>
          <w:kern w:val="2"/>
          <w14:ligatures w14:val="standardContextual"/>
        </w:rPr>
      </w:pPr>
      <w:r w:rsidRPr="004412BC">
        <w:rPr>
          <w:rFonts w:asciiTheme="minorHAnsi" w:eastAsiaTheme="minorHAnsi" w:hAnsiTheme="minorHAnsi" w:cstheme="minorBidi"/>
          <w:kern w:val="2"/>
          <w14:ligatures w14:val="standardContextual"/>
        </w:rPr>
        <w:t>For considered purchases — appliances, vehicles, financial services, insurance, healthcare coverage — the bias is moderate and requires the fund product to be genuinely competitive. A member won't choose the fund's mortgage if it's clearly worse than a competitor's, won't choose the fund's car if it's clearly inferior. The membership tilts the decision when products are similar. It does not override the decision when products are different.</w:t>
      </w:r>
    </w:p>
    <w:p w14:paraId="770314A9" w14:textId="77777777" w:rsidR="004412BC" w:rsidRPr="004412BC" w:rsidRDefault="004412BC" w:rsidP="004412BC">
      <w:pPr>
        <w:spacing w:after="160" w:line="278" w:lineRule="auto"/>
        <w:rPr>
          <w:rFonts w:asciiTheme="minorHAnsi" w:eastAsiaTheme="minorHAnsi" w:hAnsiTheme="minorHAnsi" w:cstheme="minorBidi"/>
          <w:kern w:val="2"/>
          <w14:ligatures w14:val="standardContextual"/>
        </w:rPr>
      </w:pPr>
      <w:r w:rsidRPr="004412BC">
        <w:rPr>
          <w:rFonts w:asciiTheme="minorHAnsi" w:eastAsiaTheme="minorHAnsi" w:hAnsiTheme="minorHAnsi" w:cstheme="minorBidi"/>
          <w:kern w:val="2"/>
          <w14:ligatures w14:val="standardContextual"/>
        </w:rPr>
        <w:t>For aspirational and discretionary purchases — premium consumer electronics, luxury goods, status items, entertainment, high-end fashion — the bias is weak. A member who can afford an expensive watch buys it for reasons that have nothing to do with where the manufacturer's profits go.</w:t>
      </w:r>
    </w:p>
    <w:p w14:paraId="4C3C8A2F" w14:textId="77777777" w:rsidR="004412BC" w:rsidRPr="004412BC" w:rsidRDefault="004412BC" w:rsidP="004412BC">
      <w:pPr>
        <w:spacing w:after="160" w:line="278" w:lineRule="auto"/>
        <w:rPr>
          <w:rFonts w:asciiTheme="minorHAnsi" w:eastAsiaTheme="minorHAnsi" w:hAnsiTheme="minorHAnsi" w:cstheme="minorBidi"/>
          <w:kern w:val="2"/>
          <w14:ligatures w14:val="standardContextual"/>
        </w:rPr>
      </w:pPr>
      <w:r w:rsidRPr="004412BC">
        <w:rPr>
          <w:rFonts w:asciiTheme="minorHAnsi" w:eastAsiaTheme="minorHAnsi" w:hAnsiTheme="minorHAnsi" w:cstheme="minorBidi"/>
          <w:kern w:val="2"/>
          <w14:ligatures w14:val="standardContextual"/>
        </w:rPr>
        <w:t>The strategic alignment here is favorable. The fund's competitive strength is exactly where consumer bias is strongest: essentials, basic services, banking, healthcare. The fund's weakness — aspirational and premium products — is exactly where consumer bias is weakest, so the weakness doesn't compound.</w:t>
      </w:r>
    </w:p>
    <w:p w14:paraId="498E1167" w14:textId="77777777" w:rsidR="004412BC" w:rsidRPr="004412BC" w:rsidRDefault="004412BC" w:rsidP="004412BC">
      <w:pPr>
        <w:spacing w:after="160" w:line="278" w:lineRule="auto"/>
        <w:rPr>
          <w:rFonts w:asciiTheme="minorHAnsi" w:eastAsiaTheme="minorHAnsi" w:hAnsiTheme="minorHAnsi" w:cstheme="minorBidi"/>
          <w:kern w:val="2"/>
          <w14:ligatures w14:val="standardContextual"/>
        </w:rPr>
      </w:pPr>
      <w:r w:rsidRPr="004412BC">
        <w:rPr>
          <w:rFonts w:asciiTheme="minorHAnsi" w:eastAsiaTheme="minorHAnsi" w:hAnsiTheme="minorHAnsi" w:cstheme="minorBidi"/>
          <w:kern w:val="2"/>
          <w14:ligatures w14:val="standardContextual"/>
        </w:rPr>
        <w:t>One critical caveat: the consumer bias requires the fund product to actually be good. If members try fund bread and find it inferior, the bias evaporates quickly. The fund cannot coast on ideology. Operational excellence in producing competitive goods is the precondition for the bias to do its work.</w:t>
      </w:r>
    </w:p>
    <w:p w14:paraId="6A3E7E92" w14:textId="77777777" w:rsidR="004412BC" w:rsidRPr="004412BC" w:rsidRDefault="004412BC" w:rsidP="004412BC">
      <w:pPr>
        <w:spacing w:after="160" w:line="278" w:lineRule="auto"/>
        <w:rPr>
          <w:rFonts w:asciiTheme="minorHAnsi" w:eastAsiaTheme="minorHAnsi" w:hAnsiTheme="minorHAnsi" w:cstheme="minorBidi"/>
          <w:kern w:val="2"/>
          <w14:ligatures w14:val="standardContextual"/>
        </w:rPr>
      </w:pPr>
      <w:r w:rsidRPr="004412BC">
        <w:rPr>
          <w:rFonts w:asciiTheme="minorHAnsi" w:eastAsiaTheme="minorHAnsi" w:hAnsiTheme="minorHAnsi" w:cstheme="minorBidi"/>
          <w:b/>
          <w:bCs/>
          <w:kern w:val="2"/>
          <w14:ligatures w14:val="standardContextual"/>
        </w:rPr>
        <w:t>Why workers and entrepreneurs choose fund-owned companies</w:t>
      </w:r>
    </w:p>
    <w:p w14:paraId="7A8AA54A" w14:textId="77777777" w:rsidR="004412BC" w:rsidRPr="004412BC" w:rsidRDefault="004412BC" w:rsidP="004412BC">
      <w:pPr>
        <w:spacing w:after="160" w:line="278" w:lineRule="auto"/>
        <w:rPr>
          <w:rFonts w:asciiTheme="minorHAnsi" w:eastAsiaTheme="minorHAnsi" w:hAnsiTheme="minorHAnsi" w:cstheme="minorBidi"/>
          <w:kern w:val="2"/>
          <w14:ligatures w14:val="standardContextual"/>
        </w:rPr>
      </w:pPr>
      <w:r w:rsidRPr="004412BC">
        <w:rPr>
          <w:rFonts w:asciiTheme="minorHAnsi" w:eastAsiaTheme="minorHAnsi" w:hAnsiTheme="minorHAnsi" w:cstheme="minorBidi"/>
          <w:kern w:val="2"/>
          <w14:ligatures w14:val="standardContextual"/>
        </w:rPr>
        <w:t>The fund recruits workers and talent the same way any large employer does — by offering pay, benefits, working conditions, career growth, and culture that compete with alternatives. The fund has some structural advantages, some structural challenges, and some neutral elements.</w:t>
      </w:r>
    </w:p>
    <w:p w14:paraId="33F40A8F" w14:textId="77777777" w:rsidR="004412BC" w:rsidRPr="004412BC" w:rsidRDefault="004412BC" w:rsidP="004412BC">
      <w:pPr>
        <w:spacing w:after="160" w:line="278" w:lineRule="auto"/>
        <w:rPr>
          <w:rFonts w:asciiTheme="minorHAnsi" w:eastAsiaTheme="minorHAnsi" w:hAnsiTheme="minorHAnsi" w:cstheme="minorBidi"/>
          <w:kern w:val="2"/>
          <w14:ligatures w14:val="standardContextual"/>
        </w:rPr>
      </w:pPr>
      <w:r w:rsidRPr="004412BC">
        <w:rPr>
          <w:rFonts w:asciiTheme="minorHAnsi" w:eastAsiaTheme="minorHAnsi" w:hAnsiTheme="minorHAnsi" w:cstheme="minorBidi"/>
          <w:kern w:val="2"/>
          <w14:ligatures w14:val="standardContextual"/>
        </w:rPr>
        <w:t xml:space="preserve">For ordinary workers, the fund pays market rates. There is no pay-ratio compression mechanism. The fund needs to recruit good people across the global economy and the only way to do that consistently is to pay what the market requires. The fund's structural advantages operate alongside competitive compensation rather than as substitutes for it: better job security in downturns because patient capital reduces pressure for layoffs; better working conditions on average because mission alignment with worker welfare </w:t>
      </w:r>
      <w:r w:rsidRPr="004412BC">
        <w:rPr>
          <w:rFonts w:asciiTheme="minorHAnsi" w:eastAsiaTheme="minorHAnsi" w:hAnsiTheme="minorHAnsi" w:cstheme="minorBidi"/>
          <w:kern w:val="2"/>
          <w14:ligatures w14:val="standardContextual"/>
        </w:rPr>
        <w:lastRenderedPageBreak/>
        <w:t>produces operational outcomes; some sense of ownership because workers are also fund members.</w:t>
      </w:r>
    </w:p>
    <w:p w14:paraId="3445E166" w14:textId="77777777" w:rsidR="004412BC" w:rsidRPr="004412BC" w:rsidRDefault="004412BC" w:rsidP="004412BC">
      <w:pPr>
        <w:spacing w:after="160" w:line="278" w:lineRule="auto"/>
        <w:rPr>
          <w:rFonts w:asciiTheme="minorHAnsi" w:eastAsiaTheme="minorHAnsi" w:hAnsiTheme="minorHAnsi" w:cstheme="minorBidi"/>
          <w:kern w:val="2"/>
          <w14:ligatures w14:val="standardContextual"/>
        </w:rPr>
      </w:pPr>
      <w:r w:rsidRPr="004412BC">
        <w:rPr>
          <w:rFonts w:asciiTheme="minorHAnsi" w:eastAsiaTheme="minorHAnsi" w:hAnsiTheme="minorHAnsi" w:cstheme="minorBidi"/>
          <w:kern w:val="2"/>
          <w14:ligatures w14:val="standardContextual"/>
        </w:rPr>
        <w:t>For top talent — engineers, scientists, executives, designers, researchers — the fund competes for a smaller pool of highly skilled people whose compensation expectations are extreme. The fund pays market salaries here as well, with one important addition: the royalties pathway. A scientist who develops a drug, a designer who creates a successful product, a software architect who builds a major fund system receives ongoing royalties on the revenue their work generates. This is closer to direct compensation for value created than conventional stock options. The fund competes successfully for talent in most categories but accepts that it will lose some senior people to competitors whose compensation packages it cannot match.</w:t>
      </w:r>
    </w:p>
    <w:p w14:paraId="77E4CA89" w14:textId="77777777" w:rsidR="004412BC" w:rsidRPr="004412BC" w:rsidRDefault="004412BC" w:rsidP="004412BC">
      <w:pPr>
        <w:spacing w:after="160" w:line="278" w:lineRule="auto"/>
        <w:rPr>
          <w:rFonts w:asciiTheme="minorHAnsi" w:eastAsiaTheme="minorHAnsi" w:hAnsiTheme="minorHAnsi" w:cstheme="minorBidi"/>
          <w:kern w:val="2"/>
          <w14:ligatures w14:val="standardContextual"/>
        </w:rPr>
      </w:pPr>
      <w:r w:rsidRPr="004412BC">
        <w:rPr>
          <w:rFonts w:asciiTheme="minorHAnsi" w:eastAsiaTheme="minorHAnsi" w:hAnsiTheme="minorHAnsi" w:cstheme="minorBidi"/>
          <w:kern w:val="2"/>
          <w14:ligatures w14:val="standardContextual"/>
        </w:rPr>
        <w:t>For entrepreneurs, the fund offers something genuinely distinctive. The bank, as described in the previous article, operates as an equity investor with buyback rights rather than as an interest-charging lender. A small business owner who would currently take a 12% bank loan can instead take fund capital in exchange for an equity share with buyback rights. The terms are structurally better; risk is shared rather than transferred entirely to the borrower. For entrepreneurs building businesses that fit the fund's ecosystem, the bank provides zero-cost capital.</w:t>
      </w:r>
    </w:p>
    <w:p w14:paraId="1F3AEAB9" w14:textId="77777777" w:rsidR="004412BC" w:rsidRPr="004412BC" w:rsidRDefault="004412BC" w:rsidP="004412BC">
      <w:pPr>
        <w:spacing w:after="160" w:line="278" w:lineRule="auto"/>
        <w:rPr>
          <w:rFonts w:asciiTheme="minorHAnsi" w:eastAsiaTheme="minorHAnsi" w:hAnsiTheme="minorHAnsi" w:cstheme="minorBidi"/>
          <w:kern w:val="2"/>
          <w14:ligatures w14:val="standardContextual"/>
        </w:rPr>
      </w:pPr>
      <w:r w:rsidRPr="004412BC">
        <w:rPr>
          <w:rFonts w:asciiTheme="minorHAnsi" w:eastAsiaTheme="minorHAnsi" w:hAnsiTheme="minorHAnsi" w:cstheme="minorBidi"/>
          <w:kern w:val="2"/>
          <w14:ligatures w14:val="standardContextual"/>
        </w:rPr>
        <w:t>A category worth naming directly: people who would join fund-owned companies specifically because of mission alignment. This is real for some workers and irrelevant for others. A pharmaceutical researcher who wants to develop affordable medicines for billions may find a fund-owned pharma company more attractive than a private one even at slightly lower pay. The mission-motivated minority is real and matters for certain roles, though the fund doesn't assume this is most workers.</w:t>
      </w:r>
    </w:p>
    <w:p w14:paraId="324B85E9" w14:textId="77777777" w:rsidR="004412BC" w:rsidRPr="004412BC" w:rsidRDefault="004412BC" w:rsidP="004412BC">
      <w:pPr>
        <w:spacing w:after="160" w:line="278" w:lineRule="auto"/>
        <w:rPr>
          <w:rFonts w:asciiTheme="minorHAnsi" w:eastAsiaTheme="minorHAnsi" w:hAnsiTheme="minorHAnsi" w:cstheme="minorBidi"/>
          <w:kern w:val="2"/>
          <w14:ligatures w14:val="standardContextual"/>
        </w:rPr>
      </w:pPr>
      <w:r w:rsidRPr="004412BC">
        <w:rPr>
          <w:rFonts w:asciiTheme="minorHAnsi" w:eastAsiaTheme="minorHAnsi" w:hAnsiTheme="minorHAnsi" w:cstheme="minorBidi"/>
          <w:b/>
          <w:bCs/>
          <w:kern w:val="2"/>
          <w14:ligatures w14:val="standardContextual"/>
        </w:rPr>
        <w:t>The fund's structural advantages, honestly</w:t>
      </w:r>
    </w:p>
    <w:p w14:paraId="165D1928" w14:textId="77777777" w:rsidR="004412BC" w:rsidRPr="004412BC" w:rsidRDefault="004412BC" w:rsidP="004412BC">
      <w:pPr>
        <w:spacing w:after="160" w:line="278" w:lineRule="auto"/>
        <w:rPr>
          <w:rFonts w:asciiTheme="minorHAnsi" w:eastAsiaTheme="minorHAnsi" w:hAnsiTheme="minorHAnsi" w:cstheme="minorBidi"/>
          <w:kern w:val="2"/>
          <w14:ligatures w14:val="standardContextual"/>
        </w:rPr>
      </w:pPr>
      <w:r w:rsidRPr="004412BC">
        <w:rPr>
          <w:rFonts w:asciiTheme="minorHAnsi" w:eastAsiaTheme="minorHAnsi" w:hAnsiTheme="minorHAnsi" w:cstheme="minorBidi"/>
          <w:kern w:val="2"/>
          <w14:ligatures w14:val="standardContextual"/>
        </w:rPr>
        <w:t>With the political and moral case established and the participation reasons mapped, we can finally address the question the article's title raises: how does the fund actually compete with established private firms that have decades of head start?</w:t>
      </w:r>
    </w:p>
    <w:p w14:paraId="0C9AE163" w14:textId="77777777" w:rsidR="004412BC" w:rsidRPr="004412BC" w:rsidRDefault="004412BC" w:rsidP="004412BC">
      <w:pPr>
        <w:spacing w:after="160" w:line="278" w:lineRule="auto"/>
        <w:rPr>
          <w:rFonts w:asciiTheme="minorHAnsi" w:eastAsiaTheme="minorHAnsi" w:hAnsiTheme="minorHAnsi" w:cstheme="minorBidi"/>
          <w:kern w:val="2"/>
          <w14:ligatures w14:val="standardContextual"/>
        </w:rPr>
      </w:pPr>
      <w:r w:rsidRPr="004412BC">
        <w:rPr>
          <w:rFonts w:asciiTheme="minorHAnsi" w:eastAsiaTheme="minorHAnsi" w:hAnsiTheme="minorHAnsi" w:cstheme="minorBidi"/>
          <w:kern w:val="2"/>
          <w14:ligatures w14:val="standardContextual"/>
        </w:rPr>
        <w:t>The fund has four structural advantages. Each is real, each has limits, and the combination produces a competitive position that varies by industry.</w:t>
      </w:r>
    </w:p>
    <w:p w14:paraId="2CC53BE1" w14:textId="77777777" w:rsidR="004412BC" w:rsidRPr="004412BC" w:rsidRDefault="004412BC" w:rsidP="004412BC">
      <w:pPr>
        <w:spacing w:after="160" w:line="278" w:lineRule="auto"/>
        <w:rPr>
          <w:rFonts w:asciiTheme="minorHAnsi" w:eastAsiaTheme="minorHAnsi" w:hAnsiTheme="minorHAnsi" w:cstheme="minorBidi"/>
          <w:kern w:val="2"/>
          <w14:ligatures w14:val="standardContextual"/>
        </w:rPr>
      </w:pPr>
      <w:r w:rsidRPr="004412BC">
        <w:rPr>
          <w:rFonts w:asciiTheme="minorHAnsi" w:eastAsiaTheme="minorHAnsi" w:hAnsiTheme="minorHAnsi" w:cstheme="minorBidi"/>
          <w:kern w:val="2"/>
          <w14:ligatures w14:val="standardContextual"/>
        </w:rPr>
        <w:t xml:space="preserve">The first advantage is patient capital with no quarterly pressure. Public companies are bent by the requirement to deliver returns every three months. Private equity is bent by the requirement to exit within 5-10 years. The fund has effectively no time-horizon constraints. Its members aren't trying to exit; its capital comes from contributions and reinvested profits that don't require returns on any specific schedule. The advantage is largest in </w:t>
      </w:r>
      <w:r w:rsidRPr="004412BC">
        <w:rPr>
          <w:rFonts w:asciiTheme="minorHAnsi" w:eastAsiaTheme="minorHAnsi" w:hAnsiTheme="minorHAnsi" w:cstheme="minorBidi"/>
          <w:kern w:val="2"/>
          <w14:ligatures w14:val="standardContextual"/>
        </w:rPr>
        <w:lastRenderedPageBreak/>
        <w:t>capital-intensive industries (steel, cement, energy infrastructure, advanced pharmaceutical research) where 15-30 year payback periods are common, and in any industry where the right move requires waiting through several years of competitive pressure.</w:t>
      </w:r>
    </w:p>
    <w:p w14:paraId="2596E0F6" w14:textId="77777777" w:rsidR="004412BC" w:rsidRPr="004412BC" w:rsidRDefault="004412BC" w:rsidP="004412BC">
      <w:pPr>
        <w:spacing w:after="160" w:line="278" w:lineRule="auto"/>
        <w:rPr>
          <w:rFonts w:asciiTheme="minorHAnsi" w:eastAsiaTheme="minorHAnsi" w:hAnsiTheme="minorHAnsi" w:cstheme="minorBidi"/>
          <w:kern w:val="2"/>
          <w14:ligatures w14:val="standardContextual"/>
        </w:rPr>
      </w:pPr>
      <w:r w:rsidRPr="004412BC">
        <w:rPr>
          <w:rFonts w:asciiTheme="minorHAnsi" w:eastAsiaTheme="minorHAnsi" w:hAnsiTheme="minorHAnsi" w:cstheme="minorBidi"/>
          <w:kern w:val="2"/>
          <w14:ligatures w14:val="standardContextual"/>
        </w:rPr>
        <w:t>The second advantage is the dividend feedback loop creating collective consumer preference. This isn't transaction-level — the dividend a member receives from any single purchase is pennies. It's collective. As more members direct more spending to fund-owned companies, fund profits grow, dividends grow, more members join, and the cycle reinforces. The mechanism is slow-acting but compounds over decades. It operates most strongly in essentials and basic services.</w:t>
      </w:r>
    </w:p>
    <w:p w14:paraId="2840F604" w14:textId="77777777" w:rsidR="004412BC" w:rsidRPr="004412BC" w:rsidRDefault="004412BC" w:rsidP="004412BC">
      <w:pPr>
        <w:spacing w:after="160" w:line="278" w:lineRule="auto"/>
        <w:rPr>
          <w:rFonts w:asciiTheme="minorHAnsi" w:eastAsiaTheme="minorHAnsi" w:hAnsiTheme="minorHAnsi" w:cstheme="minorBidi"/>
          <w:kern w:val="2"/>
          <w14:ligatures w14:val="standardContextual"/>
        </w:rPr>
      </w:pPr>
      <w:r w:rsidRPr="004412BC">
        <w:rPr>
          <w:rFonts w:asciiTheme="minorHAnsi" w:eastAsiaTheme="minorHAnsi" w:hAnsiTheme="minorHAnsi" w:cstheme="minorBidi"/>
          <w:kern w:val="2"/>
          <w14:ligatures w14:val="standardContextual"/>
        </w:rPr>
        <w:t>The third advantage is mission flexibility in pricing and operations. The fund can operate at 10% margins on essentials because its members benefit from both lower prices and stable dividends. Private competitors operating at 20-30% margins on the same essentials cannot easily compress margins because their shareholders demand the higher returns. Over time, the fund can underprice private competitors in essential categories while still generating returns that benefit its members. The constitutional cap on essential goods margins makes this commitment credible to consumers in ways that private commitments to "fair pricing" never are.</w:t>
      </w:r>
    </w:p>
    <w:p w14:paraId="5F2AB737" w14:textId="77777777" w:rsidR="004412BC" w:rsidRPr="004412BC" w:rsidRDefault="004412BC" w:rsidP="004412BC">
      <w:pPr>
        <w:spacing w:after="160" w:line="278" w:lineRule="auto"/>
        <w:rPr>
          <w:rFonts w:asciiTheme="minorHAnsi" w:eastAsiaTheme="minorHAnsi" w:hAnsiTheme="minorHAnsi" w:cstheme="minorBidi"/>
          <w:kern w:val="2"/>
          <w14:ligatures w14:val="standardContextual"/>
        </w:rPr>
      </w:pPr>
      <w:r w:rsidRPr="004412BC">
        <w:rPr>
          <w:rFonts w:asciiTheme="minorHAnsi" w:eastAsiaTheme="minorHAnsi" w:hAnsiTheme="minorHAnsi" w:cstheme="minorBidi"/>
          <w:kern w:val="2"/>
          <w14:ligatures w14:val="standardContextual"/>
        </w:rPr>
        <w:t>The fourth advantage is structural alignment with workers and suppliers. The fund's workers are also fund members. The fund's customers are also fund members. The fund's suppliers operate as partners rather than as parties to be squeezed. The result is lower turnover, better supplier relationships, fewer labor disputes, and more reliable supply chains. None of this is dramatic on any given day. Over a decade, it produces a measurable operational advantage. Mondragón's 65-year history demonstrates this works at scale.</w:t>
      </w:r>
    </w:p>
    <w:p w14:paraId="04C3A8ED" w14:textId="77777777" w:rsidR="004412BC" w:rsidRPr="004412BC" w:rsidRDefault="004412BC" w:rsidP="004412BC">
      <w:pPr>
        <w:spacing w:after="160" w:line="278" w:lineRule="auto"/>
        <w:rPr>
          <w:rFonts w:asciiTheme="minorHAnsi" w:eastAsiaTheme="minorHAnsi" w:hAnsiTheme="minorHAnsi" w:cstheme="minorBidi"/>
          <w:kern w:val="2"/>
          <w14:ligatures w14:val="standardContextual"/>
        </w:rPr>
      </w:pPr>
      <w:r w:rsidRPr="004412BC">
        <w:rPr>
          <w:rFonts w:asciiTheme="minorHAnsi" w:eastAsiaTheme="minorHAnsi" w:hAnsiTheme="minorHAnsi" w:cstheme="minorBidi"/>
          <w:b/>
          <w:bCs/>
          <w:kern w:val="2"/>
          <w14:ligatures w14:val="standardContextual"/>
        </w:rPr>
        <w:t>Where the fund's advantages don't apply</w:t>
      </w:r>
    </w:p>
    <w:p w14:paraId="61344DCF" w14:textId="77777777" w:rsidR="004412BC" w:rsidRPr="004412BC" w:rsidRDefault="004412BC" w:rsidP="004412BC">
      <w:pPr>
        <w:spacing w:after="160" w:line="278" w:lineRule="auto"/>
        <w:rPr>
          <w:rFonts w:asciiTheme="minorHAnsi" w:eastAsiaTheme="minorHAnsi" w:hAnsiTheme="minorHAnsi" w:cstheme="minorBidi"/>
          <w:kern w:val="2"/>
          <w14:ligatures w14:val="standardContextual"/>
        </w:rPr>
      </w:pPr>
      <w:r w:rsidRPr="004412BC">
        <w:rPr>
          <w:rFonts w:asciiTheme="minorHAnsi" w:eastAsiaTheme="minorHAnsi" w:hAnsiTheme="minorHAnsi" w:cstheme="minorBidi"/>
          <w:kern w:val="2"/>
          <w14:ligatures w14:val="standardContextual"/>
        </w:rPr>
        <w:t>The honest acknowledgment that defines the article's title: the fund wins some markets, not all.</w:t>
      </w:r>
    </w:p>
    <w:p w14:paraId="2E99E381" w14:textId="77777777" w:rsidR="004412BC" w:rsidRPr="004412BC" w:rsidRDefault="004412BC" w:rsidP="004412BC">
      <w:pPr>
        <w:spacing w:after="160" w:line="278" w:lineRule="auto"/>
        <w:rPr>
          <w:rFonts w:asciiTheme="minorHAnsi" w:eastAsiaTheme="minorHAnsi" w:hAnsiTheme="minorHAnsi" w:cstheme="minorBidi"/>
          <w:kern w:val="2"/>
          <w14:ligatures w14:val="standardContextual"/>
        </w:rPr>
      </w:pPr>
      <w:r w:rsidRPr="004412BC">
        <w:rPr>
          <w:rFonts w:asciiTheme="minorHAnsi" w:eastAsiaTheme="minorHAnsi" w:hAnsiTheme="minorHAnsi" w:cstheme="minorBidi"/>
          <w:kern w:val="2"/>
          <w14:ligatures w14:val="standardContextual"/>
        </w:rPr>
        <w:t>First, the fund probably never matches the brand value, design sensibility, and product excellence of premium consumer categories. Apple, Hermès, Patek Philippe, Ferrari, Rolex — these represent 50-100 years of accumulated taste, craftsmanship, and brand mystique. The fund's eventual presence in luxury serves different purposes (capturing wealth that would otherwise flow entirely to private capital, supporting design talent through royalties), but doesn't displace the established brands in their premium niches.</w:t>
      </w:r>
    </w:p>
    <w:p w14:paraId="60B99584" w14:textId="77777777" w:rsidR="004412BC" w:rsidRPr="004412BC" w:rsidRDefault="004412BC" w:rsidP="004412BC">
      <w:pPr>
        <w:spacing w:after="160" w:line="278" w:lineRule="auto"/>
        <w:rPr>
          <w:rFonts w:asciiTheme="minorHAnsi" w:eastAsiaTheme="minorHAnsi" w:hAnsiTheme="minorHAnsi" w:cstheme="minorBidi"/>
          <w:kern w:val="2"/>
          <w14:ligatures w14:val="standardContextual"/>
        </w:rPr>
      </w:pPr>
      <w:r w:rsidRPr="004412BC">
        <w:rPr>
          <w:rFonts w:asciiTheme="minorHAnsi" w:eastAsiaTheme="minorHAnsi" w:hAnsiTheme="minorHAnsi" w:cstheme="minorBidi"/>
          <w:kern w:val="2"/>
          <w14:ligatures w14:val="standardContextual"/>
        </w:rPr>
        <w:t xml:space="preserve">Second, the fund is slower than private competitors in fast-moving markets. Software, fashion, entertainment, consumer technology — these markets reward speed, risk </w:t>
      </w:r>
      <w:r w:rsidRPr="004412BC">
        <w:rPr>
          <w:rFonts w:asciiTheme="minorHAnsi" w:eastAsiaTheme="minorHAnsi" w:hAnsiTheme="minorHAnsi" w:cstheme="minorBidi"/>
          <w:kern w:val="2"/>
          <w14:ligatures w14:val="standardContextual"/>
        </w:rPr>
        <w:lastRenderedPageBreak/>
        <w:t>tolerance, and rapid pivots that the fund's governance and patient capital orientation make harder. Private startups iterate faster than fund-owned ventures probably ever will. The fund's strategy in software, building on open-source infrastructure rather than competing with proprietary giants directly, reflects this reality.</w:t>
      </w:r>
    </w:p>
    <w:p w14:paraId="4AA9D7FF" w14:textId="77777777" w:rsidR="004412BC" w:rsidRPr="004412BC" w:rsidRDefault="004412BC" w:rsidP="004412BC">
      <w:pPr>
        <w:spacing w:after="160" w:line="278" w:lineRule="auto"/>
        <w:rPr>
          <w:rFonts w:asciiTheme="minorHAnsi" w:eastAsiaTheme="minorHAnsi" w:hAnsiTheme="minorHAnsi" w:cstheme="minorBidi"/>
          <w:kern w:val="2"/>
          <w14:ligatures w14:val="standardContextual"/>
        </w:rPr>
      </w:pPr>
      <w:r w:rsidRPr="004412BC">
        <w:rPr>
          <w:rFonts w:asciiTheme="minorHAnsi" w:eastAsiaTheme="minorHAnsi" w:hAnsiTheme="minorHAnsi" w:cstheme="minorBidi"/>
          <w:kern w:val="2"/>
          <w14:ligatures w14:val="standardContextual"/>
        </w:rPr>
        <w:t>Third, the fund is vulnerable to coordinated political and economic attack. Private competitors with hundreds of billions in market capitalization can lose money for years to drive out competitors. They can lobby regulators. They can fund political campaigns. They can run information operations. They can use their home governments' financial infrastructure to constrain the fund's operations. The fund has structural defenses — its multi-country digital banking presence, its constitutional commitments, its large and politically engaged membership base — but the defenses are imperfect. The fund will lose some battles. It needs to win enough to keep growing.</w:t>
      </w:r>
    </w:p>
    <w:p w14:paraId="70D032D1" w14:textId="77777777" w:rsidR="004412BC" w:rsidRPr="004412BC" w:rsidRDefault="004412BC" w:rsidP="004412BC">
      <w:pPr>
        <w:spacing w:after="160" w:line="278" w:lineRule="auto"/>
        <w:rPr>
          <w:rFonts w:asciiTheme="minorHAnsi" w:eastAsiaTheme="minorHAnsi" w:hAnsiTheme="minorHAnsi" w:cstheme="minorBidi"/>
          <w:kern w:val="2"/>
          <w14:ligatures w14:val="standardContextual"/>
        </w:rPr>
      </w:pPr>
      <w:r w:rsidRPr="004412BC">
        <w:rPr>
          <w:rFonts w:asciiTheme="minorHAnsi" w:eastAsiaTheme="minorHAnsi" w:hAnsiTheme="minorHAnsi" w:cstheme="minorBidi"/>
          <w:b/>
          <w:bCs/>
          <w:kern w:val="2"/>
          <w14:ligatures w14:val="standardContextual"/>
        </w:rPr>
        <w:t>What winning actually means</w:t>
      </w:r>
    </w:p>
    <w:p w14:paraId="7E3A6C51" w14:textId="77777777" w:rsidR="004412BC" w:rsidRPr="004412BC" w:rsidRDefault="004412BC" w:rsidP="004412BC">
      <w:pPr>
        <w:spacing w:after="160" w:line="278" w:lineRule="auto"/>
        <w:rPr>
          <w:rFonts w:asciiTheme="minorHAnsi" w:eastAsiaTheme="minorHAnsi" w:hAnsiTheme="minorHAnsi" w:cstheme="minorBidi"/>
          <w:kern w:val="2"/>
          <w14:ligatures w14:val="standardContextual"/>
        </w:rPr>
      </w:pPr>
      <w:r w:rsidRPr="004412BC">
        <w:rPr>
          <w:rFonts w:asciiTheme="minorHAnsi" w:eastAsiaTheme="minorHAnsi" w:hAnsiTheme="minorHAnsi" w:cstheme="minorBidi"/>
          <w:kern w:val="2"/>
          <w14:ligatures w14:val="standardContextual"/>
        </w:rPr>
        <w:t>The fund doesn't need to win every market. It needs to win enough to generate the dividends, redistribute manufacturing employment, establish wage and price norms that private competitors have to respond to, and demonstrate that an alternative economic model is operationally viable at scale.</w:t>
      </w:r>
    </w:p>
    <w:p w14:paraId="225A4AF3" w14:textId="77777777" w:rsidR="004412BC" w:rsidRPr="004412BC" w:rsidRDefault="004412BC" w:rsidP="004412BC">
      <w:pPr>
        <w:spacing w:after="160" w:line="278" w:lineRule="auto"/>
        <w:rPr>
          <w:rFonts w:asciiTheme="minorHAnsi" w:eastAsiaTheme="minorHAnsi" w:hAnsiTheme="minorHAnsi" w:cstheme="minorBidi"/>
          <w:kern w:val="2"/>
          <w14:ligatures w14:val="standardContextual"/>
        </w:rPr>
      </w:pPr>
      <w:r w:rsidRPr="004412BC">
        <w:rPr>
          <w:rFonts w:asciiTheme="minorHAnsi" w:eastAsiaTheme="minorHAnsi" w:hAnsiTheme="minorHAnsi" w:cstheme="minorBidi"/>
          <w:kern w:val="2"/>
          <w14:ligatures w14:val="standardContextual"/>
        </w:rPr>
        <w:t>Quantitatively, the fund's target is the 12-18% of global productive activity described in the previous article — significant but not dominant. Within those share levels, "winning" means specific things readers can verify:</w:t>
      </w:r>
    </w:p>
    <w:p w14:paraId="7CFA18ED" w14:textId="77777777" w:rsidR="004412BC" w:rsidRPr="004412BC" w:rsidRDefault="004412BC" w:rsidP="004412BC">
      <w:pPr>
        <w:spacing w:after="160" w:line="278" w:lineRule="auto"/>
        <w:rPr>
          <w:rFonts w:asciiTheme="minorHAnsi" w:eastAsiaTheme="minorHAnsi" w:hAnsiTheme="minorHAnsi" w:cstheme="minorBidi"/>
          <w:kern w:val="2"/>
          <w14:ligatures w14:val="standardContextual"/>
        </w:rPr>
      </w:pPr>
      <w:r w:rsidRPr="004412BC">
        <w:rPr>
          <w:rFonts w:asciiTheme="minorHAnsi" w:eastAsiaTheme="minorHAnsi" w:hAnsiTheme="minorHAnsi" w:cstheme="minorBidi"/>
          <w:kern w:val="2"/>
          <w14:ligatures w14:val="standardContextual"/>
        </w:rPr>
        <w:t>Members receive meaningful dividends. By Year 30, the per-member dividend reaches roughly $400-600 annually in the steady state — substantial supplemental income for a household and transformational in lower-income countries.</w:t>
      </w:r>
    </w:p>
    <w:p w14:paraId="219B3555" w14:textId="77777777" w:rsidR="004412BC" w:rsidRPr="004412BC" w:rsidRDefault="004412BC" w:rsidP="004412BC">
      <w:pPr>
        <w:spacing w:after="160" w:line="278" w:lineRule="auto"/>
        <w:rPr>
          <w:rFonts w:asciiTheme="minorHAnsi" w:eastAsiaTheme="minorHAnsi" w:hAnsiTheme="minorHAnsi" w:cstheme="minorBidi"/>
          <w:kern w:val="2"/>
          <w14:ligatures w14:val="standardContextual"/>
        </w:rPr>
      </w:pPr>
      <w:r w:rsidRPr="004412BC">
        <w:rPr>
          <w:rFonts w:asciiTheme="minorHAnsi" w:eastAsiaTheme="minorHAnsi" w:hAnsiTheme="minorHAnsi" w:cstheme="minorBidi"/>
          <w:kern w:val="2"/>
          <w14:ligatures w14:val="standardContextual"/>
        </w:rPr>
        <w:t>Manufacturing employment redistributes. The Informal Insertion scenario from Part 3 produces tens of millions of new formal manufacturing jobs in regions currently dominated by informal labor.</w:t>
      </w:r>
    </w:p>
    <w:p w14:paraId="5A59D3AC" w14:textId="77777777" w:rsidR="004412BC" w:rsidRPr="004412BC" w:rsidRDefault="004412BC" w:rsidP="004412BC">
      <w:pPr>
        <w:spacing w:after="160" w:line="278" w:lineRule="auto"/>
        <w:rPr>
          <w:rFonts w:asciiTheme="minorHAnsi" w:eastAsiaTheme="minorHAnsi" w:hAnsiTheme="minorHAnsi" w:cstheme="minorBidi"/>
          <w:kern w:val="2"/>
          <w14:ligatures w14:val="standardContextual"/>
        </w:rPr>
      </w:pPr>
      <w:r w:rsidRPr="004412BC">
        <w:rPr>
          <w:rFonts w:asciiTheme="minorHAnsi" w:eastAsiaTheme="minorHAnsi" w:hAnsiTheme="minorHAnsi" w:cstheme="minorBidi"/>
          <w:kern w:val="2"/>
          <w14:ligatures w14:val="standardContextual"/>
        </w:rPr>
        <w:t>Essential goods prices fall. Drug prices, basic food prices, basic consumer staples prices, and basic financial service costs decline in fund-served markets as the margin trajectory compresses competitor pricing.</w:t>
      </w:r>
    </w:p>
    <w:p w14:paraId="431A4680" w14:textId="77777777" w:rsidR="004412BC" w:rsidRPr="004412BC" w:rsidRDefault="004412BC" w:rsidP="004412BC">
      <w:pPr>
        <w:spacing w:after="160" w:line="278" w:lineRule="auto"/>
        <w:rPr>
          <w:rFonts w:asciiTheme="minorHAnsi" w:eastAsiaTheme="minorHAnsi" w:hAnsiTheme="minorHAnsi" w:cstheme="minorBidi"/>
          <w:kern w:val="2"/>
          <w14:ligatures w14:val="standardContextual"/>
        </w:rPr>
      </w:pPr>
      <w:r w:rsidRPr="004412BC">
        <w:rPr>
          <w:rFonts w:asciiTheme="minorHAnsi" w:eastAsiaTheme="minorHAnsi" w:hAnsiTheme="minorHAnsi" w:cstheme="minorBidi"/>
          <w:kern w:val="2"/>
          <w14:ligatures w14:val="standardContextual"/>
        </w:rPr>
        <w:t>Workers gain bargaining power. Fund-owned companies establish wage floors that private competitors have to respond to. Even at 20% market share, the fund's wage norms reshape what workers in the other 80% of the market can credibly demand.</w:t>
      </w:r>
    </w:p>
    <w:p w14:paraId="620F6E3F" w14:textId="77777777" w:rsidR="004412BC" w:rsidRPr="004412BC" w:rsidRDefault="004412BC" w:rsidP="004412BC">
      <w:pPr>
        <w:spacing w:after="160" w:line="278" w:lineRule="auto"/>
        <w:rPr>
          <w:rFonts w:asciiTheme="minorHAnsi" w:eastAsiaTheme="minorHAnsi" w:hAnsiTheme="minorHAnsi" w:cstheme="minorBidi"/>
          <w:kern w:val="2"/>
          <w14:ligatures w14:val="standardContextual"/>
        </w:rPr>
      </w:pPr>
      <w:r w:rsidRPr="004412BC">
        <w:rPr>
          <w:rFonts w:asciiTheme="minorHAnsi" w:eastAsiaTheme="minorHAnsi" w:hAnsiTheme="minorHAnsi" w:cstheme="minorBidi"/>
          <w:kern w:val="2"/>
          <w14:ligatures w14:val="standardContextual"/>
        </w:rPr>
        <w:lastRenderedPageBreak/>
        <w:t>Citizens gain participation. Members exercise voting rights in fund governance — choosing acquisitions, ratifying constitutional changes, electing the bodies that oversee fund operations. The participation is real, not symbolic.</w:t>
      </w:r>
    </w:p>
    <w:p w14:paraId="05054740" w14:textId="77777777" w:rsidR="004412BC" w:rsidRPr="004412BC" w:rsidRDefault="004412BC" w:rsidP="004412BC">
      <w:pPr>
        <w:spacing w:after="160" w:line="278" w:lineRule="auto"/>
        <w:rPr>
          <w:rFonts w:asciiTheme="minorHAnsi" w:eastAsiaTheme="minorHAnsi" w:hAnsiTheme="minorHAnsi" w:cstheme="minorBidi"/>
          <w:kern w:val="2"/>
          <w14:ligatures w14:val="standardContextual"/>
        </w:rPr>
      </w:pPr>
      <w:r w:rsidRPr="004412BC">
        <w:rPr>
          <w:rFonts w:asciiTheme="minorHAnsi" w:eastAsiaTheme="minorHAnsi" w:hAnsiTheme="minorHAnsi" w:cstheme="minorBidi"/>
          <w:kern w:val="2"/>
          <w14:ligatures w14:val="standardContextual"/>
        </w:rPr>
        <w:t>These are real outcomes affecting billions of people. They don't require the fund to displace all of capitalism. They require the fund to demonstrate that an alternative model can co-exist with private capital, compete with it in the markets where the fund's advantages apply, and progressively shift the structure of the global economy toward fairness without violence.</w:t>
      </w:r>
    </w:p>
    <w:p w14:paraId="368B05FE" w14:textId="77777777" w:rsidR="004412BC" w:rsidRPr="004412BC" w:rsidRDefault="004412BC" w:rsidP="004412BC">
      <w:pPr>
        <w:spacing w:after="160" w:line="278" w:lineRule="auto"/>
        <w:rPr>
          <w:rFonts w:asciiTheme="minorHAnsi" w:eastAsiaTheme="minorHAnsi" w:hAnsiTheme="minorHAnsi" w:cstheme="minorBidi"/>
          <w:kern w:val="2"/>
          <w14:ligatures w14:val="standardContextual"/>
        </w:rPr>
      </w:pPr>
      <w:r w:rsidRPr="004412BC">
        <w:rPr>
          <w:rFonts w:asciiTheme="minorHAnsi" w:eastAsiaTheme="minorHAnsi" w:hAnsiTheme="minorHAnsi" w:cstheme="minorBidi"/>
          <w:kern w:val="2"/>
          <w14:ligatures w14:val="standardContextual"/>
        </w:rPr>
        <w:t>This is the honest version of what winning means. Partial wins are still transformative. The fund operating at 12-18% of global production with the characteristics described above changes the world for billions of people without requiring revolution, without requiring war, without requiring the destruction of existing institutions, and without requiring everyone to agree. People who don't want to join can continue not joining. People who don't want to buy from fund companies can continue not buying. The fund's success is compatible with continued private capital, continued state operation in legitimate state domains, continued local entrepreneurship, and continued diversity of economic models across countries.</w:t>
      </w:r>
    </w:p>
    <w:p w14:paraId="0E71AD67" w14:textId="77777777" w:rsidR="004412BC" w:rsidRPr="004412BC" w:rsidRDefault="004412BC" w:rsidP="004412BC">
      <w:pPr>
        <w:spacing w:after="160" w:line="278" w:lineRule="auto"/>
        <w:rPr>
          <w:rFonts w:asciiTheme="minorHAnsi" w:eastAsiaTheme="minorHAnsi" w:hAnsiTheme="minorHAnsi" w:cstheme="minorBidi"/>
          <w:kern w:val="2"/>
          <w14:ligatures w14:val="standardContextual"/>
        </w:rPr>
      </w:pPr>
      <w:r w:rsidRPr="004412BC">
        <w:rPr>
          <w:rFonts w:asciiTheme="minorHAnsi" w:eastAsiaTheme="minorHAnsi" w:hAnsiTheme="minorHAnsi" w:cstheme="minorBidi"/>
          <w:kern w:val="2"/>
          <w14:ligatures w14:val="standardContextual"/>
        </w:rPr>
        <w:t>What the fund cannot coexist with is the current pattern in which a small concentrated group of economic actors uses political capture to extract from everyone else and profit from the wars that result when extraction meets resistance. The fund's success means that pattern progressively loses its grip — not by being defeated militarily or politically, but by being competed with at sufficient scale that its returns are no longer extraordinary enough to justify the political costs of maintaining it.</w:t>
      </w:r>
    </w:p>
    <w:p w14:paraId="3A1610E0" w14:textId="77777777" w:rsidR="004412BC" w:rsidRDefault="004412BC" w:rsidP="004412BC">
      <w:pPr>
        <w:spacing w:after="160" w:line="278" w:lineRule="auto"/>
        <w:rPr>
          <w:rFonts w:asciiTheme="minorHAnsi" w:eastAsiaTheme="minorHAnsi" w:hAnsiTheme="minorHAnsi" w:cstheme="minorBidi"/>
          <w:kern w:val="2"/>
          <w14:ligatures w14:val="standardContextual"/>
        </w:rPr>
      </w:pPr>
      <w:r w:rsidRPr="004412BC">
        <w:rPr>
          <w:rFonts w:asciiTheme="minorHAnsi" w:eastAsiaTheme="minorHAnsi" w:hAnsiTheme="minorHAnsi" w:cstheme="minorBidi"/>
          <w:kern w:val="2"/>
          <w14:ligatures w14:val="standardContextual"/>
        </w:rPr>
        <w:t>The next article addresses the question that hangs over all of this institutional architecture: how does the money actually flow? Contributions, currency, dividends, overhead, mechanics. What happens when you pay your dollar.</w:t>
      </w:r>
    </w:p>
    <w:p w14:paraId="673E14F6" w14:textId="77777777" w:rsidR="0076359B" w:rsidRDefault="0076359B" w:rsidP="004412BC">
      <w:pPr>
        <w:spacing w:after="160" w:line="278" w:lineRule="auto"/>
        <w:rPr>
          <w:rFonts w:asciiTheme="minorHAnsi" w:eastAsiaTheme="minorHAnsi" w:hAnsiTheme="minorHAnsi" w:cstheme="minorBidi"/>
          <w:kern w:val="2"/>
          <w14:ligatures w14:val="standardContextual"/>
        </w:rPr>
      </w:pPr>
    </w:p>
    <w:p w14:paraId="7064168D" w14:textId="3090323E" w:rsidR="004412BC" w:rsidRPr="0076359B" w:rsidRDefault="0076359B" w:rsidP="004412BC">
      <w:pPr>
        <w:spacing w:after="160" w:line="278" w:lineRule="auto"/>
        <w:rPr>
          <w:rFonts w:asciiTheme="minorHAnsi" w:eastAsiaTheme="minorHAnsi" w:hAnsiTheme="minorHAnsi" w:cstheme="minorBidi"/>
          <w:b/>
          <w:bCs/>
          <w:kern w:val="2"/>
          <w14:ligatures w14:val="standardContextual"/>
        </w:rPr>
      </w:pPr>
      <w:r w:rsidRPr="0076359B">
        <w:rPr>
          <w:rFonts w:asciiTheme="minorHAnsi" w:eastAsiaTheme="minorHAnsi" w:hAnsiTheme="minorHAnsi" w:cstheme="minorBidi"/>
          <w:b/>
          <w:bCs/>
          <w:kern w:val="2"/>
          <w14:ligatures w14:val="standardContextual"/>
        </w:rPr>
        <w:t>SUBARTICLE 5</w:t>
      </w:r>
    </w:p>
    <w:p w14:paraId="33BB8A5C"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b/>
          <w:bCs/>
          <w:kern w:val="2"/>
          <w14:ligatures w14:val="standardContextual"/>
        </w:rPr>
        <w:t>How the Money Flows: Contributions, Currency, Dividends, Overhead</w:t>
      </w:r>
    </w:p>
    <w:p w14:paraId="3CB7A80A"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The previous articles established what the fund is, what it owns, and how it competes. This one walks through what happens to your $1 a month — from the moment it leaves your account to the moment a dividend arrives back. There are five distinct flows: contribution, aggregation, currency handling, deployment, and dividend distribution, plus a sixth question about overhead — what it costs to run the institution itself.</w:t>
      </w:r>
    </w:p>
    <w:p w14:paraId="6CB65F72"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lastRenderedPageBreak/>
        <w:t>The mechanics matter because trust in any financial institution depends on understanding how it actually works. Banks that obscure their operations lose customer trust. Funds that hide their fees lose investor trust. The fund's strategy is the opposite: every flow described here is intended to be auditable, comparable across countries, and visible to members at any time they choose to look.</w:t>
      </w:r>
    </w:p>
    <w:p w14:paraId="2B78941F"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b/>
          <w:bCs/>
          <w:kern w:val="2"/>
          <w14:ligatures w14:val="standardContextual"/>
        </w:rPr>
        <w:t>1. Contributing your dollar</w:t>
      </w:r>
    </w:p>
    <w:p w14:paraId="4BD73EE8"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A member's $1 monthly contribution can enter the fund through several paths, depending on the country and the member's existing financial relationships.</w:t>
      </w:r>
    </w:p>
    <w:p w14:paraId="1B95155D"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For members with a bank account, the contribution is a recurring transfer of the local-currency equivalent of $1 to the fund's account in their country. Most members will set this up once and forget about it — the contribution runs automatically each month, comparable to a streaming service subscription. In practice the amount is calculated based on the prior month's currency reference rate, so a member in Brazil contributes the real equivalent of $1, a member in India contributes the rupee equivalent, and so on. Small fluctuations in exchange rates produce small fluctuations in the local-currency amount, but the underlying commitment remains constant.</w:t>
      </w:r>
    </w:p>
    <w:p w14:paraId="41614469"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For members with mobile money but no traditional bank account, the contribution flows through the local mobile money operator (M-Pesa in Kenya, GCash in the Philippines, bKash in Bangladesh, Mercado Pago in much of Latin America, and similar systems elsewhere). The fund integrates with established mobile money networks rather than trying to replace them. A member's phone contains their entire participation in the fund: contribution, balance, transaction history, dividend deposits.</w:t>
      </w:r>
    </w:p>
    <w:p w14:paraId="4B8A4FC1"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For members with neither bank accounts nor mobile money — a population of roughly 1.4 billion adults globally, concentrated in rural areas of low-income countries — the fund operates through participating retailers and agents. A member walks into a participating shop, pays the local equivalent of $1 in cash, presents identification (or their member identifier if already enrolled), and the contribution is recorded. This is how Western Union and the major mobile money networks handle cash-based customers; the fund uses the same model. The retailer earns a small fee for handling the transaction. Over time, as the fund's own digital banks expand into these areas, the retailer model gives way to direct mobile banking — but the cash path remains available indefinitely for people who prefer it or have no other option.</w:t>
      </w:r>
    </w:p>
    <w:p w14:paraId="14227043"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 xml:space="preserve">For new members joining the fund for the first time, the enrollment process establishes their identity, their country of residence, their preferred contribution method, and their preferred dividend destination. A child enrolled at birth receives an account in their name </w:t>
      </w:r>
      <w:r w:rsidRPr="0076359B">
        <w:rPr>
          <w:rFonts w:asciiTheme="minorHAnsi" w:eastAsiaTheme="minorHAnsi" w:hAnsiTheme="minorHAnsi" w:cstheme="minorBidi"/>
          <w:kern w:val="2"/>
          <w14:ligatures w14:val="standardContextual"/>
        </w:rPr>
        <w:lastRenderedPageBreak/>
        <w:t>with contributions made by relatives or by the donation fund described in Part 1. Identification requirements vary by country and follow local know-your-customer regulations; the fund cannot operate outside national financial law and doesn't try to.</w:t>
      </w:r>
    </w:p>
    <w:p w14:paraId="08398951"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The friction in joining is intentionally low. The fund's growth depends on enrollment being easy enough that people who broadly agree with the mission can sign up without overcoming significant procedural barriers.</w:t>
      </w:r>
    </w:p>
    <w:p w14:paraId="2255AD23"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b/>
          <w:bCs/>
          <w:kern w:val="2"/>
          <w14:ligatures w14:val="standardContextual"/>
        </w:rPr>
        <w:t>2. Aggregating contributions: the local-first principle</w:t>
      </w:r>
    </w:p>
    <w:p w14:paraId="4BDFE0D8"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Once a contribution is made, the money stays in the country where it was contributed, denominated in the local currency. This is a deliberate strategic choice with three operational benefits.</w:t>
      </w:r>
    </w:p>
    <w:p w14:paraId="66C1A318"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First, money that stays where it is contributed cannot be intercepted by financial sanctions. If a hostile foreign government attempts to freeze the fund's assets in dollar-denominated accounts, the fund's operations in that government's jurisdiction are affected — but the fund's holdings in dozens of other countries are not. By contrast, a fund that routed all contributions through a central dollar-denominated treasury would be entirely vulnerable to any government with influence over the dollar system.</w:t>
      </w:r>
    </w:p>
    <w:p w14:paraId="2D9ACDC0"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Second, no daily currency conversion happens. The contributions remain in local currency until the fund decides to deploy them. Daily currency conversion would expose the fund to constant exchange-rate volatility and would generate transaction costs that erode the contribution before it can be invested. The fund moves currency across borders only when an acquisition or operation requires it, not as a routine administrative matter.</w:t>
      </w:r>
    </w:p>
    <w:p w14:paraId="26D40629"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Third, the local-first structure aligns fund operations with the economies the fund operates in. Contributions made in Brazilian reais fund Brazilian operations until Brazilian operations are funded; only the surplus moves to other markets. This produces a natural balance between contribution-generating regions and capital-deploying regions, and it means each country's contributions visibly support that country's economic development first.</w:t>
      </w:r>
    </w:p>
    <w:p w14:paraId="2EFD0A58"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In practice, contributions flow into the fund's digital bank in each country (the financial infrastructure described in sub-article 3). The bank holds the contributions, deploys them locally where appropriate (lending to fund-aligned local businesses, investing in local fund acquisitions, supporting the fund's local operations), and transfers any surplus to the fund's broader treasury operations only when deployment opportunities elsewhere exceed local needs.</w:t>
      </w:r>
    </w:p>
    <w:p w14:paraId="3C829554"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b/>
          <w:bCs/>
          <w:kern w:val="2"/>
          <w14:ligatures w14:val="standardContextual"/>
        </w:rPr>
        <w:t>3. Currency handling: the basket reference unit</w:t>
      </w:r>
    </w:p>
    <w:p w14:paraId="78A79CAA"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lastRenderedPageBreak/>
        <w:t>The fund's accounting requires a common reference point because operations span more than 80 countries with different currencies, inflation rates, and economic conditions. The fund cannot report results in 80 different currencies simultaneously — it needs one unit of account for internal planning, financial reporting, and the dividend calculation that ensures equality across members.</w:t>
      </w:r>
    </w:p>
    <w:p w14:paraId="51322E34"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The fund's reference unit is a weighted basket of major world currencies. The composition includes the most widely used reserve currencies and the currencies of the largest economies, weighted by a combination of trade volume, GDP, and member population in the corresponding currency zones. The current basket includes the US dollar, the euro, the Chinese yuan, the Japanese yen, the British pound, the Indian rupee, the Brazilian real, the Russian ruble, the South African rand, and a rotating set of additional currencies representing other major economies. The exact composition is reviewed by the fund's governance every five years and adjusted as global economic weights shift.</w:t>
      </w:r>
    </w:p>
    <w:p w14:paraId="0D2351E4"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This basket approach has several advantages. The fund's value isn't tied to the fluctuations of any single currency, which protects members in any one country from being disadvantaged by their currency's relative movements. The basket naturally rebalances as economies grow and shrink, so the fund's reference unit tracks the actual global economy rather than tracking the economy of one dominant country. And the basket avoids placing the fund inside any single country's financial control regime; the fund doesn't operate "on dollars" or "on yuan" but on a weighted measure that no single government can manipulate.</w:t>
      </w:r>
    </w:p>
    <w:p w14:paraId="1F0958DE"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When the fund reports its asset base, profit, dividend pool, or any other aggregate financial figure, it does so in basket reference units. When the fund communicates with individual members about their dividend, it converts the basket-denominated dividend into the member's local currency at the time of distribution. A member in Vietnam receives their dividend in dong; a member in Nigeria receives theirs in naira; a member in Germany receives theirs in euros. The conversion is transparent and audited, and the conversion rate used is published with each dividend distribution.</w:t>
      </w:r>
    </w:p>
    <w:p w14:paraId="44A3099A"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Members can choose, if they prefer, to receive their dividend in basket reference units stored in their fund account rather than converted to local currency. This option matters for members in countries with very high inflation or very volatile currencies — they can preserve the value of their dividend in basket terms rather than watching local-currency dividends lose purchasing power between distributions.</w:t>
      </w:r>
    </w:p>
    <w:p w14:paraId="3DB42154"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b/>
          <w:bCs/>
          <w:kern w:val="2"/>
          <w14:ligatures w14:val="standardContextual"/>
        </w:rPr>
        <w:t>4. Deploying capital into acquisitions and operations</w:t>
      </w:r>
    </w:p>
    <w:p w14:paraId="426F58D3"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lastRenderedPageBreak/>
        <w:t>Aggregated contributions accumulate in the fund's country-level banks. When deployment is needed — for an acquisition, for a new fund operation, for supporting fund-aligned businesses — the deployment process follows a defined sequence.</w:t>
      </w:r>
    </w:p>
    <w:p w14:paraId="44AF712A"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For acquisitions, the process begins with identification. The fund's acquisition team, operating under the governance described in Part 1, identifies candidate companies in the sectors the fund is targeting. The team conducts due diligence on the company's financials, operations, supply chains, labor practices, environmental record, and strategic fit. The team prepares an acquisition proposal that includes the purchase price, the expected return profile, the operational changes the fund would make after acquisition (the margin trajectory, the wage and supplier improvements, the integration with other fund operations), and the financing plan (which contributions from which countries fund which portions of the purchase).</w:t>
      </w:r>
    </w:p>
    <w:p w14:paraId="19954249"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The acquisition proposal goes to the Citizen Chamber and the Country Chamber for approval. Smaller acquisitions (below a defined threshold) may be approved by the acquisition committee directly with chamber notification; larger acquisitions require formal chamber votes. The bicameral structure ensures that both global one-person-one-vote and per-country one-vote perspectives bear on the decision.</w:t>
      </w:r>
    </w:p>
    <w:p w14:paraId="0E1C9ED3"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If approved, the fund deploys the necessary capital. For a major acquisition, this typically involves consolidating funds from multiple country-level accounts into a coordinated treasury operation, converting currencies as needed to match the seller's denomination, and executing the purchase through standard corporate acquisition processes. The acquired company becomes a fund-owned subsidiary, operating under fund governance and aligned with fund principles.</w:t>
      </w:r>
    </w:p>
    <w:p w14:paraId="7B05AFE2"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For existing shareholders of acquired companies, the fund offers fair market value at the time of acquisition. Where shareholders are pension funds, retirement accounts, or other long-term holders of capital, the fund offers the option of converting their shares into other forms of fund-aligned investment (the fund's bonds, fund-issued investment certificates representing claims on specific fund operations, or cash). The transition is designed to be acceptable to existing capital structures rather than disruptive — the fund acquires by purchasing, not by expropriating.</w:t>
      </w:r>
    </w:p>
    <w:p w14:paraId="243969E3"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For acquired companies' employees, the fund commits to retention through the integration period and to maintaining or improving compensation levels. Executive teams of acquired companies are evaluated individually; some are retained, some are replaced with fund-aligned leadership over time. The pace of change varies by acquisition and is governed by member-elected boards.</w:t>
      </w:r>
    </w:p>
    <w:p w14:paraId="499FFBD0"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lastRenderedPageBreak/>
        <w:t>For acquired companies' supply chains, the fund renegotiates terms to better align with fund principles — fair payment, longer-term contracts, support for fund-aligned suppliers where possible. These changes happen gradually rather than immediately, since abrupt changes would disrupt operations.</w:t>
      </w:r>
    </w:p>
    <w:p w14:paraId="198C25F1"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For deployment into fund-aligned local businesses (the zero-cost capital arrangement described in sub-article 3), the fund's bank in each country evaluates applications, performs due diligence, and provides capital to qualifying businesses. These deployments are smaller individually but numerous, and they happen through standard banking processes rather than through formal chamber votes.</w:t>
      </w:r>
    </w:p>
    <w:p w14:paraId="30985E0D"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b/>
          <w:bCs/>
          <w:kern w:val="2"/>
          <w14:ligatures w14:val="standardContextual"/>
        </w:rPr>
        <w:t>5. From operations to dividends</w:t>
      </w:r>
    </w:p>
    <w:p w14:paraId="605CE7D8"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Fund-owned companies generate profits through their normal commercial operations. Those profits flow to the fund through the standard corporate financial structures — quarterly distributions, annual dividends to the fund as the parent entity, and reinvested earnings. The fund consolidates these flows from all its acquired companies and operations into a single profit pool at each accounting period.</w:t>
      </w:r>
    </w:p>
    <w:p w14:paraId="6737427A"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The dividend calculation works as follows. The fund's total annual profit, denominated in basket reference units, is divided into three components.</w:t>
      </w:r>
    </w:p>
    <w:p w14:paraId="4DFE2992"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The first component covers the fund's operating costs (overhead) for the year. This is a defined budget approved by the chambers, not a residual.</w:t>
      </w:r>
    </w:p>
    <w:p w14:paraId="2A8DAB6B"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The second component is reinvestment for expansion. For companies acquired at margins above 10%, the difference between their actual margin and the 10% target is automatically reinvested rather than distributed, as described in sub-article 3 — this is invisible to members because it never enters the dividend pool. Beyond this margin-trajectory reinvestment, any additional reinvestment from the dividend pool requires a member vote. By default, no member dividend money is reinvested without consent.</w:t>
      </w:r>
    </w:p>
    <w:p w14:paraId="0E147B83" w14:textId="77777777" w:rsid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The third component is the dividend pool — what remains after overhead and approved reinvestment. This pool is divided equally among all fund members worldwide. This is the equality principle made operational.</w:t>
      </w:r>
    </w:p>
    <w:p w14:paraId="524AE4B2" w14:textId="028A48B8"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The per-member dividend is then distributed. Members who chose local-currency distribution receive their dividend in their local currency at the published conversion rate. Members who chose basket-unit distribution have their dividend credited to their fund account in basket units. Members with mobile money or digital bank accounts receive direct deposits. Members in the cash retailer system can withdraw their dividend through participating retailers.</w:t>
      </w:r>
    </w:p>
    <w:p w14:paraId="1E346239"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lastRenderedPageBreak/>
        <w:t>In the early years of the fund, dividends are distributed annually. As the fund matures and dividend amounts grow, the chambers may approve more frequent distributions — semi-annually, quarterly, or even monthly. The administrative cost of more frequent distributions has to be weighed against the benefit to members of receiving income more regularly.</w:t>
      </w:r>
    </w:p>
    <w:p w14:paraId="5AA8EB37"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Tax treatment of dividends varies by country. The fund does not have the authority to override national tax law, and members are responsible for declaring and paying tax on dividends in their country of residence. The fund publishes for each country a comparison of how dividend income is treated under that country's tax code, both to help members understand their obligations and to make visible the differences between tax regimes. In some countries, cooperative-style dividends are tax-favored; in others, they're taxed as ordinary income; in others, they're treated as capital gains. The fund itself takes no position on what the right tax policy is — that's a matter for each country's citizens and their democratic processes. The fund simply complies with local law and provides the information members need to comply themselves.</w:t>
      </w:r>
    </w:p>
    <w:p w14:paraId="1D5473E6"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b/>
          <w:bCs/>
          <w:kern w:val="2"/>
          <w14:ligatures w14:val="standardContextual"/>
        </w:rPr>
        <w:t>6. Overhead: what it costs to run the fund</w:t>
      </w:r>
    </w:p>
    <w:p w14:paraId="4BEF0D01"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The fund's overhead covers everything required to operate the institution: technology infrastructure (member systems, banking platforms, payment networks, financial reporting); compliance and regulatory affairs across more than 80 jurisdictions; legal services for acquisitions, contracts, and disputes; audit by independent external auditors; customer service in dozens of languages; governance operations (chamber elections, voting infrastructure, deliberative processes); the AI mediation system from Part 1's three-stage cascade; treasury operations; and the staff salaries that make all of this possible.</w:t>
      </w:r>
    </w:p>
    <w:p w14:paraId="2CD2C006"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The overhead is significant in absolute terms and varies dramatically in percentage terms over the fund's life.</w:t>
      </w:r>
    </w:p>
    <w:p w14:paraId="2C1D65CC"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In year 1, with perhaps 100 million members contributing roughly $1.2 billion annually, the fund needs to build essentially all of its infrastructure from scratch. Overhead in year 1 could reasonably consume 30-40% of contributions — a large percentage of a relatively small base. The fund is in startup mode; the overhead is paying for things that didn't exist before.</w:t>
      </w:r>
    </w:p>
    <w:p w14:paraId="7ED6FEC0"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By year 5, with membership perhaps 1.5 billion and contributions around $18 billion annually, the infrastructure is largely built. Marginal cost per additional member is small. Overhead might decline to 15-20% as the base scales faster than the costs.</w:t>
      </w:r>
    </w:p>
    <w:p w14:paraId="18F7FC12"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By year 15, with membership approaching universal coverage and contributions plus profits generating a much larger total pool, overhead might fall to 8-12%. The fund is mature; its operations are routinized; its scale economies are working.</w:t>
      </w:r>
    </w:p>
    <w:p w14:paraId="7C8DFCCD"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lastRenderedPageBreak/>
        <w:t>In the long-term steady state, the target overhead is roughly 5-8%. This is comparable to well-run cooperative banks and substantially better than most private financial institutions. Most private mutual funds run overhead in the range of 0.5-2% but only on managed assets, not on contributions; on a contribution-flow basis, comparable financial institutions typically run higher.</w:t>
      </w:r>
    </w:p>
    <w:p w14:paraId="6E284280"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The overhead trajectory matters for two reasons. First, it explains why dividends in the early years are modest: in those years, the fund is investing in itself, building the infrastructure that makes the long-term dividend possible. Second, it sets a transparency standard. The chambers approve the overhead budget annually. The actual overhead is reported quarterly. Any deviation from the approved budget requires explanation. Members can see, in real time, what portion of their contribution is being spent on operations versus invested or distributed.</w:t>
      </w:r>
    </w:p>
    <w:p w14:paraId="198C1646"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If overhead were to balloon — as has happened with many large institutions over time — members would see it and could vote to constrain it. The fund's governance includes specific provisions making overhead growth a high-visibility matter: the chambers cannot quietly let overhead drift upward without explicit decisions, and constitutional limits cap overhead at a defined percentage of revenue that requires extraordinary majorities to exceed. The fund is structurally constrained from becoming bloated.</w:t>
      </w:r>
    </w:p>
    <w:p w14:paraId="2E3F32F4"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b/>
          <w:bCs/>
          <w:kern w:val="2"/>
          <w14:ligatures w14:val="standardContextual"/>
        </w:rPr>
        <w:t>7. The donation fund mechanics</w:t>
      </w:r>
    </w:p>
    <w:p w14:paraId="499284F8"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A specific operational detail worth covering: how donations actually reach the people they support.</w:t>
      </w:r>
    </w:p>
    <w:p w14:paraId="1503FF21"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The donation fund operates as a separate accounting structure within the broader fund. Donors contribute through normal fund banking channels — bank transfer, mobile money, or directly through the fund's website — and indicate that their contribution is to the donation fund rather than to their own membership. The donation fund pools these contributions globally.</w:t>
      </w:r>
    </w:p>
    <w:p w14:paraId="555F5114"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The donation fund then covers the $1 monthly contribution for members who have indicated they cannot afford it. Eligibility is determined through a combination of self-declaration and country-specific criteria (since "cannot afford $1" means different things in different economies). The donated contributions flow into the regular contribution system, generating regular dividends for the supported members.</w:t>
      </w:r>
    </w:p>
    <w:p w14:paraId="44B66008"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 xml:space="preserve">As supported members' dividends grow — typically over 5 to 10 years, depending on the fund's overall growth and the member's country — the dividends eventually exceed the $1 monthly contribution amount. At that point, the donation fund stops paying that member's </w:t>
      </w:r>
      <w:r w:rsidRPr="0076359B">
        <w:rPr>
          <w:rFonts w:asciiTheme="minorHAnsi" w:eastAsiaTheme="minorHAnsi" w:hAnsiTheme="minorHAnsi" w:cstheme="minorBidi"/>
          <w:kern w:val="2"/>
          <w14:ligatures w14:val="standardContextual"/>
        </w:rPr>
        <w:lastRenderedPageBreak/>
        <w:t>contribution; the member's own dividends fund their continued membership. The donation arm's role for that member ends.</w:t>
      </w:r>
    </w:p>
    <w:p w14:paraId="238EDEBC"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This is the self-extinguishing property described in sub-article 2. A donor's $12 a year contribution to the donation fund eventually produces a self-sustaining fund member who no longer requires support. The donor's role ends; the recipient becomes a permanent co-owner.</w:t>
      </w:r>
    </w:p>
    <w:p w14:paraId="3B03A53E"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The donation fund's accounting is fully transparent: how much was contributed, how many members were supported, how many graduated to self-sufficiency, and how the donation pool was deployed. Donors can verify their contributions' impact directly.</w:t>
      </w:r>
    </w:p>
    <w:p w14:paraId="15E7184A"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b/>
          <w:bCs/>
          <w:kern w:val="2"/>
          <w14:ligatures w14:val="standardContextual"/>
        </w:rPr>
        <w:t>8. What members can verify</w:t>
      </w:r>
    </w:p>
    <w:p w14:paraId="5D9B7D69"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The fund's operations are designed to be auditable by members at multiple levels.</w:t>
      </w:r>
    </w:p>
    <w:p w14:paraId="31271DA1" w14:textId="1787D5C8"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Annually, the fund publishes a comprehensive financial report including total contributions received (by country and currency), total assets held, profit by operating segment, dividend pool and distribution, overhead breakdown, and reinvestment by category. This report is audited by an entity selected by the chambers. In the early years and likely for decades, the auditor is a major external audit firm with an international reputation to protect — its independence from the fund is what makes the audit credible. As the fund matures, the chambers may choose to develop fund-owned audit capability, but the choice between external and internal audit always remains a chamber decision, voted on periodically, with safeguards against collusion built into the selection process. Specifically, no auditor (external or internal) can serve more than a defined number of consecutive years without rotation; the auditor reports directly to the chambers rather than to fund management; and the chambers retain the authority to commission supplemental audits by other entities at any time if concerns arise. The principle is that audit independence is structural, not just procedural — the auditor's accountability runs to the members, through the chambers, not to the management of the institution being audited.</w:t>
      </w:r>
    </w:p>
    <w:p w14:paraId="44A88653"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Quarterly, the fund publishes interim financials showing major changes since the prior report. Members can see acquisitions completed, dividends distributed, overhead trends, and any significant operational developments.</w:t>
      </w:r>
    </w:p>
    <w:p w14:paraId="1035FA05"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Continuously, members have access to their own account information: contributions made, dividends received, balance in basket units if they chose that option, status of any donation-fund support. The member portal shows all of this in the member's preferred language.</w:t>
      </w:r>
    </w:p>
    <w:p w14:paraId="34E8B9FE"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lastRenderedPageBreak/>
        <w:t>For deeper engagement, members can review the chamber meeting minutes, voting records, and proposal documents. The deliberative processes that produce fund decisions are public. Members can submit proposals, comment on pending decisions, and observe how their representatives vote.</w:t>
      </w:r>
    </w:p>
    <w:p w14:paraId="5F3422DB"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An AI system designed for member engagement makes this depth of involvement practical for ordinary members who don't have time to read every meeting transcript. Members can ask the AI questions about fund operations in plain language — "how much did the fund spend on overhead in my country last year," "what acquisitions are pending chamber approval," "how did my country's representatives vote on the last energy infrastructure proposal," "what's the dividend trajectory in countries similar to mine" — and receive answers grounded in the fund's public documents. The same AI helps members draft proposals, organize comments, and connect with other members interested in similar issues. The AI doesn't make decisions for members; it helps members participate more meaningfully in decisions that would otherwise require hours of document review. Like the rest of the fund's AI infrastructure, this engagement system is open-source, with publicly auditable training data, so members can verify that the AI is providing accurate information rather than steering them toward fund management's preferred conclusions.</w:t>
      </w:r>
    </w:p>
    <w:p w14:paraId="0639F45B"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The fund publishes, for each country it operates in, a comparison of how key financial flows are handled in that country versus others. This includes tax treatment of dividends, regulatory requirements on the fund's bank, restrictions on capital movement, and any country-specific operational variations. The comparison is informational; it doesn't recommend that countries change their policies. But it makes visible to citizens of each country how their country's approach compares to others, which lets them advocate within their own democratic processes for whatever changes they prefer.</w:t>
      </w:r>
    </w:p>
    <w:p w14:paraId="785FF909"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The transparency standard is high because the fund's legitimacy depends on it. Most financial institutions disclose what they're legally required to disclose and no more. The fund discloses comprehensively because its members are its owners, and owners have a right to know what their institution is doing.</w:t>
      </w:r>
    </w:p>
    <w:p w14:paraId="14E1C507"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b/>
          <w:bCs/>
          <w:kern w:val="2"/>
          <w14:ligatures w14:val="standardContextual"/>
        </w:rPr>
        <w:t>Why this matters</w:t>
      </w:r>
    </w:p>
    <w:p w14:paraId="34506BFE"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The mechanics described in this article aren't glamorous, but they're foundational. A fund that handles billions of small contributions, deploys hundreds of billions of dollars in acquisitions, manages dozens of currencies, complies with the financial law of more than 80 countries, and distributes dividends back to billions of people across the planet is one of the most operationally complex institutions ever attempted.</w:t>
      </w:r>
    </w:p>
    <w:p w14:paraId="0C4BCFEF"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lastRenderedPageBreak/>
        <w:t>The complexity is justified by the outcome. When the operations work, a person in rural Vietnam, a person in suburban Indiana, a person in a coastal village in Senegal, and a person in central London all participate in the same institution on equal terms, receive equal dividends, and exercise equal votes. The mechanics make the equality real. Without working operations, the equality is just an aspiration.</w:t>
      </w:r>
    </w:p>
    <w:p w14:paraId="5374C370"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The fund's growth over decades depends on these flows continuing to work, becoming more efficient over time, and remaining transparent throughout. Every operational improvement — a more efficient mobile money integration, a lower-cost cross-border settlement system, a more user-friendly dividend distribution interface — translates into better outcomes for members. The fund's operations team is one of the institution's most important groups, and the operations themselves are one of the fund's most important products.</w:t>
      </w:r>
    </w:p>
    <w:p w14:paraId="417A81B2"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The next article addresses the question that determines whether any of this gets built in the first place: how does the fund get from a Substack series to a functioning institution? The bootstrapping problem, the founders question, and the constitutional convention that produces the fund as a real entity.</w:t>
      </w:r>
    </w:p>
    <w:p w14:paraId="26513369" w14:textId="2366F25D" w:rsidR="0076359B" w:rsidRDefault="0076359B" w:rsidP="004412BC">
      <w:pPr>
        <w:spacing w:after="160" w:line="278" w:lineRule="auto"/>
        <w:rPr>
          <w:rFonts w:asciiTheme="minorHAnsi" w:eastAsiaTheme="minorHAnsi" w:hAnsiTheme="minorHAnsi" w:cstheme="minorBidi"/>
          <w:kern w:val="2"/>
          <w14:ligatures w14:val="standardContextual"/>
        </w:rPr>
      </w:pPr>
    </w:p>
    <w:p w14:paraId="43DB64D9" w14:textId="0B8634BC" w:rsidR="008B7F3A" w:rsidRPr="008B7F3A" w:rsidRDefault="008B7F3A" w:rsidP="004412BC">
      <w:pPr>
        <w:spacing w:after="160" w:line="278" w:lineRule="auto"/>
        <w:rPr>
          <w:rFonts w:asciiTheme="minorHAnsi" w:eastAsiaTheme="minorHAnsi" w:hAnsiTheme="minorHAnsi" w:cstheme="minorBidi"/>
          <w:b/>
          <w:bCs/>
          <w:kern w:val="2"/>
          <w14:ligatures w14:val="standardContextual"/>
        </w:rPr>
      </w:pPr>
      <w:r w:rsidRPr="008B7F3A">
        <w:rPr>
          <w:rFonts w:asciiTheme="minorHAnsi" w:eastAsiaTheme="minorHAnsi" w:hAnsiTheme="minorHAnsi" w:cstheme="minorBidi"/>
          <w:b/>
          <w:bCs/>
          <w:kern w:val="2"/>
          <w14:ligatures w14:val="standardContextual"/>
        </w:rPr>
        <w:t>SUBARTICLE 6</w:t>
      </w:r>
    </w:p>
    <w:p w14:paraId="4128948F"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b/>
          <w:bCs/>
          <w:kern w:val="2"/>
          <w14:ligatures w14:val="standardContextual"/>
        </w:rPr>
        <w:t>How the Fund Gets Built: The Bootstrapping Challenge</w:t>
      </w:r>
    </w:p>
    <w:p w14:paraId="4CD7FC94"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This is the article where the rest of the proposal either becomes credible or doesn't.</w:t>
      </w:r>
    </w:p>
    <w:p w14:paraId="15019050"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A reader who has worked through the previous five articles understands what the fund is, what it owns, how it competes, how its money flows, and what it could deliver to billions of people over decades. None of that matters if the fund cannot get built — if the people who design it become the people who control it, if the seed capital comes with strings that compromise the institution, if the founding process fails to produce a legitimate institution that real members would actually trust.</w:t>
      </w:r>
    </w:p>
    <w:p w14:paraId="7809F8AB"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The challenge of how to build the fund without the builders becoming oligarchs is the single hardest design issue in the entire proposal. Most ambitious institutional ideas die at exactly this question. The proposal sounds good in principle; the construction phase requires concentrated authority; the concentrated authority becomes permanent; the institution that was supposed to distribute power ends up reproducing the very pattern it was meant to solve.</w:t>
      </w:r>
    </w:p>
    <w:p w14:paraId="3195AD63"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 xml:space="preserve">The fund's approach to this challenge has been refined across decades of precedents from other institutional projects that succeeded, partially succeeded, or failed at exactly this </w:t>
      </w:r>
      <w:r w:rsidRPr="0076359B">
        <w:rPr>
          <w:rFonts w:asciiTheme="minorHAnsi" w:eastAsiaTheme="minorHAnsi" w:hAnsiTheme="minorHAnsi" w:cstheme="minorBidi"/>
          <w:kern w:val="2"/>
          <w14:ligatures w14:val="standardContextual"/>
        </w:rPr>
        <w:lastRenderedPageBreak/>
        <w:t>transition. Iceland's 2011 constitutional convention. The European Union's founding process between 1950 and 1957. Mondragón's emergence in the Basque Country in 1956. Bitcoin's creation and its founder's disappearance in 2011. Wikipedia's transition from its founder to its community between 2001 and 2003. Each of these provides a piece of the answer. None provides a complete template, because no prior institution has attempted what the fund attempts. But the precedents demonstrate that founder self-dismantling is achievable, and they teach what works and what doesn't.</w:t>
      </w:r>
    </w:p>
    <w:p w14:paraId="56296CC8"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This article describes the bootstrapping architecture in detail. It explains who builds the fund, on what authority, with what mandate, with what constraints, and how they leave when their work is done. It addresses the seed capital question honestly, including the structural protections against capture during the most vulnerable phase. It walks through the 2027-2031 planning phase year by year. And it names the ways this project could fail, because credibility requires honest engagement with what could go wrong.</w:t>
      </w:r>
    </w:p>
    <w:p w14:paraId="0E3F08E1"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b/>
          <w:bCs/>
          <w:kern w:val="2"/>
          <w14:ligatures w14:val="standardContextual"/>
        </w:rPr>
        <w:t>The two-phase founding architecture</w:t>
      </w:r>
    </w:p>
    <w:p w14:paraId="23445983"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The fund's construction happens in two distinct phases with different governance structures, separated by a constitutional ratification by prospective members. After both phases, the fund operates under its regular governance described in Part 1.</w:t>
      </w:r>
    </w:p>
    <w:p w14:paraId="102AABCB"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b/>
          <w:bCs/>
          <w:kern w:val="2"/>
          <w14:ligatures w14:val="standardContextual"/>
        </w:rPr>
        <w:t>Phase A: The Founding Committee (Years 1-3 of the planning phase, approximately 2027-2030).</w:t>
      </w:r>
    </w:p>
    <w:p w14:paraId="500D3CDF"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A founding committee of 200 people is convened with a defined mandate to produce three specific deliverables: the constitutional documents that establish the fund's foundational architecture (the bicameral governance, the constitutional limits, the operational principles, the dispute-resolution mechanisms); the institutional infrastructure required to launch operations (the legal entities in each jurisdiction, the digital banking platforms, the technology systems, the initial regulatory approvals); and the recruitment of the operational team that will run the fund after the founding committee dissolves.</w:t>
      </w:r>
    </w:p>
    <w:p w14:paraId="26E524B5"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The founding committee is not an operational body. It does not run the fund. It designs the fund and assembles the people who will run it. This distinction is critical because operations and governance are different functions, and conflating them is exactly how founders become permanent occupants.</w:t>
      </w:r>
    </w:p>
    <w:p w14:paraId="3FBE0A99"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The founding committee operates for 30 months by default. If its deliverables are not complete at that point, prospective members can ratify an extension of up to another 30 months by explicit vote. The extension is not the default; the dissolution is. The committee must finish its work on time or seek explicit member consent to continue.</w:t>
      </w:r>
    </w:p>
    <w:p w14:paraId="78A9570F"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lastRenderedPageBreak/>
        <w:t>When the founding committee completes its work or its mandate expires, it dissolves. Every member of the founding committee is then constitutionally prohibited from holding any operational role in the fund or any of its companies, from sitting on any subsequent transition body, or from receiving any compensation from the fund beyond their ordinary member dividend, for a period of 20 years. Former founding committee members participate in the fund as ordinary members with one vote each in the Citizen Chamber, but they have no special status. The fund does not have founders in any continuing sense; it has former designers who returned to ordinary membership.</w:t>
      </w:r>
    </w:p>
    <w:p w14:paraId="137DE598"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b/>
          <w:bCs/>
          <w:kern w:val="2"/>
          <w14:ligatures w14:val="standardContextual"/>
        </w:rPr>
        <w:t>Phase B: The Transition Committee (Years 3-5 of the planning phase, approximately 2030-2032).</w:t>
      </w:r>
    </w:p>
    <w:p w14:paraId="5FDDB788"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After the founding committee's deliverables are ratified by prospective members, a smaller transition committee of 30 to 50 people takes over the launch phase. The transition committee includes some former founding committee members (who serve in advisory rather than decisional roles), some newly elected representatives from the prospective membership, and the operational team being recruited by the founding committee in its final period.</w:t>
      </w:r>
    </w:p>
    <w:p w14:paraId="57D6C8E7"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The transition committee's mandate is specifically the launch: the digital banks open for member contributions; the first acquisitions are executed; the first dividends start flowing; the operational systems prove themselves under real conditions. The transition committee verifies that the institutional design actually works when run by real people in real markets, and course-corrects if it doesn't.</w:t>
      </w:r>
    </w:p>
    <w:p w14:paraId="65E6205B"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The transition committee dissolves at the end of this phase. The same 20-year prohibition applies to its members. By the end of Phase B, the fund is operating under its bicameral governance with no founding-period authority remaining.</w:t>
      </w:r>
    </w:p>
    <w:p w14:paraId="4874261D"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b/>
          <w:bCs/>
          <w:kern w:val="2"/>
          <w14:ligatures w14:val="standardContextual"/>
        </w:rPr>
        <w:t>Phase C: Regular governance (Year 5 onward, approximately 2032+).</w:t>
      </w:r>
    </w:p>
    <w:p w14:paraId="2AE70552"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The fund operates under the bicameral structure described in Part 1: a Citizen Chamber elected by global one-person-one-vote, a Country Chamber where each country casts a single vote determined by its citizens' internal majority, an AI mediation system handling deliberation between the chambers, and a constitutional layer protecting foundational rules that cannot be overridden without extraordinary majorities. The operational team reports to the chambers through structures established by the founding committee and validated by the transition committee. Elections happen on regular schedules. The fund's regular life begins.</w:t>
      </w:r>
    </w:p>
    <w:p w14:paraId="7BC3EC02"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b/>
          <w:bCs/>
          <w:kern w:val="2"/>
          <w14:ligatures w14:val="standardContextual"/>
        </w:rPr>
        <w:t>Who is on the founding committee, and how they get there</w:t>
      </w:r>
    </w:p>
    <w:p w14:paraId="26420509"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lastRenderedPageBreak/>
        <w:t>The founding committee's composition is designed to make any single faction's capture impossible. 200 people drawn from too many backgrounds to coordinate around any specific interest, with overlapping sources of selection so no single body controls who serves.</w:t>
      </w:r>
    </w:p>
    <w:p w14:paraId="4DC7EAEF"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Approximately 100 members are selected through stratified random selection from the global prospective membership. This is the Iceland 2011 model adapted to global scale. Prospective members who indicate willingness to serve are entered into a pool. From that pool, 100 people are selected through a random process stratified to ensure proportional representation across regions, age groups, gender, and professional backgrounds. The selection is verifiable and auditable; the algorithm is published; the random seed is generated through a public process that no single party controls.</w:t>
      </w:r>
    </w:p>
    <w:p w14:paraId="098CA34D"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This component matters because it ensures the committee includes ordinary citizens, not just experts and notables. Iceland 2011 demonstrated that randomly-selected citizens, given adequate time and support, can engage with complex constitutional questions and produce substantive proposals. The fund's founding committee includes a substantial component of citizens precisely because the fund is meant to belong to citizens.</w:t>
      </w:r>
    </w:p>
    <w:p w14:paraId="73617798"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Approximately 70 members are nominated by professional fields the fund needs to operate. The fields include law (international and comparative law, corporate law, financial regulation), finance (banking, investment management, treasury operations), technology (financial systems, security, AI governance), governance (constitutional design, organizational behavior, democratic institutions), economics (development economics, labor economics, industrial economics), public health (health systems, pharmaceutical research, healthcare delivery), and journalism (media independence, transparency standards). Each field nominates its members through a process internal to that field's professional bodies, with verification by independent observers.</w:t>
      </w:r>
    </w:p>
    <w:p w14:paraId="7D35EC04"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This component matters because the fund's institutional design requires expertise. Iceland 2011's constitutional draft was substantive but suffered from limited technical input; the fund's founding documents need to engage with banking law, securities regulation, antitrust, labor law, and dozens of other technical domains that random citizens alone cannot navigate.</w:t>
      </w:r>
    </w:p>
    <w:p w14:paraId="18AC4194"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 xml:space="preserve">Approximately 30 members come from civil society organizations with demonstrated commitment to the fund's principles: international cooperative federations, labor organizations, transparency advocates, environmental groups, human rights organizations, indigenous rights organizations, and similar bodies. These nominations come through coalition processes among recognized civil society groups, with weight given to </w:t>
      </w:r>
      <w:r w:rsidRPr="0076359B">
        <w:rPr>
          <w:rFonts w:asciiTheme="minorHAnsi" w:eastAsiaTheme="minorHAnsi" w:hAnsiTheme="minorHAnsi" w:cstheme="minorBidi"/>
          <w:kern w:val="2"/>
          <w14:ligatures w14:val="standardContextual"/>
        </w:rPr>
        <w:lastRenderedPageBreak/>
        <w:t>organizations representing communities most affected by the current global economic arrangement.</w:t>
      </w:r>
    </w:p>
    <w:p w14:paraId="235C8270"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This component matters because the fund is not an abstract intellectual project; it's an institution that must connect with people's actual lives and struggles. Civil society representatives bring direct knowledge of what the current system fails to deliver and what an alternative would need to provide.</w:t>
      </w:r>
    </w:p>
    <w:p w14:paraId="2F04DAF4"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Across all three selection paths, the geographic distribution is constitutional: no continent or region can hold more than 25% of committee seats. Within each region, no single country can hold more than 15% of regional seats. These constraints prevent any single national bloc from dominating the committee, even through coordinated effort.</w:t>
      </w:r>
    </w:p>
    <w:p w14:paraId="68509B6E"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Committee members serve for the duration of the founding committee's mandate (30-60 months total including any extension) with full compensation comparable to senior professional salaries in their countries of residence. They cannot hold any other paid role during their service. They cannot accept gifts, hospitality, or other compensation from any party with potential interest in fund outcomes. Their financial disclosures are continuous and public throughout their service.</w:t>
      </w:r>
    </w:p>
    <w:p w14:paraId="7767AE2A"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b/>
          <w:bCs/>
          <w:kern w:val="2"/>
          <w14:ligatures w14:val="standardContextual"/>
        </w:rPr>
        <w:t>The founding committee's mandate and limitations</w:t>
      </w:r>
    </w:p>
    <w:p w14:paraId="5F916DFA"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The founding committee's mandate is explicit and exhaustive. It produces specific deliverables and has no authority beyond producing them.</w:t>
      </w:r>
    </w:p>
    <w:p w14:paraId="6934FF3D"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What the committee must do:</w:t>
      </w:r>
    </w:p>
    <w:p w14:paraId="3130A4D2" w14:textId="77777777" w:rsidR="0076359B" w:rsidRPr="0076359B" w:rsidRDefault="0076359B" w:rsidP="0076359B">
      <w:pPr>
        <w:numPr>
          <w:ilvl w:val="0"/>
          <w:numId w:val="18"/>
        </w:num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Draft the constitutional documents establishing the fund's foundational architecture</w:t>
      </w:r>
    </w:p>
    <w:p w14:paraId="322FE814" w14:textId="77777777" w:rsidR="0076359B" w:rsidRPr="0076359B" w:rsidRDefault="0076359B" w:rsidP="0076359B">
      <w:pPr>
        <w:numPr>
          <w:ilvl w:val="0"/>
          <w:numId w:val="18"/>
        </w:num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Design the bicameral governance, the constitutional limits, and the dispute-resolution mechanisms</w:t>
      </w:r>
    </w:p>
    <w:p w14:paraId="72E70E4B" w14:textId="77777777" w:rsidR="0076359B" w:rsidRPr="0076359B" w:rsidRDefault="0076359B" w:rsidP="0076359B">
      <w:pPr>
        <w:numPr>
          <w:ilvl w:val="0"/>
          <w:numId w:val="18"/>
        </w:num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Establish the legal entities in each jurisdiction where the fund will operate</w:t>
      </w:r>
    </w:p>
    <w:p w14:paraId="251C5AF1" w14:textId="77777777" w:rsidR="0076359B" w:rsidRPr="0076359B" w:rsidRDefault="0076359B" w:rsidP="0076359B">
      <w:pPr>
        <w:numPr>
          <w:ilvl w:val="0"/>
          <w:numId w:val="18"/>
        </w:num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Negotiate the regulatory approvals required for fund operations to begin</w:t>
      </w:r>
    </w:p>
    <w:p w14:paraId="4BD9A797" w14:textId="77777777" w:rsidR="0076359B" w:rsidRPr="0076359B" w:rsidRDefault="0076359B" w:rsidP="0076359B">
      <w:pPr>
        <w:numPr>
          <w:ilvl w:val="0"/>
          <w:numId w:val="18"/>
        </w:num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Build the digital banking infrastructure described in sub-article 3</w:t>
      </w:r>
    </w:p>
    <w:p w14:paraId="77FF361A" w14:textId="77777777" w:rsidR="0076359B" w:rsidRPr="0076359B" w:rsidRDefault="0076359B" w:rsidP="0076359B">
      <w:pPr>
        <w:numPr>
          <w:ilvl w:val="0"/>
          <w:numId w:val="18"/>
        </w:num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Build the technology platforms for member enrollment, contribution processing, dividend distribution, and governance participation</w:t>
      </w:r>
    </w:p>
    <w:p w14:paraId="14CB7304" w14:textId="77777777" w:rsidR="0076359B" w:rsidRPr="0076359B" w:rsidRDefault="0076359B" w:rsidP="0076359B">
      <w:pPr>
        <w:numPr>
          <w:ilvl w:val="0"/>
          <w:numId w:val="18"/>
        </w:num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Recruit the operational team that will run the fund after the founding committee dissolves</w:t>
      </w:r>
    </w:p>
    <w:p w14:paraId="5C0825C3" w14:textId="77777777" w:rsidR="0076359B" w:rsidRPr="0076359B" w:rsidRDefault="0076359B" w:rsidP="0076359B">
      <w:pPr>
        <w:numPr>
          <w:ilvl w:val="0"/>
          <w:numId w:val="18"/>
        </w:num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lastRenderedPageBreak/>
        <w:t>Conduct the initial member enrollment process so that constitutional ratification can occur</w:t>
      </w:r>
    </w:p>
    <w:p w14:paraId="3F9D845B"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What the committee cannot do:</w:t>
      </w:r>
    </w:p>
    <w:p w14:paraId="18EB5AB9" w14:textId="77777777" w:rsidR="0076359B" w:rsidRPr="0076359B" w:rsidRDefault="0076359B" w:rsidP="0076359B">
      <w:pPr>
        <w:numPr>
          <w:ilvl w:val="0"/>
          <w:numId w:val="19"/>
        </w:num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Make any policy decision that the constitutional structure reserves for the chambers (which industries to enter, what to acquire, how much to invest in what, dividend distribution rates beyond the constitutional baseline)</w:t>
      </w:r>
    </w:p>
    <w:p w14:paraId="18041F82" w14:textId="77777777" w:rsidR="0076359B" w:rsidRPr="0076359B" w:rsidRDefault="0076359B" w:rsidP="0076359B">
      <w:pPr>
        <w:numPr>
          <w:ilvl w:val="0"/>
          <w:numId w:val="19"/>
        </w:num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Modify its own mandate, composition, or compensation</w:t>
      </w:r>
    </w:p>
    <w:p w14:paraId="71398FD2" w14:textId="77777777" w:rsidR="0076359B" w:rsidRPr="0076359B" w:rsidRDefault="0076359B" w:rsidP="0076359B">
      <w:pPr>
        <w:numPr>
          <w:ilvl w:val="0"/>
          <w:numId w:val="19"/>
        </w:num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Extend its own term without explicit prospective-member ratification</w:t>
      </w:r>
    </w:p>
    <w:p w14:paraId="484F6413" w14:textId="77777777" w:rsidR="0076359B" w:rsidRPr="0076359B" w:rsidRDefault="0076359B" w:rsidP="0076359B">
      <w:pPr>
        <w:numPr>
          <w:ilvl w:val="0"/>
          <w:numId w:val="19"/>
        </w:num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Appoint any of its members to operational roles in the fund's first 20 years</w:t>
      </w:r>
    </w:p>
    <w:p w14:paraId="28BEFF40" w14:textId="77777777" w:rsidR="0076359B" w:rsidRPr="0076359B" w:rsidRDefault="0076359B" w:rsidP="0076359B">
      <w:pPr>
        <w:numPr>
          <w:ilvl w:val="0"/>
          <w:numId w:val="19"/>
        </w:num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Appoint any of its members' family, business partners, or political associates to such roles</w:t>
      </w:r>
    </w:p>
    <w:p w14:paraId="425305A1" w14:textId="77777777" w:rsidR="0076359B" w:rsidRPr="0076359B" w:rsidRDefault="0076359B" w:rsidP="0076359B">
      <w:pPr>
        <w:numPr>
          <w:ilvl w:val="0"/>
          <w:numId w:val="19"/>
        </w:num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Accept compensation, gifts, hospitality, or other consideration from any party with potential interest in fund outcomes</w:t>
      </w:r>
    </w:p>
    <w:p w14:paraId="060BC0FE" w14:textId="77777777" w:rsidR="0076359B" w:rsidRPr="0076359B" w:rsidRDefault="0076359B" w:rsidP="0076359B">
      <w:pPr>
        <w:numPr>
          <w:ilvl w:val="0"/>
          <w:numId w:val="19"/>
        </w:num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Make confidential agreements regarding fund operations that are not disclosed to prospective members</w:t>
      </w:r>
    </w:p>
    <w:p w14:paraId="0BF7790A" w14:textId="77777777" w:rsidR="0076359B" w:rsidRPr="0076359B" w:rsidRDefault="0076359B" w:rsidP="0076359B">
      <w:pPr>
        <w:numPr>
          <w:ilvl w:val="0"/>
          <w:numId w:val="19"/>
        </w:num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Engage in negotiations on fund acquisitions that would commit the fund to specific transactions before the transition committee takes over</w:t>
      </w:r>
    </w:p>
    <w:p w14:paraId="54A96F39"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The constraints are enforceable. Violations result in immediate removal from the committee, forfeiture of compensation, and lifetime ban from any fund role. Enforcement is conducted by an independent oversight body of 12 people drawn from professional ethics bodies and supreme courts globally, also bound by the same conflict-of-interest constraints.</w:t>
      </w:r>
    </w:p>
    <w:p w14:paraId="031CB7C6"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 xml:space="preserve">The oversight body itself is accountable through four mechanisms. First, every enforcement decision is accompanied by a written public opinion explaining the facts, the rules applied, and the reasoning. The reasoning is auditable by anyone who reads it. Second, major decisions — removal from the founding committee, forfeiture of compensation, lifetime bans — are subject to ratification by prospective members during the planning phase, and by the bicameral chambers afterward. Members can overturn an oversight body decision they disagree with after reviewing the published reasoning. Third, oversight body members serve three-year terms with staggered rotation so not all 12 turn over simultaneously. No member of the oversight body can serve more than two consecutive terms. Fourth, anyone removed by the oversight body has the right to appeal through the ordinary courts of their country of residence — providing a check by </w:t>
      </w:r>
      <w:r w:rsidRPr="008B7F3A">
        <w:rPr>
          <w:rFonts w:asciiTheme="minorHAnsi" w:eastAsiaTheme="minorHAnsi" w:hAnsiTheme="minorHAnsi" w:cstheme="minorBidi"/>
          <w:kern w:val="2"/>
          <w14:ligatures w14:val="standardContextual"/>
        </w:rPr>
        <w:lastRenderedPageBreak/>
        <w:t>institutions the fund does not control. Together, these mechanisms make capture of the oversight body structurally very difficult: capturing the body alone gains a captor nothing if its decisions are subject to member ratification and external court review.</w:t>
      </w:r>
    </w:p>
    <w:p w14:paraId="6A5A9842"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b/>
          <w:bCs/>
          <w:kern w:val="2"/>
          <w14:ligatures w14:val="standardContextual"/>
        </w:rPr>
        <w:t>Seed capital without capture</w:t>
      </w:r>
    </w:p>
    <w:p w14:paraId="3090015B"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The fund needs operational capital during the planning phase before member contributions can scale. The honest answer to where this capital comes from is that it comes from three streams, each with structural protections against the capture risk this phase creates.</w:t>
      </w:r>
    </w:p>
    <w:p w14:paraId="1F90D0AF"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b/>
          <w:bCs/>
          <w:kern w:val="2"/>
          <w14:ligatures w14:val="standardContextual"/>
        </w:rPr>
        <w:t>Stream 1: Pre-purchased memberships.</w:t>
      </w:r>
    </w:p>
    <w:p w14:paraId="11A28E23"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A prospective member can choose to pay their full 30-year contribution upfront: $1 a month for 360 months, $360 total. The person is enrolled as an ordinary member from the launch date with normal voting rights and normal dividend entitlement. Their contribution is treated identically to a member who pays monthly; they simply paid in advance.</w:t>
      </w:r>
    </w:p>
    <w:p w14:paraId="24338FE9"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This is the cleanest form of early capital because it requires no special arrangement. A person who is going to be a member anyway and has the means to pay upfront does so. The fund receives capital it can use during the planning phase. The member receives nothing beyond their normal membership benefits. There is no special class, no privileged information, no governance influence.</w:t>
      </w:r>
    </w:p>
    <w:p w14:paraId="6924A426"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Pre-purchased memberships have no cap. Anyone who wants to pre-pay can. The fund anticipates that this will be a substantial source of early capital, particularly from people in higher-income countries with the means and the conviction to support the project.</w:t>
      </w:r>
    </w:p>
    <w:p w14:paraId="3DBA4316"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b/>
          <w:bCs/>
          <w:kern w:val="2"/>
          <w14:ligatures w14:val="standardContextual"/>
        </w:rPr>
        <w:t>Stream 2: Donations to the donation fund.</w:t>
      </w:r>
    </w:p>
    <w:p w14:paraId="2DAC7172"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A donor can contribute to the donation fund — which, as described in earlier articles, covers $1 monthly contributions for members who cannot afford them. Donations enroll real members, generate eventual dividends for those members, and produce no claim on the fund's structure.</w:t>
      </w:r>
    </w:p>
    <w:p w14:paraId="4B88DCB5"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This is the second-cleanest form of early capital. Donors who want to support the project but seek no return at all, no governance influence, no special status, contribute through this channel. Their contributions immediately become operational capital for enrolling members in low-income countries. As those members' eventual dividends grow large enough to cover their own monthly contributions, the donation pool becomes available for new beneficiaries. The donation fund self-extinguishes per recipient.</w:t>
      </w:r>
    </w:p>
    <w:p w14:paraId="5C87F1BB"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lastRenderedPageBreak/>
        <w:t>The donation fund has no cap on contributions but maintains full public disclosure of every donor's identity and contribution amount. Anonymous donations are not accepted; the fund's transparency commitment is structural.</w:t>
      </w:r>
    </w:p>
    <w:p w14:paraId="665174F0"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b/>
          <w:bCs/>
          <w:kern w:val="2"/>
          <w14:ligatures w14:val="standardContextual"/>
        </w:rPr>
        <w:t>Stream 3: Founding loans.</w:t>
      </w:r>
    </w:p>
    <w:p w14:paraId="5E000B81"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A person or organization can loan the fund operational capital with defined repayment terms and explicit limitations on rights. This is the most operationally complex stream and the one most vulnerable to capture, so it carries the most structural protections.</w:t>
      </w:r>
    </w:p>
    <w:p w14:paraId="42C6386B"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The terms of a founding loan are standardized and non-negotiable:</w:t>
      </w:r>
    </w:p>
    <w:p w14:paraId="496F3192" w14:textId="77777777" w:rsidR="0076359B" w:rsidRPr="0076359B" w:rsidRDefault="0076359B" w:rsidP="0076359B">
      <w:pPr>
        <w:numPr>
          <w:ilvl w:val="0"/>
          <w:numId w:val="20"/>
        </w:num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A defined principal amount, contributed in a single transaction or in scheduled installments</w:t>
      </w:r>
    </w:p>
    <w:p w14:paraId="49CD7991" w14:textId="77777777" w:rsidR="0076359B" w:rsidRPr="0076359B" w:rsidRDefault="0076359B" w:rsidP="0076359B">
      <w:pPr>
        <w:numPr>
          <w:ilvl w:val="0"/>
          <w:numId w:val="20"/>
        </w:num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A defined repayment schedule, fixed at the time of the loan, with repayment as an operational expense over a defined number of years (typically 10 to 15 years after fund launch)</w:t>
      </w:r>
    </w:p>
    <w:p w14:paraId="6ABD8D1C" w14:textId="77777777" w:rsidR="0076359B" w:rsidRPr="0076359B" w:rsidRDefault="0076359B" w:rsidP="0076359B">
      <w:pPr>
        <w:numPr>
          <w:ilvl w:val="0"/>
          <w:numId w:val="20"/>
        </w:num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A defined repayment amount that accounts for inflation but provides no return beyond inflation protection. Founding lenders are not investors; they are creditors who accept the risk of total loss in exchange for their capital being repaid at preserved purchasing power if the fund launches successfully</w:t>
      </w:r>
    </w:p>
    <w:p w14:paraId="04DB586C" w14:textId="77777777" w:rsidR="0076359B" w:rsidRPr="0076359B" w:rsidRDefault="0076359B" w:rsidP="0076359B">
      <w:pPr>
        <w:numPr>
          <w:ilvl w:val="0"/>
          <w:numId w:val="20"/>
        </w:num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No voting rights, no governance role, no consultative role, no priority claim on fund assets beyond the repayment schedule, no special information access</w:t>
      </w:r>
    </w:p>
    <w:p w14:paraId="6DDBD444" w14:textId="77777777" w:rsidR="0076359B" w:rsidRPr="0076359B" w:rsidRDefault="0076359B" w:rsidP="0076359B">
      <w:pPr>
        <w:numPr>
          <w:ilvl w:val="0"/>
          <w:numId w:val="20"/>
        </w:num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A constitutional prohibition on any founding lender, their family members, business partners, or political associates serving on the founding committee, the transition committee, or any operational role in the fund's first 20 years</w:t>
      </w:r>
    </w:p>
    <w:p w14:paraId="256B14EA" w14:textId="77777777" w:rsidR="0076359B" w:rsidRPr="0076359B" w:rsidRDefault="0076359B" w:rsidP="0076359B">
      <w:pPr>
        <w:numPr>
          <w:ilvl w:val="0"/>
          <w:numId w:val="20"/>
        </w:num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Full public disclosure of every founding lender's identity and loan amount</w:t>
      </w:r>
    </w:p>
    <w:p w14:paraId="180E112E" w14:textId="77777777" w:rsidR="0076359B" w:rsidRPr="0076359B" w:rsidRDefault="0076359B" w:rsidP="0076359B">
      <w:pPr>
        <w:numPr>
          <w:ilvl w:val="0"/>
          <w:numId w:val="20"/>
        </w:num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A cap on the maximum any single individual or organization can loan: 1% of the fund's projected first-year capital from any single source. This means the fund's seed capital must come from at least 100 different sources to be fully funded, and no single lender can hold a position large enough to claim influence</w:t>
      </w:r>
    </w:p>
    <w:p w14:paraId="6EB5BFB7" w14:textId="77777777" w:rsidR="0076359B" w:rsidRPr="0076359B" w:rsidRDefault="0076359B" w:rsidP="0076359B">
      <w:pPr>
        <w:numPr>
          <w:ilvl w:val="0"/>
          <w:numId w:val="20"/>
        </w:num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A binding contractual provision that the repayment schedule cannot be renegotiated, accelerated, or otherwise modified to favor lenders after the fact. The terms are fixed at the time of the loan and cannot be improved later</w:t>
      </w:r>
    </w:p>
    <w:p w14:paraId="4D88BD8D"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 xml:space="preserve">The structuring of founding loans is handled by a financial subcommittee within the founding committee, specifically tasked with this function. Members of the financial </w:t>
      </w:r>
      <w:r w:rsidRPr="0076359B">
        <w:rPr>
          <w:rFonts w:asciiTheme="minorHAnsi" w:eastAsiaTheme="minorHAnsi" w:hAnsiTheme="minorHAnsi" w:cstheme="minorBidi"/>
          <w:kern w:val="2"/>
          <w14:ligatures w14:val="standardContextual"/>
        </w:rPr>
        <w:lastRenderedPageBreak/>
        <w:t>subcommittee document their interactions with prospective lenders in detail. The documentation is published quarterly. The subcommittee's records are auditable.</w:t>
      </w:r>
    </w:p>
    <w:p w14:paraId="11DC9D9F"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Throughout the repayment phase (which extends well beyond the founding period, potentially 15 years into the fund's regular operations), lenders have one legitimate interface with the fund: the financial subcommittee, on matters strictly related to their loan and its repayment. They have no other point of contact. They do not meet with operational leadership, with chamber representatives, or with members. They have no role in the fund beyond being creditors awaiting repayment.</w:t>
      </w:r>
    </w:p>
    <w:p w14:paraId="5797969B"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If the fund fails to launch successfully — if planning fails, if ratification fails, if operations cannot begin — founding loans are lost. The lenders bear the risk that their capital does not generate the institution they were funding. This is intentional. It ensures that founding loans come from people who genuinely want the fund to exist, who are willing to lose their capital if it doesn't, rather than from people seeking arbitrage opportunities or influence.</w:t>
      </w:r>
    </w:p>
    <w:p w14:paraId="6D799AD6"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The combined protections — the cap, the prohibition on governance roles, the public disclosure, the time-limited and well-documented interface, the fixed repayment terms, the irrevocable contractual structure — make founding-loan capture structurally very difficult. A wealthy individual who wanted to control the fund through founding loans would face: a maximum contribution of 1% of needed capital, exposed to public disclosure, with no governance rights, no information access, no contact with operational personnel, and the inability to renegotiate terms. The arrangement is genuinely unattractive to anyone whose motivation is anything other than supporting the fund's launch.</w:t>
      </w:r>
    </w:p>
    <w:p w14:paraId="6D35FE79"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b/>
          <w:bCs/>
          <w:kern w:val="2"/>
          <w14:ligatures w14:val="standardContextual"/>
        </w:rPr>
        <w:t>The ratification process</w:t>
      </w:r>
    </w:p>
    <w:p w14:paraId="4B705607"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After the founding committee completes its deliverables, the constitutional documents and institutional architecture are ratified by prospective members through a global vote that mirrors the bicameral structure that will govern the fund afterward.</w:t>
      </w:r>
    </w:p>
    <w:p w14:paraId="2FA11DF1"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The ratification process has several specific features designed to prevent disruption.</w:t>
      </w:r>
    </w:p>
    <w:p w14:paraId="53066065"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b/>
          <w:bCs/>
          <w:kern w:val="2"/>
          <w14:ligatures w14:val="standardContextual"/>
        </w:rPr>
        <w:t>Geographic floor for ratification eligibility.</w:t>
      </w:r>
      <w:r w:rsidRPr="0076359B">
        <w:rPr>
          <w:rFonts w:asciiTheme="minorHAnsi" w:eastAsiaTheme="minorHAnsi" w:hAnsiTheme="minorHAnsi" w:cstheme="minorBidi"/>
          <w:kern w:val="2"/>
          <w14:ligatures w14:val="standardContextual"/>
        </w:rPr>
        <w:t xml:space="preserve"> The constitutional documents are ratified only if a minimum threshold of countries have minimum levels of prospective membership. Specifically: ratification requires that at least 100 of the 194 countries have prospective membership of at least 0.6% of their population, and that the combined prospective membership reaches at least 50 million people across the participating countries.</w:t>
      </w:r>
    </w:p>
    <w:p w14:paraId="36ACE539"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 xml:space="preserve">The 0.6% figure is calculated to produce the 50-million-member total when applied uniformly across the world's population, ensuring participation is substantive in every country. This means roughly 68 prospective members in Tuvalu, 32,000 in Costa Rica, </w:t>
      </w:r>
      <w:r w:rsidRPr="0076359B">
        <w:rPr>
          <w:rFonts w:asciiTheme="minorHAnsi" w:eastAsiaTheme="minorHAnsi" w:hAnsiTheme="minorHAnsi" w:cstheme="minorBidi"/>
          <w:kern w:val="2"/>
          <w14:ligatures w14:val="standardContextual"/>
        </w:rPr>
        <w:lastRenderedPageBreak/>
        <w:t>320,000 in Colombia, 520,000 in Germany, 2 million in the United States, and 8.8 million in India. The percentage is the same for every country; the absolute numbers vary with population. This prevents any single national bloc from dominating the vote (because each country's prospective members are scaled to that country's size) and ensures the fund's claim to global membership is substantively true at the moment of ratification.</w:t>
      </w:r>
    </w:p>
    <w:p w14:paraId="21E29014"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b/>
          <w:bCs/>
          <w:kern w:val="2"/>
          <w14:ligatures w14:val="standardContextual"/>
        </w:rPr>
        <w:t>Bicameral ratification.</w:t>
      </w:r>
      <w:r w:rsidRPr="0076359B">
        <w:rPr>
          <w:rFonts w:asciiTheme="minorHAnsi" w:eastAsiaTheme="minorHAnsi" w:hAnsiTheme="minorHAnsi" w:cstheme="minorBidi"/>
          <w:kern w:val="2"/>
          <w14:ligatures w14:val="standardContextual"/>
        </w:rPr>
        <w:t xml:space="preserve"> The ratification vote follows the same bicameral structure that will govern the fund afterward. A Citizen Chamber vote where every prospective member counts equally; a Country Chamber vote where each country with sufficient prospective membership casts a single vote (the direction of the vote determined by the majority of that country's prospective members). Both chambers must approve for constitutional ratification.</w:t>
      </w:r>
    </w:p>
    <w:p w14:paraId="0BBE16FA"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This prevents a country whose government wants to disrupt the fund from sending agents to enroll en masse (the Citizen Chamber vote absorbs that effort across the global membership) and prevents a small group of countries from blocking what most countries support (the Country Chamber gives each country its single vote regardless of size). Bad-faith disruption would require both winning the global one-person-one-vote contest and winning a majority of countries — structurally very hard.</w:t>
      </w:r>
    </w:p>
    <w:p w14:paraId="168421C8"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b/>
          <w:bCs/>
          <w:kern w:val="2"/>
          <w14:ligatures w14:val="standardContextual"/>
        </w:rPr>
        <w:t>Time-distributed sequential ratification.</w:t>
      </w:r>
      <w:r w:rsidRPr="0076359B">
        <w:rPr>
          <w:rFonts w:asciiTheme="minorHAnsi" w:eastAsiaTheme="minorHAnsi" w:hAnsiTheme="minorHAnsi" w:cstheme="minorBidi"/>
          <w:kern w:val="2"/>
          <w14:ligatures w14:val="standardContextual"/>
        </w:rPr>
        <w:t xml:space="preserve"> The ratification vote is not a single moment but a sequence. Prospective members debate proposed constitutional provisions through the AI deliberation system over a defined period, with adequate time for genuine consideration and discussion. Then the constitutional provisions are voted on section by section, with results published after each section.</w:t>
      </w:r>
    </w:p>
    <w:p w14:paraId="6610A888"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This serves three purposes. It allows correction of any specific provision that fails ratification without requiring the entire constitution to be rewritten. It makes coordinated disruption attempts harder because they would need to succeed across many votes rather than just one. And it gives prospective members meaningful agency in shaping the constitution, rather than facing a binary yes/no on a document they had no role in producing.</w:t>
      </w:r>
    </w:p>
    <w:p w14:paraId="281E500F"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b/>
          <w:bCs/>
          <w:kern w:val="2"/>
          <w14:ligatures w14:val="standardContextual"/>
        </w:rPr>
        <w:t>Enrollment verification.</w:t>
      </w:r>
      <w:r w:rsidRPr="0076359B">
        <w:rPr>
          <w:rFonts w:asciiTheme="minorHAnsi" w:eastAsiaTheme="minorHAnsi" w:hAnsiTheme="minorHAnsi" w:cstheme="minorBidi"/>
          <w:kern w:val="2"/>
          <w14:ligatures w14:val="standardContextual"/>
        </w:rPr>
        <w:t xml:space="preserve"> Prospective members are verified through KYC processes equivalent to those used by regulated banks in each country. The fund's digital banks per country already operate under local banking regulation and use standard customer identification procedures: birth certificates or national ID cards where digital identity systems exist (Aadhaar in India, RealMe in New Zealand, the European e-ID frameworks); passport verification with biometric matching where digital ID is unavailable; in-person verification at participating retailers for members without documents.</w:t>
      </w:r>
    </w:p>
    <w:p w14:paraId="2DF22372"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lastRenderedPageBreak/>
        <w:t>The verification standards are no different from what every prospective member's local bank already applies for routine account opening. Mass fake enrollment is structurally difficult under this system because it would require defeating KYC infrastructure that is already designed to prevent exactly this kind of fraud across the global financial system.</w:t>
      </w:r>
    </w:p>
    <w:p w14:paraId="3D4697A4"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b/>
          <w:bCs/>
          <w:kern w:val="2"/>
          <w14:ligatures w14:val="standardContextual"/>
        </w:rPr>
        <w:t>Government recognition.</w:t>
      </w:r>
      <w:r w:rsidRPr="0076359B">
        <w:rPr>
          <w:rFonts w:asciiTheme="minorHAnsi" w:eastAsiaTheme="minorHAnsi" w:hAnsiTheme="minorHAnsi" w:cstheme="minorBidi"/>
          <w:kern w:val="2"/>
          <w14:ligatures w14:val="standardContextual"/>
        </w:rPr>
        <w:t xml:space="preserve"> The fund's bicameral structure cannot force any government to recognize the legitimacy of fund operations. But the fund's design makes ignoring it costly: a government that refuses to recognize the fund's legitimacy is denying its own citizens access to an institution that other countries' citizens are enjoying. The fund's growing dividend distribution and operational presence make ignoring it increasingly visible. This isn't a guarantee that all governments will cooperate, but it reduces the leverage of any single hostile government.</w:t>
      </w:r>
    </w:p>
    <w:p w14:paraId="58345681"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b/>
          <w:bCs/>
          <w:kern w:val="2"/>
          <w14:ligatures w14:val="standardContextual"/>
        </w:rPr>
        <w:t>The 2027-2031 planning phase, year by year</w:t>
      </w:r>
    </w:p>
    <w:p w14:paraId="6AE76A3A"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The planning phase has five years and a defined sequence of milestones in each year. The schedule is intentionally specific because vague schedules are how planning phases drift indefinitely.</w:t>
      </w:r>
    </w:p>
    <w:p w14:paraId="4AE32B54"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b/>
          <w:bCs/>
          <w:kern w:val="2"/>
          <w14:ligatures w14:val="standardContextual"/>
        </w:rPr>
        <w:t>Year 1 (2027): Initialization.</w:t>
      </w:r>
    </w:p>
    <w:p w14:paraId="080223E4"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The first nine months are dedicated to convening the founding committee through the stratified random selection of 100 citizens, the professional nomination of 70 expert members, and the civil society nomination of 30 representatives. The selection processes are run by an independent body convened specifically for this purpose, dissolved after the committee is seated.</w:t>
      </w:r>
    </w:p>
    <w:p w14:paraId="25149E2D"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Concurrent with committee formation, the fund opens its initial enrollment for prospective members in pilot countries. Initial pilot countries are selected based on three criteria: regulatory openness (financial regulators willing to license the fund's digital banking operations), infrastructure readiness (digital payment systems, mobile money networks, or banking penetration sufficient to support fund operations), and political climate (governments and populations historically receptive to international cooperative initiatives and skeptical of concentrated economic power).</w:t>
      </w:r>
    </w:p>
    <w:p w14:paraId="5527844B" w14:textId="1B6B1295" w:rsidR="0076359B" w:rsidRPr="0076359B" w:rsidRDefault="008B7F3A" w:rsidP="0076359B">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 xml:space="preserve">Likely initial pilots include Ireland (a country whose foundational anti-colonial identity and recent foreign policy positions on self-determination issues align with the fund's principles, combined with strong infrastructure and EU regulatory integration), South Africa (a constitutional democracy with documented commitment to international institutions, including its 2024 referral of Israel to the ICJ over Gaza), Brazil (a regional power with strong cooperative banking traditions and </w:t>
      </w:r>
      <w:r>
        <w:rPr>
          <w:rFonts w:asciiTheme="minorHAnsi" w:eastAsiaTheme="minorHAnsi" w:hAnsiTheme="minorHAnsi" w:cstheme="minorBidi"/>
          <w:kern w:val="2"/>
          <w14:ligatures w14:val="standardContextual"/>
        </w:rPr>
        <w:t>substantial potential membership base</w:t>
      </w:r>
      <w:r w:rsidRPr="008B7F3A">
        <w:rPr>
          <w:rFonts w:asciiTheme="minorHAnsi" w:eastAsiaTheme="minorHAnsi" w:hAnsiTheme="minorHAnsi" w:cstheme="minorBidi"/>
          <w:kern w:val="2"/>
          <w14:ligatures w14:val="standardContextual"/>
        </w:rPr>
        <w:t xml:space="preserve">), India (the world's largest democracy with mature digital identity infrastructure and a massive </w:t>
      </w:r>
      <w:r w:rsidRPr="008B7F3A">
        <w:rPr>
          <w:rFonts w:asciiTheme="minorHAnsi" w:eastAsiaTheme="minorHAnsi" w:hAnsiTheme="minorHAnsi" w:cstheme="minorBidi"/>
          <w:kern w:val="2"/>
          <w14:ligatures w14:val="standardContextual"/>
        </w:rPr>
        <w:lastRenderedPageBreak/>
        <w:t>potential membership base), Indonesia (Southeast Asia's largest economy with strong cooperative traditions), the Philippines (mature mobile money infrastructure and a population already accustomed to digital financial services), and select countries in Africa where mobile money networks like M-Pesa make rapid enrollment feasible. Parts of Latin America with cooperative-friendly governments and parts of Europe with strong cooperative banking traditions also appear in the early pilot list. The pilot expansion continues through subsequent years, adding countries as regulatory approvals and infrastructure readiness allow.</w:t>
      </w:r>
    </w:p>
    <w:p w14:paraId="680B205D"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The remaining three months of Year 1 are dedicated to the founding committee's initial work: organizing into subcommittees (constitutional, financial, technological, regulatory, operational), establishing working procedures, and beginning constitutional drafting.</w:t>
      </w:r>
    </w:p>
    <w:p w14:paraId="0DE577F0"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b/>
          <w:bCs/>
          <w:kern w:val="2"/>
          <w14:ligatures w14:val="standardContextual"/>
        </w:rPr>
        <w:t>Year 2 (2028): Constitutional drafting and infrastructure design.</w:t>
      </w:r>
    </w:p>
    <w:p w14:paraId="3736F819"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The bulk of constitutional drafting occurs in Year 2. The founding committee produces draft constitutional documents, publishes them for prospective member commentary, revises based on feedback, and continues iterating. Specific working groups handle the bicameral governance design, the constitutional limits, the dispute-resolution mechanisms, and the operational principles. The financial subcommittee begins structuring founding loans and processing pre-purchased memberships.</w:t>
      </w:r>
    </w:p>
    <w:p w14:paraId="52D89C9D"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Parallel to constitutional work, infrastructure design progresses: legal entities are established in pilot countries, technology platforms are designed and built out, digital banking applications are developed, regulatory approvals are pursued.</w:t>
      </w:r>
    </w:p>
    <w:p w14:paraId="5AFD2274"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b/>
          <w:bCs/>
          <w:kern w:val="2"/>
          <w14:ligatures w14:val="standardContextual"/>
        </w:rPr>
        <w:t>Year 3 (2029): Operational preparation and constitutional finalization.</w:t>
      </w:r>
    </w:p>
    <w:p w14:paraId="3C1F99CD"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The founding committee finalizes constitutional documents and begins recruitment of the operational team that will run the fund. The transition committee begins to take shape, including some founding committee members in advisory roles and newly elected representatives from prospective members.</w:t>
      </w:r>
    </w:p>
    <w:p w14:paraId="235C2943"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Digital banks open in pilot countries for prospective members. While the fund cannot yet make acquisitions or distribute dividends, the banks accept savings deposits, offer participation-banking products, and begin building member relationships. Prospective member enrollment expands rapidly during this year.</w:t>
      </w:r>
    </w:p>
    <w:p w14:paraId="21A7B660"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By the end of Year 3, the constitutional documents are ready for ratification, the geographic floor is approached or reached, and the founding committee's primary work is complete.</w:t>
      </w:r>
    </w:p>
    <w:p w14:paraId="3A0C3BD8"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b/>
          <w:bCs/>
          <w:kern w:val="2"/>
          <w14:ligatures w14:val="standardContextual"/>
        </w:rPr>
        <w:t>Year 4 (2030): Ratification and transition.</w:t>
      </w:r>
    </w:p>
    <w:p w14:paraId="0260A570"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lastRenderedPageBreak/>
        <w:t>Ratification occurs through the sequential section-by-section process described above. Constitutional provisions that fail ratification go back for revision; the process iterates until either ratification succeeds or the constitutional path is judged unsuccessful.</w:t>
      </w:r>
    </w:p>
    <w:p w14:paraId="50B7769A"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If ratification succeeds, the founding committee dissolves and the transition committee assumes oversight. Pilot operations expand. First acquisitions of essential goods companies are negotiated and executed. First member dividends are calculated and distributed (modest in this first year but real).</w:t>
      </w:r>
    </w:p>
    <w:p w14:paraId="294DE5A3"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If ratification fails, lessons are learned, a new founding committee is convened with the failure modes addressed, and the timeline extends. The original founding committee does not continue.</w:t>
      </w:r>
    </w:p>
    <w:p w14:paraId="2C6F7A14"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b/>
          <w:bCs/>
          <w:kern w:val="2"/>
          <w14:ligatures w14:val="standardContextual"/>
        </w:rPr>
        <w:t>Year 5 (2031): Launch and operational validation.</w:t>
      </w:r>
    </w:p>
    <w:p w14:paraId="4BAB1F44"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The fund formally launches with operations across all pilot countries. Member enrollment expands to all countries where regulatory approval has been secured. Acquisitions accelerate. Dividends become routine. The transition committee verifies that operations work as designed.</w:t>
      </w:r>
    </w:p>
    <w:p w14:paraId="7EDB50E9"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By the end of Year 5, the fund is fully operational under its regular governance structure, and both the founding and transition committees have dissolved. The 20-year prohibition on former committee members holding operational roles begins.</w:t>
      </w:r>
    </w:p>
    <w:p w14:paraId="3EBBF959"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b/>
          <w:bCs/>
          <w:kern w:val="2"/>
          <w14:ligatures w14:val="standardContextual"/>
        </w:rPr>
        <w:t>Precedents for founder self-dismantling</w:t>
      </w:r>
    </w:p>
    <w:p w14:paraId="4C59AB2A"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The fund's founding architecture draws on five precedents, each of which demonstrates that the bootstrapping challenge has been solved (at least partially) in other contexts.</w:t>
      </w:r>
    </w:p>
    <w:p w14:paraId="27085050"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b/>
          <w:bCs/>
          <w:kern w:val="2"/>
          <w14:ligatures w14:val="standardContextual"/>
        </w:rPr>
        <w:t>Iceland 2011.</w:t>
      </w:r>
      <w:r w:rsidRPr="0076359B">
        <w:rPr>
          <w:rFonts w:asciiTheme="minorHAnsi" w:eastAsiaTheme="minorHAnsi" w:hAnsiTheme="minorHAnsi" w:cstheme="minorBidi"/>
          <w:kern w:val="2"/>
          <w14:ligatures w14:val="standardContextual"/>
        </w:rPr>
        <w:t xml:space="preserve"> In 2010, Iceland's parliament convened a constitutional council of 25 randomly-selected citizens to draft a new constitution following the 2008 financial crisis that had discredited the country's political establishment. The council used social media to incorporate ongoing public input throughout the drafting period. The resulting document was approved in a non-binding 2012 referendum by approximately two-thirds of voters.</w:t>
      </w:r>
    </w:p>
    <w:p w14:paraId="04FDCFAD"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The Iceland 2011 process worked: randomly-selected citizens, given time and adequate support, produced a substantive constitutional document that the public endorsed. The failure mode is also instructive: the existing parliament ultimately did not enact the new constitution, despite popular support. The fund's design specifically addresses this failure mode by having members ratify the constitution directly — there is no separate legislature that can block what members decide. The fund executes its members' will because there is no intermediary institution that can override it.</w:t>
      </w:r>
    </w:p>
    <w:p w14:paraId="1814E5AF"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b/>
          <w:bCs/>
          <w:kern w:val="2"/>
          <w14:ligatures w14:val="standardContextual"/>
        </w:rPr>
        <w:lastRenderedPageBreak/>
        <w:t>The European Union founding (1950-1957).</w:t>
      </w:r>
      <w:r w:rsidRPr="0076359B">
        <w:rPr>
          <w:rFonts w:asciiTheme="minorHAnsi" w:eastAsiaTheme="minorHAnsi" w:hAnsiTheme="minorHAnsi" w:cstheme="minorBidi"/>
          <w:kern w:val="2"/>
          <w14:ligatures w14:val="standardContextual"/>
        </w:rPr>
        <w:t xml:space="preserve"> Six countries' political leaders (Jean Monnet, Robert Schuman, Konrad Adenauer, Alcide De Gasperi, Paul-Henri Spaak, and others) designed the institutional architecture that became the European Coal and Steel Community and ultimately the European Union. Their authority came from being trusted experts in their countries' political systems, not from being directly elected.</w:t>
      </w:r>
    </w:p>
    <w:p w14:paraId="74BC2923"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The EU founding worked: a small group of designers produced institutional architecture that has lasted seven decades and progressively transferred authority to elected European bodies. The failure mode worth learning from: the EU's democratic legitimacy was contested for decades because citizens felt the institution was designed by elites without their direct involvement. The fund's design addresses this by combining expert input (the 70 professional nominees) with direct citizen involvement (the 100 randomly-selected members) and civil society representation (the 30 civil society members), and by requiring direct citizen ratification rather than indirect ratification through national parliaments.</w:t>
      </w:r>
    </w:p>
    <w:p w14:paraId="71831740"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b/>
          <w:bCs/>
          <w:kern w:val="2"/>
          <w14:ligatures w14:val="standardContextual"/>
        </w:rPr>
        <w:t>Mondragón (1956).</w:t>
      </w:r>
      <w:r w:rsidRPr="0076359B">
        <w:rPr>
          <w:rFonts w:asciiTheme="minorHAnsi" w:eastAsiaTheme="minorHAnsi" w:hAnsiTheme="minorHAnsi" w:cstheme="minorBidi"/>
          <w:kern w:val="2"/>
          <w14:ligatures w14:val="standardContextual"/>
        </w:rPr>
        <w:t xml:space="preserve"> Father José María Arizmendiarrieta started Mondragón in 1956 but deliberately built institutions that did not concentrate authority in himself. He served as advisor, intellectual leader, and moral conscience for the cooperatives, but never held executive roles. Mondragón today is owned by its workers; Arizmendiarrieta is a respected founder whose role was specifically not to control what he helped create.</w:t>
      </w:r>
    </w:p>
    <w:p w14:paraId="4D1FF5E6"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Mondragón demonstrates that founder self-dismantling can be achieved by founder choice. Arizmendiarrieta could have made himself the permanent leader of Mondragón; he chose not to. The fund's design makes this choice structural rather than personal — the constitutional prohibition on former founding committee members holding operational roles is binding, not voluntary.</w:t>
      </w:r>
    </w:p>
    <w:p w14:paraId="5E2957F0"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b/>
          <w:bCs/>
          <w:kern w:val="2"/>
          <w14:ligatures w14:val="standardContextual"/>
        </w:rPr>
        <w:t>Bitcoin (2009-2011).</w:t>
      </w:r>
      <w:r w:rsidRPr="0076359B">
        <w:rPr>
          <w:rFonts w:asciiTheme="minorHAnsi" w:eastAsiaTheme="minorHAnsi" w:hAnsiTheme="minorHAnsi" w:cstheme="minorBidi"/>
          <w:kern w:val="2"/>
          <w14:ligatures w14:val="standardContextual"/>
        </w:rPr>
        <w:t xml:space="preserve"> Satoshi Nakamoto published a paper describing Bitcoin in 2008, released the initial software in 2009, communicated with early developers through 2010, and disappeared completely in 2011. The protocol was designed to operate without any central authority, including without its creator.</w:t>
      </w:r>
    </w:p>
    <w:p w14:paraId="731F74CA"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Bitcoin demonstrates that a sufficiently well-designed system can operate without its founder, that founders can disappear rather than dismantle themselves gradually, and that the founder's authority can be transferred entirely to the design once the design works. The fund cannot fully replicate this (an institution that owns companies needs human governance in ways a protocol does not), but the principle that founders can absent themselves once their work is complete applies directly.</w:t>
      </w:r>
    </w:p>
    <w:p w14:paraId="18D06B16"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b/>
          <w:bCs/>
          <w:kern w:val="2"/>
          <w14:ligatures w14:val="standardContextual"/>
        </w:rPr>
        <w:t>Wikipedia (2001-2003).</w:t>
      </w:r>
      <w:r w:rsidRPr="0076359B">
        <w:rPr>
          <w:rFonts w:asciiTheme="minorHAnsi" w:eastAsiaTheme="minorHAnsi" w:hAnsiTheme="minorHAnsi" w:cstheme="minorBidi"/>
          <w:kern w:val="2"/>
          <w14:ligatures w14:val="standardContextual"/>
        </w:rPr>
        <w:t xml:space="preserve"> Jimmy Wales founded Wikipedia in 2001, served as its public face for years, but progressively transferred decision-making authority to the Wikimedia </w:t>
      </w:r>
      <w:r w:rsidRPr="0076359B">
        <w:rPr>
          <w:rFonts w:asciiTheme="minorHAnsi" w:eastAsiaTheme="minorHAnsi" w:hAnsiTheme="minorHAnsi" w:cstheme="minorBidi"/>
          <w:kern w:val="2"/>
          <w14:ligatures w14:val="standardContextual"/>
        </w:rPr>
        <w:lastRenderedPageBreak/>
        <w:t>Foundation (established 2003) and the volunteer community. By 2010, Wales had no operational role in Wikipedia, though he retained ceremonial standing. Wikipedia is now one of the most successful citizen-built institutions of the internet era.</w:t>
      </w:r>
    </w:p>
    <w:p w14:paraId="0EA8EEA8"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Wikipedia demonstrates that founder transition can happen gradually over years, that the transition can be partially bumpy without being catastrophic, and that the founder's ceremonial role can coexist with substantive operational independence. The fund's design follows this model in its phased transition from founding committee to transition committee to regular governance.</w:t>
      </w:r>
    </w:p>
    <w:p w14:paraId="01D85756"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None of these precedents provides a complete template. Each provides a piece of the answer. The fund's founding architecture combines elements from each.</w:t>
      </w:r>
    </w:p>
    <w:p w14:paraId="639B2979"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b/>
          <w:bCs/>
          <w:kern w:val="2"/>
          <w14:ligatures w14:val="standardContextual"/>
        </w:rPr>
        <w:t>How the fund could fail</w:t>
      </w:r>
    </w:p>
    <w:p w14:paraId="5292FFBE"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The honest version of this article includes the ways this project could fail. Credibility requires it; pretending the fund is guaranteed to succeed would betray the rest of the series' commitment to honesty over triumphalism.</w:t>
      </w:r>
    </w:p>
    <w:p w14:paraId="6C6A055F"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b/>
          <w:bCs/>
          <w:kern w:val="2"/>
          <w14:ligatures w14:val="standardContextual"/>
        </w:rPr>
        <w:t>Failure to reach minimum membership during the planning phase.</w:t>
      </w:r>
      <w:r w:rsidRPr="0076359B">
        <w:rPr>
          <w:rFonts w:asciiTheme="minorHAnsi" w:eastAsiaTheme="minorHAnsi" w:hAnsiTheme="minorHAnsi" w:cstheme="minorBidi"/>
          <w:kern w:val="2"/>
          <w14:ligatures w14:val="standardContextual"/>
        </w:rPr>
        <w:t xml:space="preserve"> If by the end of Year 4 the fund has prospective membership too small to meet the geographic floor for ratification — fewer than 50 million members, or fewer than 100 countries with adequate participation — the launch cannot proceed on schedule. The fund would need to extend the planning phase, possibly indefinitely, until membership reaches the viable threshold. A fund that launches with only a few million members has too little capital to operate at the scale described in earlier articles, and would likely fail in its first operational years.</w:t>
      </w:r>
    </w:p>
    <w:p w14:paraId="3A5CF630"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This failure mode is partially within member control: members who believe in the fund can encourage enrollment, share the project with their networks, and contribute to the donation fund to enable membership in low-income countries.</w:t>
      </w:r>
    </w:p>
    <w:p w14:paraId="1B5D5FD7"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b/>
          <w:bCs/>
          <w:kern w:val="2"/>
          <w14:ligatures w14:val="standardContextual"/>
        </w:rPr>
        <w:t>Failure to secure regulatory approvals.</w:t>
      </w:r>
      <w:r w:rsidRPr="0076359B">
        <w:rPr>
          <w:rFonts w:asciiTheme="minorHAnsi" w:eastAsiaTheme="minorHAnsi" w:hAnsiTheme="minorHAnsi" w:cstheme="minorBidi"/>
          <w:kern w:val="2"/>
          <w14:ligatures w14:val="standardContextual"/>
        </w:rPr>
        <w:t xml:space="preserve"> The fund's digital banks need approval from central banks and financial regulators in each country. If multiple major countries refuse approval — possibly because their political establishments perceive the fund as a threat — the fund's universal-membership claim becomes aspirational. The fund would need to either operate in fewer countries (compromising its global mission) or accept long delays while regulatory positions evolve.</w:t>
      </w:r>
    </w:p>
    <w:p w14:paraId="68326AC2"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 xml:space="preserve">This failure mode requires sustained political pressure on regulators. The fund's defense is twofold: visible membership demand in each country puts political pressure on regulators to approve, and the fund's compliance commitments (full local regulation, full local </w:t>
      </w:r>
      <w:r w:rsidRPr="0076359B">
        <w:rPr>
          <w:rFonts w:asciiTheme="minorHAnsi" w:eastAsiaTheme="minorHAnsi" w:hAnsiTheme="minorHAnsi" w:cstheme="minorBidi"/>
          <w:kern w:val="2"/>
          <w14:ligatures w14:val="standardContextual"/>
        </w:rPr>
        <w:lastRenderedPageBreak/>
        <w:t>taxation, full transparency) leave regulators with weak grounds for refusal beyond pure political opposition.</w:t>
      </w:r>
    </w:p>
    <w:p w14:paraId="71368265"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b/>
          <w:bCs/>
          <w:kern w:val="2"/>
          <w14:ligatures w14:val="standardContextual"/>
        </w:rPr>
        <w:t>Failure of the founding committee to produce viable constitutional documents.</w:t>
      </w:r>
      <w:r w:rsidRPr="0076359B">
        <w:rPr>
          <w:rFonts w:asciiTheme="minorHAnsi" w:eastAsiaTheme="minorHAnsi" w:hAnsiTheme="minorHAnsi" w:cstheme="minorBidi"/>
          <w:kern w:val="2"/>
          <w14:ligatures w14:val="standardContextual"/>
        </w:rPr>
        <w:t xml:space="preserve"> If the committee cannot reach agreement on the bicameral structure, the constitutional limits, the operational principles, or the dispute-resolution mechanisms, the fund cannot launch. The committee might dissolve in failure after 30 or 60 months, requiring a new committee with the lessons learned and an extended timeline.</w:t>
      </w:r>
    </w:p>
    <w:p w14:paraId="53354870"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This failure mode is the most procedural and the most addressable. The committee's bylaws specify how decisions are made and how disagreements are resolved. The bicameral structure within the committee itself (citizen members, professional members, civil society members each contributing distinct perspectives) makes deadlock less likely. Voting thresholds for major decisions are designed to require broad agreement rather than narrow majorities.</w:t>
      </w:r>
    </w:p>
    <w:p w14:paraId="3E28D22B"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b/>
          <w:bCs/>
          <w:kern w:val="2"/>
          <w14:ligatures w14:val="standardContextual"/>
        </w:rPr>
        <w:t>Successful capture during the planning phase.</w:t>
      </w:r>
      <w:r w:rsidRPr="0076359B">
        <w:rPr>
          <w:rFonts w:asciiTheme="minorHAnsi" w:eastAsiaTheme="minorHAnsi" w:hAnsiTheme="minorHAnsi" w:cstheme="minorBidi"/>
          <w:kern w:val="2"/>
          <w14:ligatures w14:val="standardContextual"/>
        </w:rPr>
        <w:t xml:space="preserve"> Despite all structural safeguards, a sufficiently motivated and well-resourced bad actor could potentially capture elements of the founding committee, the seed capital sources, or the early infrastructure. If this happens before the constitutional layer is in place, the fund could launch with biases built into its design that the structural protections were meant to prevent.</w:t>
      </w:r>
    </w:p>
    <w:p w14:paraId="3F13A186"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This failure mode is the most concerning because it is the hardest to detect and the most difficult to reverse. Defenses include: the multi-stream selection of committee members (no single group selects all 200), the geographic distribution constraints, the conflict-of-interest enforcement by independent oversight, the public disclosure requirements, the 1% cap on individual founding loans, and the time-distributed sequential ratification process. The fund accepts that no defense is perfect; members who detect capture during the planning phase can refuse ratification.</w:t>
      </w:r>
    </w:p>
    <w:p w14:paraId="6F286CB7"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b/>
          <w:bCs/>
          <w:kern w:val="2"/>
          <w14:ligatures w14:val="standardContextual"/>
        </w:rPr>
        <w:t>Coordinated political and economic attack during the planning phase.</w:t>
      </w:r>
      <w:r w:rsidRPr="0076359B">
        <w:rPr>
          <w:rFonts w:asciiTheme="minorHAnsi" w:eastAsiaTheme="minorHAnsi" w:hAnsiTheme="minorHAnsi" w:cstheme="minorBidi"/>
          <w:kern w:val="2"/>
          <w14:ligatures w14:val="standardContextual"/>
        </w:rPr>
        <w:t xml:space="preserve"> Governments, wealthy individuals, or corporations with reasons to oppose the fund could disrupt the planning phase through sanctions, propaganda campaigns, legal challenges, surveillance, or pressure on participating regulators. The fund's defenses work better against attacks on a launched fund than against attacks during the more vulnerable planning phase.</w:t>
      </w:r>
    </w:p>
    <w:p w14:paraId="7CDF9CEA"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The defense is partly structural (multiple jurisdictions, no single point of failure) and partly mobilizational (a large and politically engaged prospective membership in many countries makes attacking the planning phase politically costly).</w:t>
      </w:r>
    </w:p>
    <w:p w14:paraId="2993C78D"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b/>
          <w:bCs/>
          <w:kern w:val="2"/>
          <w14:ligatures w14:val="standardContextual"/>
        </w:rPr>
        <w:t>Cultural rejection in major regions.</w:t>
      </w:r>
      <w:r w:rsidRPr="0076359B">
        <w:rPr>
          <w:rFonts w:asciiTheme="minorHAnsi" w:eastAsiaTheme="minorHAnsi" w:hAnsiTheme="minorHAnsi" w:cstheme="minorBidi"/>
          <w:kern w:val="2"/>
          <w14:ligatures w14:val="standardContextual"/>
        </w:rPr>
        <w:t xml:space="preserve"> If the fund is broadly rejected in major regions during the planning phase — perceived as Western imperialism in the Global South, as foreign </w:t>
      </w:r>
      <w:r w:rsidRPr="0076359B">
        <w:rPr>
          <w:rFonts w:asciiTheme="minorHAnsi" w:eastAsiaTheme="minorHAnsi" w:hAnsiTheme="minorHAnsi" w:cstheme="minorBidi"/>
          <w:kern w:val="2"/>
          <w14:ligatures w14:val="standardContextual"/>
        </w:rPr>
        <w:lastRenderedPageBreak/>
        <w:t>interference in the West, as ideologically threatening to major religious communities, or as a cover for some specific national interest — its planning phase could stall regardless of operational readiness.</w:t>
      </w:r>
    </w:p>
    <w:p w14:paraId="255B4085"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The defense is the fund's framing as a citizen-led global initiative that takes no positions on contested cultural or religious questions and that operates within each country's existing political and legal frameworks. But this framing can fail in practice if specific actors successfully misrepresent the fund to specific communities.</w:t>
      </w:r>
    </w:p>
    <w:p w14:paraId="38C6EF0E"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b/>
          <w:bCs/>
          <w:kern w:val="2"/>
          <w14:ligatures w14:val="standardContextual"/>
        </w:rPr>
        <w:t>The fund could simply not be the right answer.</w:t>
      </w:r>
      <w:r w:rsidRPr="0076359B">
        <w:rPr>
          <w:rFonts w:asciiTheme="minorHAnsi" w:eastAsiaTheme="minorHAnsi" w:hAnsiTheme="minorHAnsi" w:cstheme="minorBidi"/>
          <w:kern w:val="2"/>
          <w14:ligatures w14:val="standardContextual"/>
        </w:rPr>
        <w:t xml:space="preserve"> A final failure mode worth naming: the analysis could be wrong. Perhaps the structural changes the fund proposes cannot be achieved at the scale required. Perhaps the consumer dynamics will not produce the dividend feedback loop. Perhaps the political resistance will be too strong. Perhaps people will not enroll in sufficient numbers. Perhaps the operational challenges will overwhelm the institutional capacity. The fund's design accounts for these risks, but the design could simply be insufficient against reality.</w:t>
      </w:r>
    </w:p>
    <w:p w14:paraId="42CDC387"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This is the most honest acknowledgment. The fund is a structural proposal for solving a global challenge that has resisted every previous attempt at solution. The proposal could be insufficient. The fund's strength is that the cost of trying is very low (members contribute $1 a month and can stop at any time) and the upside is very large (meaningful global redistribution of economic ownership and reduced concentration of political power). The downside of trying is much smaller than the downside of not trying. But it's not zero, and members should know what they're committing to and what could go wrong.</w:t>
      </w:r>
    </w:p>
    <w:p w14:paraId="6AD2EAE8"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b/>
          <w:bCs/>
          <w:kern w:val="2"/>
          <w14:ligatures w14:val="standardContextual"/>
        </w:rPr>
        <w:t>Why the founding architecture matters</w:t>
      </w:r>
    </w:p>
    <w:p w14:paraId="388AB075"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The architecture described in this article is the difference between a thought experiment and a real institution. Without a viable founding architecture, the fund is just a series of essays. With one, it has a path from idea to functioning operation that respects the principles the rest of the series has articulated.</w:t>
      </w:r>
    </w:p>
    <w:p w14:paraId="3BA03AD1"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The founding committee is intentionally a passing structure. It exists for 30 to 60 months, produces a defined set of deliverables, dissolves on schedule, and prohibits its members from continuing influence. The fund is meant to be owned and governed by its members, not by its designers. The designers' job is to design themselves out of necessity.</w:t>
      </w:r>
    </w:p>
    <w:p w14:paraId="0CFD3441"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 xml:space="preserve">This is the deepest principle in the fund's architecture, and it's the principle that distinguishes the fund from most other ambitious institutional projects. Most institutional projects end up dominated by their founders because the founders preserve their authority. The fund's founding committee preserves no authority. Once their work is done, they </w:t>
      </w:r>
      <w:r w:rsidRPr="0076359B">
        <w:rPr>
          <w:rFonts w:asciiTheme="minorHAnsi" w:eastAsiaTheme="minorHAnsi" w:hAnsiTheme="minorHAnsi" w:cstheme="minorBidi"/>
          <w:kern w:val="2"/>
          <w14:ligatures w14:val="standardContextual"/>
        </w:rPr>
        <w:lastRenderedPageBreak/>
        <w:t>become ordinary members like everyone else, with one vote and one share, exactly the same as anyone who joined the fund on its first day or its ten-thousandth day.</w:t>
      </w:r>
    </w:p>
    <w:p w14:paraId="68CA4A4C"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The fund has no founders in any continuing sense. It has only members. The founding committee is the temporary instrument that produces the conditions for permanent member governance. When that work is complete, the fund belongs to everyone equally, and the people who designed it return to being ordinary members like the rest of us.</w:t>
      </w:r>
    </w:p>
    <w:p w14:paraId="339137A7" w14:textId="77777777" w:rsidR="0076359B" w:rsidRPr="0076359B" w:rsidRDefault="0076359B" w:rsidP="0076359B">
      <w:pPr>
        <w:spacing w:after="160" w:line="278" w:lineRule="auto"/>
        <w:rPr>
          <w:rFonts w:asciiTheme="minorHAnsi" w:eastAsiaTheme="minorHAnsi" w:hAnsiTheme="minorHAnsi" w:cstheme="minorBidi"/>
          <w:kern w:val="2"/>
          <w14:ligatures w14:val="standardContextual"/>
        </w:rPr>
      </w:pPr>
      <w:r w:rsidRPr="0076359B">
        <w:rPr>
          <w:rFonts w:asciiTheme="minorHAnsi" w:eastAsiaTheme="minorHAnsi" w:hAnsiTheme="minorHAnsi" w:cstheme="minorBidi"/>
          <w:kern w:val="2"/>
          <w14:ligatures w14:val="standardContextual"/>
        </w:rPr>
        <w:t>The next article walks through what stops the fund from becoming what it replaces. The constitutional safeguards, the operational anti-corruption mechanisms, the structural defenses against the slow corruption that has captured every other large institution in history. The fund's design is intended to be different. The next article explains how.</w:t>
      </w:r>
    </w:p>
    <w:p w14:paraId="462E798B" w14:textId="77777777" w:rsidR="008B7F3A" w:rsidRDefault="008B7F3A" w:rsidP="004412BC">
      <w:pPr>
        <w:spacing w:after="160" w:line="278" w:lineRule="auto"/>
        <w:rPr>
          <w:rFonts w:asciiTheme="minorHAnsi" w:eastAsiaTheme="minorHAnsi" w:hAnsiTheme="minorHAnsi" w:cstheme="minorBidi"/>
          <w:kern w:val="2"/>
          <w14:ligatures w14:val="standardContextual"/>
        </w:rPr>
      </w:pPr>
    </w:p>
    <w:p w14:paraId="2AA41165" w14:textId="5BAE3B86" w:rsidR="0076359B" w:rsidRPr="008B7F3A" w:rsidRDefault="008B7F3A" w:rsidP="004412BC">
      <w:pPr>
        <w:spacing w:after="160" w:line="278" w:lineRule="auto"/>
        <w:rPr>
          <w:rFonts w:asciiTheme="minorHAnsi" w:eastAsiaTheme="minorHAnsi" w:hAnsiTheme="minorHAnsi" w:cstheme="minorBidi"/>
          <w:b/>
          <w:bCs/>
          <w:kern w:val="2"/>
          <w14:ligatures w14:val="standardContextual"/>
        </w:rPr>
      </w:pPr>
      <w:r w:rsidRPr="008B7F3A">
        <w:rPr>
          <w:rFonts w:asciiTheme="minorHAnsi" w:eastAsiaTheme="minorHAnsi" w:hAnsiTheme="minorHAnsi" w:cstheme="minorBidi"/>
          <w:b/>
          <w:bCs/>
          <w:kern w:val="2"/>
          <w14:ligatures w14:val="standardContextual"/>
        </w:rPr>
        <w:t>SUBARTICLE 7</w:t>
      </w:r>
    </w:p>
    <w:p w14:paraId="255F6A9F"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b/>
          <w:bCs/>
          <w:kern w:val="2"/>
          <w14:ligatures w14:val="standardContextual"/>
        </w:rPr>
        <w:t>What Stops the Fund from Becoming What It Replaces</w:t>
      </w:r>
    </w:p>
    <w:p w14:paraId="588A0AA9"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This is the article every thoughtful reader has been waiting for, because it addresses the deepest skepticism the fund's proposal generates. The case for the fund is structural, but the case against the fund is also structural: every large institution in modern history that began with good intentions has, over decades, become something its founders would not recognize. Labor unions captured by professional leadership classes that became more conservative than their memberships. Cooperative movements that grew into conventional businesses. Charitable foundations that became wealth-preservation vehicles for the families that founded them. Religious institutions that accumulated power and lost mission. International institutions that became extensions of the most powerful states. Political parties that drifted from their founding purposes within a generation.</w:t>
      </w:r>
    </w:p>
    <w:p w14:paraId="42C7E3E0"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The pattern is so consistent that "institutional decay" is essentially the default outcome for any organization that lasts beyond its founders' active leadership. Good intentions alone do not prevent decay; structural design that anticipates specific failure modes might.</w:t>
      </w:r>
    </w:p>
    <w:p w14:paraId="097DEEE1"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The fund's response to this challenge is operational, not aspirational. The previous articles described what the fund is meant to do; this article describes the specific mechanisms designed to keep it doing those things, particularly in the decades after the founding committee dissolves and the people who designed the fund are no longer around to defend it. The mechanisms address eight distinct failure modes that have captured other institutions in documented ways. Each mechanism is specific. None depend on the fund's leadership being unusually virtuous. All are designed to work even when leadership tries to evade them.</w:t>
      </w:r>
    </w:p>
    <w:p w14:paraId="3F41F3CC"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lastRenderedPageBreak/>
        <w:t>The article also acknowledges, honestly, what these mechanisms cannot do and where any institutional design reaches its limits. A reader who finishes this article should understand both the strength of the fund's structural defenses and the genuine limits of what design alone can accomplish.</w:t>
      </w:r>
    </w:p>
    <w:p w14:paraId="6032AC94"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b/>
          <w:bCs/>
          <w:kern w:val="2"/>
          <w14:ligatures w14:val="standardContextual"/>
        </w:rPr>
        <w:t>The constitutional layer, revisited</w:t>
      </w:r>
    </w:p>
    <w:p w14:paraId="131390F2"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Part 1 of the series established the fund's constitutional protections: equal dividends per shareholder; no region exceeding proportional manufacturing share per capita; the fund never exceeding defined ownership ceilings in any single industry; profit margins capped on essential goods (food, medicine, water, housing); and the AI governance system staying open-source with publicly auditable training data. Earlier articles in Part 2 added the structural commitments to participation banking (no interest-spread extraction), to defense exclusion (no profit from conflict), and to the donation fund's self-extinguishing operation.</w:t>
      </w:r>
    </w:p>
    <w:p w14:paraId="70AC4BF5"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These constitutional protections are entrenched. Changing them requires 75% approval in both the Citizen Chamber and the Country Chamber, plus majority approval in five of the six continental regions. The threshold is intentionally extreme. It is not the threshold for ordinary fund decisions; it is the threshold for changing the fund's fundamental character. A management team that wanted to compromise these protections would have to clear an extraordinarily high bar, and would have to do so publicly through visible chamber processes that members can observe and respond to.</w:t>
      </w:r>
    </w:p>
    <w:p w14:paraId="1CEAF11D"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These protections are necessary but not sufficient. The constitutional layer prevents certain forms of capture by making them structurally impossible to enact. But constitutional protections do not address every form of institutional decay. Operational anti-corruption is its own design problem. The rest of this article addresses the operational mechanisms.</w:t>
      </w:r>
    </w:p>
    <w:p w14:paraId="7C30A9CB"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b/>
          <w:bCs/>
          <w:kern w:val="2"/>
          <w14:ligatures w14:val="standardContextual"/>
        </w:rPr>
        <w:t>Preventing management capture</w:t>
      </w:r>
    </w:p>
    <w:p w14:paraId="71EEBCCA"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The first and most universal pattern of institutional decay is management capture: the people running the institution come to identify with the institution's continued existence and their own positions within it rather than with the institution's stated mission. They optimize for institutional survival, internal politics, and personal advancement. Over time, the institution becomes about itself rather than about what it was meant to do.</w:t>
      </w:r>
    </w:p>
    <w:p w14:paraId="6ECD8EBC"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 xml:space="preserve">This pattern is so common that examples are everywhere. The AFL-CIO's professional leadership class, by the late 20th century, was significantly more conservative on labor matters than the union memberships they nominally represented. Foundation boards across the philanthropic sector have repeatedly transformed from vehicles for their </w:t>
      </w:r>
      <w:r w:rsidRPr="008B7F3A">
        <w:rPr>
          <w:rFonts w:asciiTheme="minorHAnsi" w:eastAsiaTheme="minorHAnsi" w:hAnsiTheme="minorHAnsi" w:cstheme="minorBidi"/>
          <w:kern w:val="2"/>
          <w14:ligatures w14:val="standardContextual"/>
        </w:rPr>
        <w:lastRenderedPageBreak/>
        <w:t>founders' radical purposes into conservative trustees of the founders' fortunes. International institutions like the IMF developed cultures in which staff careers and institutional reputation took precedence over the developmental missions the institutions were created to serve. The pattern is not about specific people being corrupt; it is about how institutional incentives reshape any leadership over time.</w:t>
      </w:r>
    </w:p>
    <w:p w14:paraId="5EE9BE27"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The fund addresses management capture through six specific mechanisms.</w:t>
      </w:r>
    </w:p>
    <w:p w14:paraId="4830C1BF"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b/>
          <w:bCs/>
          <w:kern w:val="2"/>
          <w14:ligatures w14:val="standardContextual"/>
        </w:rPr>
        <w:t>Term limits and mandatory rotation.</w:t>
      </w:r>
      <w:r w:rsidRPr="008B7F3A">
        <w:rPr>
          <w:rFonts w:asciiTheme="minorHAnsi" w:eastAsiaTheme="minorHAnsi" w:hAnsiTheme="minorHAnsi" w:cstheme="minorBidi"/>
          <w:kern w:val="2"/>
          <w14:ligatures w14:val="standardContextual"/>
        </w:rPr>
        <w:t xml:space="preserve"> Every senior operational position in the fund has a defined term limit. The fund's chief executive serves a maximum of five years with no possibility of extension. Regional directors serve maximum four-year terms. Department heads serve maximum five-year terms. Country bank managers serve maximum four-year terms. After serving their maximum term, individuals cannot return to the same position or any equivalent position. They can take different roles within the fund, but the specific authority of their original position rotates to someone else.</w:t>
      </w:r>
    </w:p>
    <w:p w14:paraId="1185A597"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The purpose is not punishment but rotation. Different people bring different perspectives, different networks, different blind spots. An institution that has the same leaders for decades develops the limitations of those particular individuals. An institution with mandatory rotation refreshes itself continuously.</w:t>
      </w:r>
    </w:p>
    <w:p w14:paraId="4F2E463B"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b/>
          <w:bCs/>
          <w:kern w:val="2"/>
          <w14:ligatures w14:val="standardContextual"/>
        </w:rPr>
        <w:t>Performance-based removal procedures.</w:t>
      </w:r>
      <w:r w:rsidRPr="008B7F3A">
        <w:rPr>
          <w:rFonts w:asciiTheme="minorHAnsi" w:eastAsiaTheme="minorHAnsi" w:hAnsiTheme="minorHAnsi" w:cstheme="minorBidi"/>
          <w:kern w:val="2"/>
          <w14:ligatures w14:val="standardContextual"/>
        </w:rPr>
        <w:t xml:space="preserve"> Members can initiate removal of any senior fund official through a defined process. A petition supported by a specified percentage of the relevant constituency (5% of Citizen Chamber members for the chief executive; 10% of regional members for regional directors; lower thresholds for narrower positions) triggers an investigation by the oversight body. The official's performance is reviewed against documented commitments, and the chambers vote on continuation or removal.</w:t>
      </w:r>
    </w:p>
    <w:p w14:paraId="3D491E00"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The procedure exists because the alternative — waiting for term limits to remove inadequate leaders — costs the fund years. An obviously failing chief executive could damage the fund significantly in a single year. The removal procedure provides a mechanism for course correction that does not require waiting for the next election cycle.</w:t>
      </w:r>
    </w:p>
    <w:p w14:paraId="3910B44D"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b/>
          <w:bCs/>
          <w:kern w:val="2"/>
          <w14:ligatures w14:val="standardContextual"/>
        </w:rPr>
        <w:t>Transparent compensation policies.</w:t>
      </w:r>
      <w:r w:rsidRPr="008B7F3A">
        <w:rPr>
          <w:rFonts w:asciiTheme="minorHAnsi" w:eastAsiaTheme="minorHAnsi" w:hAnsiTheme="minorHAnsi" w:cstheme="minorBidi"/>
          <w:kern w:val="2"/>
          <w14:ligatures w14:val="standardContextual"/>
        </w:rPr>
        <w:t xml:space="preserve"> Every senior compensation amount is published annually. Not ranges, not categories — the specific amounts. The chief executive's salary, bonus, benefits, expenses, and any other form of compensation are public. The same is true for executives, country directors, regional directors, and all board members. The total compensation package is disclosed in full.</w:t>
      </w:r>
    </w:p>
    <w:p w14:paraId="50E1C0B1"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 xml:space="preserve">This transparency commitment is rare even among institutions that are otherwise transparent. Most large institutions disclose compensation in categories or ranges or only for the very top positions. The fund publishes specific numbers for all senior positions </w:t>
      </w:r>
      <w:r w:rsidRPr="008B7F3A">
        <w:rPr>
          <w:rFonts w:asciiTheme="minorHAnsi" w:eastAsiaTheme="minorHAnsi" w:hAnsiTheme="minorHAnsi" w:cstheme="minorBidi"/>
          <w:kern w:val="2"/>
          <w14:ligatures w14:val="standardContextual"/>
        </w:rPr>
        <w:lastRenderedPageBreak/>
        <w:t>because the fund's members are paying these salaries from their contributions and dividends, and they have a right to know exactly how their money is being used. The disclosure also creates accountability: a compensation level that the chambers find inappropriate generates immediate visible pressure.</w:t>
      </w:r>
    </w:p>
    <w:p w14:paraId="7FAA3484"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b/>
          <w:bCs/>
          <w:kern w:val="2"/>
          <w14:ligatures w14:val="standardContextual"/>
        </w:rPr>
        <w:t>Conflicts of interest enforcement.</w:t>
      </w:r>
      <w:r w:rsidRPr="008B7F3A">
        <w:rPr>
          <w:rFonts w:asciiTheme="minorHAnsi" w:eastAsiaTheme="minorHAnsi" w:hAnsiTheme="minorHAnsi" w:cstheme="minorBidi"/>
          <w:kern w:val="2"/>
          <w14:ligatures w14:val="standardContextual"/>
        </w:rPr>
        <w:t xml:space="preserve"> Senior fund officials cannot hold any other paid position during their service. They cannot accept gifts, hospitality, or other compensation from any party with potential interest in fund decisions. They cannot trade in securities of companies the fund might acquire or have business with. Their financial disclosures are continuous and public throughout their service and for five years after. Violations result in immediate removal, forfeiture of compensation, and lifetime ban from any fund role.</w:t>
      </w:r>
    </w:p>
    <w:p w14:paraId="3FADB393"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The enforcement is structural rather than aspirational. The compliance system monitors covered transactions automatically. Disclosures are reviewed by independent auditors. Violations are reported to the oversight body and the chambers within defined timeframes.</w:t>
      </w:r>
    </w:p>
    <w:p w14:paraId="05CEDF67"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b/>
          <w:bCs/>
          <w:kern w:val="2"/>
          <w14:ligatures w14:val="standardContextual"/>
        </w:rPr>
        <w:t>Restrictions on post-fund employment.</w:t>
      </w:r>
      <w:r w:rsidRPr="008B7F3A">
        <w:rPr>
          <w:rFonts w:asciiTheme="minorHAnsi" w:eastAsiaTheme="minorHAnsi" w:hAnsiTheme="minorHAnsi" w:cstheme="minorBidi"/>
          <w:kern w:val="2"/>
          <w14:ligatures w14:val="standardContextual"/>
        </w:rPr>
        <w:t xml:space="preserve"> For five years after leaving fund service, former senior officials cannot work for any company the fund acquired during their tenure, any major competitor of fund-owned companies, or any organization with material business relationships with the fund. The restriction is enforceable through contract and through the conflicts of interest provisions in the fund's constitution.</w:t>
      </w:r>
    </w:p>
    <w:p w14:paraId="6C5D3374"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This restriction prevents the "revolving door" pattern that captures regulatory institutions: officials make favorable decisions for companies that subsequently employ them at lucrative compensation. The fund cannot prevent former officials from earning a living after their service, but it can prevent them from monetizing decisions they made during their service.</w:t>
      </w:r>
    </w:p>
    <w:p w14:paraId="4E8BDC74"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b/>
          <w:bCs/>
          <w:kern w:val="2"/>
          <w14:ligatures w14:val="standardContextual"/>
        </w:rPr>
        <w:t>Operational separation between fund management and fund-aligned organizations.</w:t>
      </w:r>
      <w:r w:rsidRPr="008B7F3A">
        <w:rPr>
          <w:rFonts w:asciiTheme="minorHAnsi" w:eastAsiaTheme="minorHAnsi" w:hAnsiTheme="minorHAnsi" w:cstheme="minorBidi"/>
          <w:kern w:val="2"/>
          <w14:ligatures w14:val="standardContextual"/>
        </w:rPr>
        <w:t xml:space="preserve"> Fund leadership cannot serve on boards or in executive roles at fund-aligned local businesses, fund-owned suppliers, or fund-affiliated civil society organizations. The relationships between fund management and other fund-related entities are arm's-length contractual, not personal. This prevents the gradual emergence of an informal network of fund leadership that operates outside the formal accountability structures.</w:t>
      </w:r>
    </w:p>
    <w:p w14:paraId="66953CF5"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b/>
          <w:bCs/>
          <w:kern w:val="2"/>
          <w14:ligatures w14:val="standardContextual"/>
        </w:rPr>
        <w:t>Preventing resource capture</w:t>
      </w:r>
    </w:p>
    <w:p w14:paraId="065075A6"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The second pattern of institutional decay is resource capture: a specific subset of members, donors, or beneficiaries gains disproportionate influence over the institution's resources. The institution begins to serve those parties at the expense of its broader mission.</w:t>
      </w:r>
    </w:p>
    <w:p w14:paraId="57BE1155"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lastRenderedPageBreak/>
        <w:t>This pattern is most visible in foundations that drift toward serving the interests of their largest donors, in cooperative banks that gradually favor their largest depositors, and in unions that allocate resources toward already-organized industries while neglecting unorganized workers. The pattern can happen openly (large donors get policy access) or invisibly (specific operational decisions consistently favor specific beneficiaries).</w:t>
      </w:r>
    </w:p>
    <w:p w14:paraId="31ABD447"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The fund addresses resource capture through four specific mechanisms.</w:t>
      </w:r>
    </w:p>
    <w:p w14:paraId="27FB7EF0"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b/>
          <w:bCs/>
          <w:kern w:val="2"/>
          <w14:ligatures w14:val="standardContextual"/>
        </w:rPr>
        <w:t>Constitutional equality of dividends.</w:t>
      </w:r>
      <w:r w:rsidRPr="008B7F3A">
        <w:rPr>
          <w:rFonts w:asciiTheme="minorHAnsi" w:eastAsiaTheme="minorHAnsi" w:hAnsiTheme="minorHAnsi" w:cstheme="minorBidi"/>
          <w:kern w:val="2"/>
          <w14:ligatures w14:val="standardContextual"/>
        </w:rPr>
        <w:t xml:space="preserve"> Every member receives the same dividend regardless of contribution amount, regardless of country of residence, regardless of any other factor. This is the foundational equality principle. It is also the foundational protection against resource capture: no one can gain disproportionate dividends by contributing more, no group can negotiate enhanced terms, no individual can build a special relationship with fund leadership that translates into financial advantage.</w:t>
      </w:r>
    </w:p>
    <w:p w14:paraId="76417A2D"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The constitutional protection is absolute. There are no exceptions and no carve-outs. A wealthy donor's $360,000 contribution generates the same dividend as a low-income member's contribution covered by the donation fund. The equality is not aspirational; it is structural.</w:t>
      </w:r>
    </w:p>
    <w:p w14:paraId="48F90B01"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b/>
          <w:bCs/>
          <w:kern w:val="2"/>
          <w14:ligatures w14:val="standardContextual"/>
        </w:rPr>
        <w:t>Prohibition on differentiated services for larger contributors.</w:t>
      </w:r>
      <w:r w:rsidRPr="008B7F3A">
        <w:rPr>
          <w:rFonts w:asciiTheme="minorHAnsi" w:eastAsiaTheme="minorHAnsi" w:hAnsiTheme="minorHAnsi" w:cstheme="minorBidi"/>
          <w:kern w:val="2"/>
          <w14:ligatures w14:val="standardContextual"/>
        </w:rPr>
        <w:t xml:space="preserve"> No fund-related service can be enhanced or accelerated based on contribution level, donation amount, or any other measure of financial relationship with the fund. A member who contributed once last year and a member who has contributed every month for thirty years receive identical service quality, identical access to information, identical priority in dispute resolution, identical everything. The fund is structurally a one-class institution.</w:t>
      </w:r>
    </w:p>
    <w:p w14:paraId="15280C8B"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This is harder than it sounds. Most large institutions develop tiered service inadvertently — the largest donors get returned calls faster, get more attention to their concerns, get more access to leadership. The fund's design prohibits this and monitors for its emergence. Service-level metrics are tracked and disclosed. Any pattern suggesting differential treatment of larger contributors triggers review.</w:t>
      </w:r>
    </w:p>
    <w:p w14:paraId="3C75E88B"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b/>
          <w:bCs/>
          <w:kern w:val="2"/>
          <w14:ligatures w14:val="standardContextual"/>
        </w:rPr>
        <w:t>Public disclosure of all interactions between fund operations and external parties.</w:t>
      </w:r>
      <w:r w:rsidRPr="008B7F3A">
        <w:rPr>
          <w:rFonts w:asciiTheme="minorHAnsi" w:eastAsiaTheme="minorHAnsi" w:hAnsiTheme="minorHAnsi" w:cstheme="minorBidi"/>
          <w:kern w:val="2"/>
          <w14:ligatures w14:val="standardContextual"/>
        </w:rPr>
        <w:t xml:space="preserve"> Every meeting between fund leadership and any external party (governments, companies, civil society organizations, individual lobbyists) is logged with date, participants, and subject matter. The log is published quarterly. The detail is sufficient to identify any pattern of disproportionate access without disclosing confidential operational information.</w:t>
      </w:r>
    </w:p>
    <w:p w14:paraId="1266F13E"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 xml:space="preserve">This disclosure makes invisible influence visible. A company that spends substantial time meeting with fund leadership appears in the disclosure record. A government that has </w:t>
      </w:r>
      <w:r w:rsidRPr="008B7F3A">
        <w:rPr>
          <w:rFonts w:asciiTheme="minorHAnsi" w:eastAsiaTheme="minorHAnsi" w:hAnsiTheme="minorHAnsi" w:cstheme="minorBidi"/>
          <w:kern w:val="2"/>
          <w14:ligatures w14:val="standardContextual"/>
        </w:rPr>
        <w:lastRenderedPageBreak/>
        <w:t>unusual access appears. The pattern of who gets access to fund decision-makers becomes auditable by anyone who looks at the records.</w:t>
      </w:r>
    </w:p>
    <w:p w14:paraId="12419BB6"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b/>
          <w:bCs/>
          <w:kern w:val="2"/>
          <w14:ligatures w14:val="standardContextual"/>
        </w:rPr>
        <w:t>Structural separation between fund leadership and fund-aligned organizations.</w:t>
      </w:r>
      <w:r w:rsidRPr="008B7F3A">
        <w:rPr>
          <w:rFonts w:asciiTheme="minorHAnsi" w:eastAsiaTheme="minorHAnsi" w:hAnsiTheme="minorHAnsi" w:cstheme="minorBidi"/>
          <w:kern w:val="2"/>
          <w14:ligatures w14:val="standardContextual"/>
        </w:rPr>
        <w:t xml:space="preserve"> Mentioned above for management capture; relevant here too. Fund leaders cannot have personal financial interests in organizations the fund does business with, cannot accept favors from external parties, cannot maintain personal relationships that create even the appearance of influence. The separation is enforced through the conflicts of interest provisions and through the continuous public disclosure regime.</w:t>
      </w:r>
    </w:p>
    <w:p w14:paraId="79FF53D4"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b/>
          <w:bCs/>
          <w:kern w:val="2"/>
          <w14:ligatures w14:val="standardContextual"/>
        </w:rPr>
        <w:t>Preventing mission drift</w:t>
      </w:r>
    </w:p>
    <w:p w14:paraId="533FED7E"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The third pattern of institutional decay is mission drift: the institution's stated mission stays formally unchanged but its operational priorities gradually shift. The institution does more of what's easy or profitable and less of what's hard or unprofitable. Over decades, the institution may end up doing the opposite of its founding purpose while still maintaining the original mission statement.</w:t>
      </w:r>
    </w:p>
    <w:p w14:paraId="5686CFD1"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The Ford Foundation provides a documented example. Founded in 1936 with substantial funding from the Ford family fortune, the foundation in its early decades pursued genuinely progressive missions: supporting civil rights movements, funding international development, backing controversial social science research. Over the second half of the twentieth century, the foundation's operational priorities gradually shifted toward more conventional philanthropy: less controversial grants, more institutional partnerships, less direct support for social movements. The foundation's mission statement evolved but the underlying drift began decades earlier and was visible in operational decisions long before any formal mission change. By the early twenty-first century, the foundation had become substantially more conservative in its grant-making than its founders envisioned, while still maintaining a formal commitment to social progress.</w:t>
      </w:r>
    </w:p>
    <w:p w14:paraId="0CDF64FD"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The fund addresses mission drift through five specific mechanisms.</w:t>
      </w:r>
    </w:p>
    <w:p w14:paraId="7131EC23"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b/>
          <w:bCs/>
          <w:kern w:val="2"/>
          <w14:ligatures w14:val="standardContextual"/>
        </w:rPr>
        <w:t>Explicit operational metrics tied to mission delivery.</w:t>
      </w:r>
      <w:r w:rsidRPr="008B7F3A">
        <w:rPr>
          <w:rFonts w:asciiTheme="minorHAnsi" w:eastAsiaTheme="minorHAnsi" w:hAnsiTheme="minorHAnsi" w:cstheme="minorBidi"/>
          <w:kern w:val="2"/>
          <w14:ligatures w14:val="standardContextual"/>
        </w:rPr>
        <w:t xml:space="preserve"> The fund tracks specific quantitative measures of mission performance: dividends per member by country and globally; manufacturing employment formalized by region; essential goods prices in fund-served markets; workers covered by fund-improved labor standards; healthcare costs in fund-served markets; concentration of corporate ownership in industries where the fund operates. These metrics are published quarterly. Trends are tracked over time.</w:t>
      </w:r>
    </w:p>
    <w:p w14:paraId="233CFDB1"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 xml:space="preserve">If the trends move in directions inconsistent with mission delivery — if dividends stagnate while compensation grows, if essential goods prices stay high in fund-served markets, if </w:t>
      </w:r>
      <w:r w:rsidRPr="008B7F3A">
        <w:rPr>
          <w:rFonts w:asciiTheme="minorHAnsi" w:eastAsiaTheme="minorHAnsi" w:hAnsiTheme="minorHAnsi" w:cstheme="minorBidi"/>
          <w:kern w:val="2"/>
          <w14:ligatures w14:val="standardContextual"/>
        </w:rPr>
        <w:lastRenderedPageBreak/>
        <w:t>manufacturing employment redistribution slows — members can see it. The metrics make drift visible.</w:t>
      </w:r>
    </w:p>
    <w:p w14:paraId="75DD3641"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b/>
          <w:bCs/>
          <w:kern w:val="2"/>
          <w14:ligatures w14:val="standardContextual"/>
        </w:rPr>
        <w:t>Regular member review of strategic direction.</w:t>
      </w:r>
      <w:r w:rsidRPr="008B7F3A">
        <w:rPr>
          <w:rFonts w:asciiTheme="minorHAnsi" w:eastAsiaTheme="minorHAnsi" w:hAnsiTheme="minorHAnsi" w:cstheme="minorBidi"/>
          <w:kern w:val="2"/>
          <w14:ligatures w14:val="standardContextual"/>
        </w:rPr>
        <w:t xml:space="preserve"> Every five years, the chambers conduct a strategic review of the fund's operational priorities. The review examines whether the fund's actual operations align with its stated mission. The review process includes member commentary, AI-assisted analysis of operational data, comparison against initial commitments, and explicit chamber votes on continued direction.</w:t>
      </w:r>
    </w:p>
    <w:p w14:paraId="42775C57"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The five-year cycle is structural; it cannot be skipped or postponed. A management team that wanted to drift away from mission would have to do so visibly across multiple review cycles, with each cycle providing an opportunity for member correction.</w:t>
      </w:r>
    </w:p>
    <w:p w14:paraId="781E51B0"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b/>
          <w:bCs/>
          <w:kern w:val="2"/>
          <w14:ligatures w14:val="standardContextual"/>
        </w:rPr>
        <w:t>Constitutional protections against expansion into excluded categories.</w:t>
      </w:r>
      <w:r w:rsidRPr="008B7F3A">
        <w:rPr>
          <w:rFonts w:asciiTheme="minorHAnsi" w:eastAsiaTheme="minorHAnsi" w:hAnsiTheme="minorHAnsi" w:cstheme="minorBidi"/>
          <w:kern w:val="2"/>
          <w14:ligatures w14:val="standardContextual"/>
        </w:rPr>
        <w:t xml:space="preserve"> The fund's constitution explicitly prohibits expansion into defense and weapons manufacturing, into speculative finance, into the stock exchange itself, into raw material extraction. These exclusions are entrenched at the constitutional level. A management team that wanted to expand into these categories would face the 75% threshold for constitutional change, which requires extraordinary majorities in both chambers across most regions.</w:t>
      </w:r>
    </w:p>
    <w:p w14:paraId="3E30D635"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This is a strong protection. The most likely form of mission drift for a fund of this scale would be expansion into adjacent industries that are profitable but inconsistent with mission. The constitutional exclusions prevent the most dangerous of these drifts even if management and a majority of members at some future moment would prefer them.</w:t>
      </w:r>
    </w:p>
    <w:p w14:paraId="72968019"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b/>
          <w:bCs/>
          <w:kern w:val="2"/>
          <w14:ligatures w14:val="standardContextual"/>
        </w:rPr>
        <w:t>Mandatory review periods for any changes to core operational approach.</w:t>
      </w:r>
      <w:r w:rsidRPr="008B7F3A">
        <w:rPr>
          <w:rFonts w:asciiTheme="minorHAnsi" w:eastAsiaTheme="minorHAnsi" w:hAnsiTheme="minorHAnsi" w:cstheme="minorBidi"/>
          <w:kern w:val="2"/>
          <w14:ligatures w14:val="standardContextual"/>
        </w:rPr>
        <w:t xml:space="preserve"> Major changes to fund operations — new industries entered, new countries added, significant changes to compensation policies, modifications to the margin trajectory — require formal chamber approval through a defined process that includes mandatory waiting periods for member consideration. Quick changes are structurally impossible. The fund moves deliberately, with member input at each stage.</w:t>
      </w:r>
    </w:p>
    <w:p w14:paraId="12BD3EEA"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b/>
          <w:bCs/>
          <w:kern w:val="2"/>
          <w14:ligatures w14:val="standardContextual"/>
        </w:rPr>
        <w:t>Continuous reporting on what the fund actually does versus what it says it does.</w:t>
      </w:r>
      <w:r w:rsidRPr="008B7F3A">
        <w:rPr>
          <w:rFonts w:asciiTheme="minorHAnsi" w:eastAsiaTheme="minorHAnsi" w:hAnsiTheme="minorHAnsi" w:cstheme="minorBidi"/>
          <w:kern w:val="2"/>
          <w14:ligatures w14:val="standardContextual"/>
        </w:rPr>
        <w:t xml:space="preserve"> The fund publishes annual mission alignment reports that examine specific operational decisions against the fund's stated commitments. The reports are produced by an internal review function and audited externally. They include explicit acknowledgment of any operational decisions that may have moved away from mission, with explanation of why and how the chambers have responded.</w:t>
      </w:r>
    </w:p>
    <w:p w14:paraId="012345D8"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b/>
          <w:bCs/>
          <w:kern w:val="2"/>
          <w14:ligatures w14:val="standardContextual"/>
        </w:rPr>
        <w:t>Preventing verification failure</w:t>
      </w:r>
    </w:p>
    <w:p w14:paraId="413B10BD"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lastRenderedPageBreak/>
        <w:t>The fourth pattern of institutional decay is verification failure: the institution's accountability mechanisms become procedural rather than substantive. Audits are technically independent but practically captured. Disclosures are technically complete but practically opaque. Members technically have rights but practically have no effective way to exercise them.</w:t>
      </w:r>
    </w:p>
    <w:p w14:paraId="11FDEF04"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The IMF provides a documented example. The institution's accountability mechanisms — board oversight by member countries, independent evaluation office, regular country reviews — have operated technically throughout the institution's history. But the structural relationships between the IMF and its member governments, and between the IMF and the global financial system, have meant that the formal accountability has rarely produced substantive correction of the institution's most contested actions. Structural adjustment programs in the 1980s and 1990s, criticized by economists and developing-country governments alike for years, continued largely unchanged because the formal accountability mechanisms could not effectively challenge the operational consensus of the institution's professional staff and most influential member governments.</w:t>
      </w:r>
    </w:p>
    <w:p w14:paraId="55C72EEA"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The fund addresses verification failure through six specific mechanisms.</w:t>
      </w:r>
    </w:p>
    <w:p w14:paraId="555FA544"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b/>
          <w:bCs/>
          <w:kern w:val="2"/>
          <w14:ligatures w14:val="standardContextual"/>
        </w:rPr>
        <w:t>Auditor rotation and independence.</w:t>
      </w:r>
      <w:r w:rsidRPr="008B7F3A">
        <w:rPr>
          <w:rFonts w:asciiTheme="minorHAnsi" w:eastAsiaTheme="minorHAnsi" w:hAnsiTheme="minorHAnsi" w:cstheme="minorBidi"/>
          <w:kern w:val="2"/>
          <w14:ligatures w14:val="standardContextual"/>
        </w:rPr>
        <w:t xml:space="preserve"> The fund's external auditor changes every five years. No auditor can serve more than ten consecutive years (two terms maximum). The selection of auditors is conducted by the chambers, not by management. Auditor compensation is set at market rates and disclosed publicly. Auditors who provide audit services cannot simultaneously provide consulting services to the fund.</w:t>
      </w:r>
    </w:p>
    <w:p w14:paraId="51540EDF"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These protections are stronger than what most large institutions require. They make the kind of long-term audit-firm relationships that have captured private-sector auditing harder to develop within the fund's audit relationships.</w:t>
      </w:r>
    </w:p>
    <w:p w14:paraId="20CB73CE"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b/>
          <w:bCs/>
          <w:kern w:val="2"/>
          <w14:ligatures w14:val="standardContextual"/>
        </w:rPr>
        <w:t>Multiple parallel audit streams.</w:t>
      </w:r>
      <w:r w:rsidRPr="008B7F3A">
        <w:rPr>
          <w:rFonts w:asciiTheme="minorHAnsi" w:eastAsiaTheme="minorHAnsi" w:hAnsiTheme="minorHAnsi" w:cstheme="minorBidi"/>
          <w:kern w:val="2"/>
          <w14:ligatures w14:val="standardContextual"/>
        </w:rPr>
        <w:t xml:space="preserve"> The fund is audited by more than one independent organization simultaneously. A primary financial auditor handles standard financial review. A secondary operational auditor handles operational compliance review. A specialized AI ethics auditor reviews the open-source AI systems for bias, accuracy, and alignment with the fund's principles. Each auditor produces its own report. Discrepancies between audit reports trigger investigation.</w:t>
      </w:r>
    </w:p>
    <w:p w14:paraId="382663CD"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The parallel structure makes coordinated capture of the audit function difficult. Capturing one auditor gains a captor partial influence; capturing all three would require coordinated capture across multiple organizations with different specializations.</w:t>
      </w:r>
    </w:p>
    <w:p w14:paraId="33CF91A1"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b/>
          <w:bCs/>
          <w:kern w:val="2"/>
          <w14:ligatures w14:val="standardContextual"/>
        </w:rPr>
        <w:t>Member access to raw data.</w:t>
      </w:r>
      <w:r w:rsidRPr="008B7F3A">
        <w:rPr>
          <w:rFonts w:asciiTheme="minorHAnsi" w:eastAsiaTheme="minorHAnsi" w:hAnsiTheme="minorHAnsi" w:cstheme="minorBidi"/>
          <w:kern w:val="2"/>
          <w14:ligatures w14:val="standardContextual"/>
        </w:rPr>
        <w:t xml:space="preserve"> Members can access raw financial data, operational data, and decision records through the fund's transparency portal. The data is not pre-digested </w:t>
      </w:r>
      <w:r w:rsidRPr="008B7F3A">
        <w:rPr>
          <w:rFonts w:asciiTheme="minorHAnsi" w:eastAsiaTheme="minorHAnsi" w:hAnsiTheme="minorHAnsi" w:cstheme="minorBidi"/>
          <w:kern w:val="2"/>
          <w14:ligatures w14:val="standardContextual"/>
        </w:rPr>
        <w:lastRenderedPageBreak/>
        <w:t>into management narratives; it is the underlying data members can analyze themselves or with the AI engagement system. This means members are not dependent on management's framing of the fund's performance; they can examine the data directly.</w:t>
      </w:r>
    </w:p>
    <w:p w14:paraId="3D12A561"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The data is structured for accessibility. Members can ask the AI to identify patterns, to compare current performance against historical performance, to flag any unusual movements that deserve scrutiny. The AI's analyses are also auditable; its source data and reasoning are available.</w:t>
      </w:r>
    </w:p>
    <w:p w14:paraId="0F5F568E"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b/>
          <w:bCs/>
          <w:kern w:val="2"/>
          <w14:ligatures w14:val="standardContextual"/>
        </w:rPr>
        <w:t>AI-assisted independent analysis.</w:t>
      </w:r>
      <w:r w:rsidRPr="008B7F3A">
        <w:rPr>
          <w:rFonts w:asciiTheme="minorHAnsi" w:eastAsiaTheme="minorHAnsi" w:hAnsiTheme="minorHAnsi" w:cstheme="minorBidi"/>
          <w:kern w:val="2"/>
          <w14:ligatures w14:val="standardContextual"/>
        </w:rPr>
        <w:t xml:space="preserve"> The fund's AI systems include explicit support for member-initiated independent analysis. A member who suspects something is wrong can ask the AI to investigate. The AI applies the same data the fund's official auditors use and produces an analysis that the member can act on. Multiple members initiating multiple investigations produces multiple independent analyses, each auditable.</w:t>
      </w:r>
    </w:p>
    <w:p w14:paraId="578830AB"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This shifts oversight from being a top-down function (auditors review management) to also being a distributed function (members audit themselves with AI assistance). The shift is partial, not complete — there are limits to what distributed analysis can detect — but it adds a verification layer that conventional institutions lack.</w:t>
      </w:r>
    </w:p>
    <w:p w14:paraId="1EBFFAF9"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b/>
          <w:bCs/>
          <w:kern w:val="2"/>
          <w14:ligatures w14:val="standardContextual"/>
        </w:rPr>
        <w:t>Whistleblower protections.</w:t>
      </w:r>
      <w:r w:rsidRPr="008B7F3A">
        <w:rPr>
          <w:rFonts w:asciiTheme="minorHAnsi" w:eastAsiaTheme="minorHAnsi" w:hAnsiTheme="minorHAnsi" w:cstheme="minorBidi"/>
          <w:kern w:val="2"/>
          <w14:ligatures w14:val="standardContextual"/>
        </w:rPr>
        <w:t xml:space="preserve"> Fund employees, contractors, and members who report suspected violations of fund policies or principles are protected by structural mechanisms. Reports are reviewed by the oversight body, not by management. Retaliation against whistleblowers is grounds for immediate removal from fund service and lifetime ban. The protections are written into employment contracts and enforceable through ordinary courts.</w:t>
      </w:r>
    </w:p>
    <w:p w14:paraId="460BD6AF"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b/>
          <w:bCs/>
          <w:kern w:val="2"/>
          <w14:ligatures w14:val="standardContextual"/>
        </w:rPr>
        <w:t>Structural prohibition on auditor post-engagement employment.</w:t>
      </w:r>
      <w:r w:rsidRPr="008B7F3A">
        <w:rPr>
          <w:rFonts w:asciiTheme="minorHAnsi" w:eastAsiaTheme="minorHAnsi" w:hAnsiTheme="minorHAnsi" w:cstheme="minorBidi"/>
          <w:kern w:val="2"/>
          <w14:ligatures w14:val="standardContextual"/>
        </w:rPr>
        <w:t xml:space="preserve"> Auditors who work on fund audits cannot subsequently work for the fund in any capacity for at least seven years after their engagement ends. The prohibition prevents auditors from providing favorable opinions in exchange for future employment with the audited entity — a pattern that has captured large parts of the private sector's audit function.</w:t>
      </w:r>
    </w:p>
    <w:p w14:paraId="4F37C234"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b/>
          <w:bCs/>
          <w:kern w:val="2"/>
          <w14:ligatures w14:val="standardContextual"/>
        </w:rPr>
        <w:t>Preventing talent corruption</w:t>
      </w:r>
    </w:p>
    <w:p w14:paraId="29221B6F"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The fifth pattern of institutional decay is talent corruption: the people the institution needs to attract — operational executives, technical specialists, leaders — are drawn from a global market where similar roles in private institutions pay substantially more. Over time, the institution either fails to attract good talent or compromises its principles to do so. The compromises accumulate.</w:t>
      </w:r>
    </w:p>
    <w:p w14:paraId="1C83434C"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lastRenderedPageBreak/>
        <w:t>Cooperative banks across Europe have experienced this pattern. The largest cooperative banks have, over decades, become structurally similar to commercial banks in their treatment of senior management — comparable compensation packages, comparable executive cultures, comparable distance from their cooperative members. The cooperative form remained formally intact, but the operational culture became closer to conventional banking than to the cooperative ideal.</w:t>
      </w:r>
    </w:p>
    <w:p w14:paraId="72B98982"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The fund addresses talent corruption through five specific mechanisms.</w:t>
      </w:r>
    </w:p>
    <w:p w14:paraId="52DD2454"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b/>
          <w:bCs/>
          <w:kern w:val="2"/>
          <w14:ligatures w14:val="standardContextual"/>
        </w:rPr>
        <w:t>Market-competitive compensation, explicitly structured to avoid extraction-incentivizing components.</w:t>
      </w:r>
      <w:r w:rsidRPr="008B7F3A">
        <w:rPr>
          <w:rFonts w:asciiTheme="minorHAnsi" w:eastAsiaTheme="minorHAnsi" w:hAnsiTheme="minorHAnsi" w:cstheme="minorBidi"/>
          <w:kern w:val="2"/>
          <w14:ligatures w14:val="standardContextual"/>
        </w:rPr>
        <w:t xml:space="preserve"> The fund pays market-competitive cash salaries for senior positions. Senior executives earn what they would earn at comparable institutions, with the specific amounts disclosed publicly. What the fund does not do is offer extraction-aligned compensation structures: large stock option grants tied to short-term performance, bonuses tied to deal volume rather than outcome quality, severance packages that incentivize departure rather than retention. The compensation is competitive on cash but does not include the perverse-incentive components that have captured private-sector executive culture.</w:t>
      </w:r>
    </w:p>
    <w:p w14:paraId="08C79E22"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b/>
          <w:bCs/>
          <w:kern w:val="2"/>
          <w14:ligatures w14:val="standardContextual"/>
        </w:rPr>
        <w:t>Royalty-based compensation that ties rewards to long-term value creation.</w:t>
      </w:r>
      <w:r w:rsidRPr="008B7F3A">
        <w:rPr>
          <w:rFonts w:asciiTheme="minorHAnsi" w:eastAsiaTheme="minorHAnsi" w:hAnsiTheme="minorHAnsi" w:cstheme="minorBidi"/>
          <w:kern w:val="2"/>
          <w14:ligatures w14:val="standardContextual"/>
        </w:rPr>
        <w:t xml:space="preserve"> As described in earlier articles, the fund's compensation system includes royalty pathways for people who create durable value — scientists who develop drugs, designers who create successful products, software architects who build major systems. The royalties continue as long as the value continues, which aligns the compensation with long-term outcomes rather than short-term wins. Senior executives can participate in royalty arrangements for value they directly create, but the royalties cannot be detached from the value they were designed to compensate.</w:t>
      </w:r>
    </w:p>
    <w:p w14:paraId="6D0A3C3D"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b/>
          <w:bCs/>
          <w:kern w:val="2"/>
          <w14:ligatures w14:val="standardContextual"/>
        </w:rPr>
        <w:t>Restrictions on outside positions.</w:t>
      </w:r>
      <w:r w:rsidRPr="008B7F3A">
        <w:rPr>
          <w:rFonts w:asciiTheme="minorHAnsi" w:eastAsiaTheme="minorHAnsi" w:hAnsiTheme="minorHAnsi" w:cstheme="minorBidi"/>
          <w:kern w:val="2"/>
          <w14:ligatures w14:val="standardContextual"/>
        </w:rPr>
        <w:t xml:space="preserve"> Senior fund officials cannot hold other paid positions during their service. They cannot serve on outside boards. They cannot run private businesses. Their professional attention is fully dedicated to the fund during their service. This is more restrictive than what most large institutions require of their executives, and it costs the fund some talent that would prefer the freedom to maintain outside positions. The fund accepts this cost in exchange for ensuring that senior officials' professional incentives are fully aligned with the fund's success.</w:t>
      </w:r>
    </w:p>
    <w:p w14:paraId="3CB5F1B6"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b/>
          <w:bCs/>
          <w:kern w:val="2"/>
          <w14:ligatures w14:val="standardContextual"/>
        </w:rPr>
        <w:t>Transparent compensation disclosure for all senior positions.</w:t>
      </w:r>
      <w:r w:rsidRPr="008B7F3A">
        <w:rPr>
          <w:rFonts w:asciiTheme="minorHAnsi" w:eastAsiaTheme="minorHAnsi" w:hAnsiTheme="minorHAnsi" w:cstheme="minorBidi"/>
          <w:kern w:val="2"/>
          <w14:ligatures w14:val="standardContextual"/>
        </w:rPr>
        <w:t xml:space="preserve"> Discussed extensively above. The disclosure includes total compensation, the structure of compensation, any equity-like instruments, any non-cash benefits, and any compensation paid to immediate </w:t>
      </w:r>
      <w:r w:rsidRPr="008B7F3A">
        <w:rPr>
          <w:rFonts w:asciiTheme="minorHAnsi" w:eastAsiaTheme="minorHAnsi" w:hAnsiTheme="minorHAnsi" w:cstheme="minorBidi"/>
          <w:kern w:val="2"/>
          <w14:ligatures w14:val="standardContextual"/>
        </w:rPr>
        <w:lastRenderedPageBreak/>
        <w:t>family members through fund-related entities. The transparency commitment is structural and irrevocable.</w:t>
      </w:r>
    </w:p>
    <w:p w14:paraId="2B06AF35"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b/>
          <w:bCs/>
          <w:kern w:val="2"/>
          <w14:ligatures w14:val="standardContextual"/>
        </w:rPr>
        <w:t>Cultural framing that values mission alignment as compensation.</w:t>
      </w:r>
      <w:r w:rsidRPr="008B7F3A">
        <w:rPr>
          <w:rFonts w:asciiTheme="minorHAnsi" w:eastAsiaTheme="minorHAnsi" w:hAnsiTheme="minorHAnsi" w:cstheme="minorBidi"/>
          <w:kern w:val="2"/>
          <w14:ligatures w14:val="standardContextual"/>
        </w:rPr>
        <w:t xml:space="preserve"> Beyond the formal compensation structures, the fund explicitly frames senior service as combining material compensation with mission-aligned work. This framing matters for talent recruitment: people who care about mission as well as compensation find the fund more attractive than purely compensation-driven alternatives. The fund does not assume this is everyone — some talent will prefer purely compensation-driven employment elsewhere — but it does shape who applies for senior positions and what they expect from the role.</w:t>
      </w:r>
    </w:p>
    <w:p w14:paraId="3A7C40CC"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b/>
          <w:bCs/>
          <w:kern w:val="2"/>
          <w14:ligatures w14:val="standardContextual"/>
        </w:rPr>
        <w:t>Preventing institutional inertia</w:t>
      </w:r>
    </w:p>
    <w:p w14:paraId="4BCEA2F5"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The sixth pattern of institutional decay is institutional inertia: the institution becomes good at doing what it has always done and progressively worse at adapting to changing conditions. New competitors emerge that the institution cannot match. New technologies disrupt the institution's operational model. New social conditions make the institution's approach less relevant. The institution fails not through corruption but through inability to change.</w:t>
      </w:r>
    </w:p>
    <w:p w14:paraId="514E6A78"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Religious institutions provide examples. Many religious denominations have struggled to adapt to changes in their social context — declining attendance, generational shifts in belief, technological changes in how religious community is formed — while maintaining operational models developed in earlier eras. The institutions remain technically functional but progressively less relevant to the contexts they were meant to serve.</w:t>
      </w:r>
    </w:p>
    <w:p w14:paraId="485752C9"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The fund addresses institutional inertia through four specific mechanisms.</w:t>
      </w:r>
    </w:p>
    <w:p w14:paraId="590FD703"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b/>
          <w:bCs/>
          <w:kern w:val="2"/>
          <w14:ligatures w14:val="standardContextual"/>
        </w:rPr>
        <w:t>Mandatory innovation budgets.</w:t>
      </w:r>
      <w:r w:rsidRPr="008B7F3A">
        <w:rPr>
          <w:rFonts w:asciiTheme="minorHAnsi" w:eastAsiaTheme="minorHAnsi" w:hAnsiTheme="minorHAnsi" w:cstheme="minorBidi"/>
          <w:kern w:val="2"/>
          <w14:ligatures w14:val="standardContextual"/>
        </w:rPr>
        <w:t xml:space="preserve"> A defined percentage of fund operating budget is reserved for innovation activities: new technology development, new operational model experiments, new market entries. The percentage is constitutional. Management cannot reduce it; capacity for innovation is preserved structurally. The activities funded with the innovation budget are reviewed by the chambers for alignment with fund mission, but the budget itself cannot be eliminated.</w:t>
      </w:r>
    </w:p>
    <w:p w14:paraId="4FB880CE"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b/>
          <w:bCs/>
          <w:kern w:val="2"/>
          <w14:ligatures w14:val="standardContextual"/>
        </w:rPr>
        <w:t>Scheduled review of operational approaches.</w:t>
      </w:r>
      <w:r w:rsidRPr="008B7F3A">
        <w:rPr>
          <w:rFonts w:asciiTheme="minorHAnsi" w:eastAsiaTheme="minorHAnsi" w:hAnsiTheme="minorHAnsi" w:cstheme="minorBidi"/>
          <w:kern w:val="2"/>
          <w14:ligatures w14:val="standardContextual"/>
        </w:rPr>
        <w:t xml:space="preserve"> Every operational approach has a scheduled review date by which the chambers examine whether the approach should continue, be modified, or be ended. Approaches that are working continue; approaches that are not working are revised or terminated. The reviews are mandatory and time-bound. No operational approach can persist indefinitely without periodic scrutiny.</w:t>
      </w:r>
    </w:p>
    <w:p w14:paraId="74323C32"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b/>
          <w:bCs/>
          <w:kern w:val="2"/>
          <w14:ligatures w14:val="standardContextual"/>
        </w:rPr>
        <w:lastRenderedPageBreak/>
        <w:t>Willingness to spin off or close fund operations that no longer serve members.</w:t>
      </w:r>
      <w:r w:rsidRPr="008B7F3A">
        <w:rPr>
          <w:rFonts w:asciiTheme="minorHAnsi" w:eastAsiaTheme="minorHAnsi" w:hAnsiTheme="minorHAnsi" w:cstheme="minorBidi"/>
          <w:kern w:val="2"/>
          <w14:ligatures w14:val="standardContextual"/>
        </w:rPr>
        <w:t xml:space="preserve"> Fund operations can be ended if they are no longer producing value for members. The ending process is structured — it includes evaluation, member input, transition planning, and explicit chamber approval — but it is available as an option. The fund does not preserve its operations as institutional ends in themselves; operations exist to serve members and can be ended when they stop doing so.</w:t>
      </w:r>
    </w:p>
    <w:p w14:paraId="463C3071"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b/>
          <w:bCs/>
          <w:kern w:val="2"/>
          <w14:ligatures w14:val="standardContextual"/>
        </w:rPr>
        <w:t>Technological openness rather than proprietary capture.</w:t>
      </w:r>
      <w:r w:rsidRPr="008B7F3A">
        <w:rPr>
          <w:rFonts w:asciiTheme="minorHAnsi" w:eastAsiaTheme="minorHAnsi" w:hAnsiTheme="minorHAnsi" w:cstheme="minorBidi"/>
          <w:kern w:val="2"/>
          <w14:ligatures w14:val="standardContextual"/>
        </w:rPr>
        <w:t xml:space="preserve"> The fund's technological systems are open-source, with auditable code, transparent algorithms, and standardized data formats. The fund cannot become dependent on proprietary systems it controls but cannot allow members to inspect. Technological adaptation happens through open development that the broader technical community can participate in, rather than through proprietary development that locks the fund into specific vendors or approaches.</w:t>
      </w:r>
    </w:p>
    <w:p w14:paraId="0E1B36A5"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b/>
          <w:bCs/>
          <w:kern w:val="2"/>
          <w14:ligatures w14:val="standardContextual"/>
        </w:rPr>
        <w:t>Keeping members actively engaged</w:t>
      </w:r>
    </w:p>
    <w:p w14:paraId="450C1861"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The seventh pattern of institutional decay is harder to name but possibly the most insidious. Members of large institutions, over time, become progressively less engaged. The institutional structures continue to operate but the participatory base that was meant to control them becomes thin and passive. Eventually the institution operates effectively without member input, even while formally accountable to members.</w:t>
      </w:r>
    </w:p>
    <w:p w14:paraId="7C10232B"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This pattern has captured almost every major democratic institution in the modern world. Labor unions saw active member participation drop from majorities to single-digit percentages over the twentieth century. Religious institutions saw weekly attendance fall dramatically across most denominations. Political parties saw active membership collapse — the major US parties have memberships in the thousands compared to historical millions. Cooperative movements that started with engaged members became, over generations, institutions where most members never attended a meeting or voted on anything.</w:t>
      </w:r>
    </w:p>
    <w:p w14:paraId="122211F9"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The fund cannot avoid this gravity entirely. Most members will participate at varying rates. Some will be casual; some engaged; a small minority will be deeply involved. This is true of every voluntary institution. What the fund can do is design itself so that even casual participation produces meaningful accountability, while making deeper engagement actually rewarding for those who choose it.</w:t>
      </w:r>
    </w:p>
    <w:p w14:paraId="40183FC5"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b/>
          <w:bCs/>
          <w:kern w:val="2"/>
          <w14:ligatures w14:val="standardContextual"/>
        </w:rPr>
        <w:t>Default participation rather than opt-in.</w:t>
      </w:r>
      <w:r w:rsidRPr="008B7F3A">
        <w:rPr>
          <w:rFonts w:asciiTheme="minorHAnsi" w:eastAsiaTheme="minorHAnsi" w:hAnsiTheme="minorHAnsi" w:cstheme="minorBidi"/>
          <w:kern w:val="2"/>
          <w14:ligatures w14:val="standardContextual"/>
        </w:rPr>
        <w:t xml:space="preserve"> Members are auto-enrolled in chamber voting on major decisions, with a defined window to abstain if they wish. Most chamber decisions happen through default participation rather than active opt-in. Silence is counted as a vote for the status quo, but members are notified in advance, given the AI's help in </w:t>
      </w:r>
      <w:r w:rsidRPr="008B7F3A">
        <w:rPr>
          <w:rFonts w:asciiTheme="minorHAnsi" w:eastAsiaTheme="minorHAnsi" w:hAnsiTheme="minorHAnsi" w:cstheme="minorBidi"/>
          <w:kern w:val="2"/>
          <w14:ligatures w14:val="standardContextual"/>
        </w:rPr>
        <w:lastRenderedPageBreak/>
        <w:t>understanding what's at stake, and given the option to vote actively if they wish. This is structurally different from the standard model where members have to actively show up to participate.</w:t>
      </w:r>
    </w:p>
    <w:p w14:paraId="7D5338E3"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The defaults themselves are constitutional and cannot be set strategically by management. The default is always "status quo" or "no change," which structurally favors stability rather than any specific direction. A management team that wanted to use default participation to advance specific decisions would have to first establish that the decision is non-default, which is itself a chamber-level question.</w:t>
      </w:r>
    </w:p>
    <w:p w14:paraId="7CBA51E0"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b/>
          <w:bCs/>
          <w:kern w:val="2"/>
          <w14:ligatures w14:val="standardContextual"/>
        </w:rPr>
        <w:t>AI-mediated participation that fits ordinary lives.</w:t>
      </w:r>
      <w:r w:rsidRPr="008B7F3A">
        <w:rPr>
          <w:rFonts w:asciiTheme="minorHAnsi" w:eastAsiaTheme="minorHAnsi" w:hAnsiTheme="minorHAnsi" w:cstheme="minorBidi"/>
          <w:kern w:val="2"/>
          <w14:ligatures w14:val="standardContextual"/>
        </w:rPr>
        <w:t xml:space="preserve"> A member who has 10 minutes a month and wants to participate gets help from the AI engagement system. Here are the issues being voted on; here are summaries of each side; here are the implications for your country; here is what's at stake. The member can vote in 10 minutes with informed understanding. This is structurally different from asking members to read pages of documents to participate meaningfully.</w:t>
      </w:r>
    </w:p>
    <w:p w14:paraId="12E3F07E"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The AI system is also where the educational function operates. Members from any background can ask the AI to explain things they don't already know. A member with no background in finance can ask about the meaning of specific terms in an acquisition proposal; the AI provides accessible explanation. A member with no background in international law can ask about the implications of a particular regulatory question; the AI provides what the member needs. The educational function is not one-size-fits-all training; it is on-demand explanation tailored to what each member actually wants to understand.</w:t>
      </w:r>
    </w:p>
    <w:p w14:paraId="4D8DDDD3" w14:textId="77777777" w:rsid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The AI's open-source design and auditable training data are the structural protection against this engagement system becoming a capture mechanism. Members can verify that the AI is providing balanced information rather than steering them toward management's preferred conclusions. The AI is a tool for empowering members, not for managing them.</w:t>
      </w:r>
    </w:p>
    <w:p w14:paraId="187E90F7"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b/>
          <w:bCs/>
          <w:kern w:val="2"/>
          <w14:ligatures w14:val="standardContextual"/>
        </w:rPr>
        <w:t>Engagement as a signal of commitment</w:t>
      </w:r>
      <w:r w:rsidRPr="008B7F3A">
        <w:rPr>
          <w:rFonts w:asciiTheme="minorHAnsi" w:eastAsiaTheme="minorHAnsi" w:hAnsiTheme="minorHAnsi" w:cstheme="minorBidi"/>
          <w:kern w:val="2"/>
          <w14:ligatures w14:val="standardContextual"/>
        </w:rPr>
        <w:t>. Members who participate actively in fund governance build a documented record of that participation: chamber votes cast, proposals submitted, contributions to deliberation, time spent in regional and local engagement structures. The record is public; members can see it for themselves and others can see it for them.</w:t>
      </w:r>
    </w:p>
    <w:p w14:paraId="4A8C0110"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The record does not produce special treatment in everyday fund services — engaged members receive exactly the same customer support, the same dividends, the same access to fund-aligned banking and healthcare and other operations as any other member. Equality of treatment in ordinary fund interactions is constitutional and not subject to engagement-based differentiation.</w:t>
      </w:r>
    </w:p>
    <w:p w14:paraId="78119887"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lastRenderedPageBreak/>
        <w:t>What the engagement record does produce is informational weight at specific decision moments. When the fund's companies are hiring and have multiple qualified candidates for a role, the candidate with a documented record of fund engagement may be preferred at the tiebreaker level — because that engagement is evidence of mission commitment, and the fund's companies need workers who care about the mission rather than only the salary. The engagement consideration applies specifically when qualifications are comparable; a less qualified engaged member does not beat a more qualified unengaged one. Engagement is a relevant signal, not an override.</w:t>
      </w:r>
    </w:p>
    <w:p w14:paraId="56156B74"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Similarly, when members of the fund's bank's investor marketplace are considering whether to fund a venture proposed by a fellow member, the proposing member's documented engagement record is visible. A member who has demonstrated sustained engagement with the fund's broader work has, by that demonstration, provided evidence that they are likely to apply the same care to their own venture. Other members can weigh this information when deciding whether to invest. The engagement record does not guarantee funding; it provides relevant information that potential funders can consider alongside the venture's substantive merits.</w:t>
      </w:r>
    </w:p>
    <w:p w14:paraId="03C62208" w14:textId="393FDE44"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The fund does not maintain a numeric "engagement score" that members compete to maximize. Numeric scores create gaming incentives where the metric becomes the goal rather than the underlying behavior the metric was meant to capture. Instead, the fund publishes the underlying record — what each member has actually done — and lets decision-makers in specific contexts weigh that record contextually for the specific decisions where it's relevant. This is engagement treated as information, not as credential.</w:t>
      </w:r>
    </w:p>
    <w:p w14:paraId="19BC5844" w14:textId="13E2EDB6"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b/>
          <w:bCs/>
          <w:kern w:val="2"/>
          <w14:ligatures w14:val="standardContextual"/>
        </w:rPr>
        <w:t>Real consequences for member decisions.</w:t>
      </w:r>
      <w:r w:rsidRPr="008B7F3A">
        <w:rPr>
          <w:rFonts w:asciiTheme="minorHAnsi" w:eastAsiaTheme="minorHAnsi" w:hAnsiTheme="minorHAnsi" w:cstheme="minorBidi"/>
          <w:kern w:val="2"/>
          <w14:ligatures w14:val="standardContextual"/>
        </w:rPr>
        <w:t xml:space="preserve"> The most engaging form of governance is governance that actually matters. Member decisions in the fund have real consequences: members vote on major acquisitions, on strategic direction, on compensation policies, on governance structure changes. Members do not vote on symbolic matters while real decisions happen elsewhere. The constitutional limits define what management can and cannot decide unilaterally, and the line cannot be redrawn by management to claim more authority for itself.</w:t>
      </w:r>
    </w:p>
    <w:p w14:paraId="6992D85B"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b/>
          <w:bCs/>
          <w:kern w:val="2"/>
          <w14:ligatures w14:val="standardContextual"/>
        </w:rPr>
        <w:t>Public recognition of contributing members.</w:t>
      </w:r>
      <w:r w:rsidRPr="008B7F3A">
        <w:rPr>
          <w:rFonts w:asciiTheme="minorHAnsi" w:eastAsiaTheme="minorHAnsi" w:hAnsiTheme="minorHAnsi" w:cstheme="minorBidi"/>
          <w:kern w:val="2"/>
          <w14:ligatures w14:val="standardContextual"/>
        </w:rPr>
        <w:t xml:space="preserve"> The fund operates a "contributing members" registry that simply notes people who have engaged actively in fund governance and operations. Submitting valuable proposals, participating thoughtfully in chamber deliberations, helping build fund-aligned local businesses — these contributions are recognized publicly. No special powers attach to the recognition, but it's visible and meaningful for those who care.</w:t>
      </w:r>
    </w:p>
    <w:p w14:paraId="418308FB"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b/>
          <w:bCs/>
          <w:kern w:val="2"/>
          <w14:ligatures w14:val="standardContextual"/>
        </w:rPr>
        <w:lastRenderedPageBreak/>
        <w:t>Regional and local engagement structures.</w:t>
      </w:r>
      <w:r w:rsidRPr="008B7F3A">
        <w:rPr>
          <w:rFonts w:asciiTheme="minorHAnsi" w:eastAsiaTheme="minorHAnsi" w:hAnsiTheme="minorHAnsi" w:cstheme="minorBidi"/>
          <w:kern w:val="2"/>
          <w14:ligatures w14:val="standardContextual"/>
        </w:rPr>
        <w:t xml:space="preserve"> Global membership is abstract; local engagement is concrete. The fund supports regional and local member groups — discussion forums, in-person meetings, online communities — where members in specific places can engage with each other about fund matters and broader issues. These structures emerge from member initiative and are supported with infrastructure rather than directed by management. Members who want deeper engagement can find others nearby who share that interest.</w:t>
      </w:r>
    </w:p>
    <w:p w14:paraId="5AFC4A91"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b/>
          <w:bCs/>
          <w:kern w:val="2"/>
          <w14:ligatures w14:val="standardContextual"/>
        </w:rPr>
        <w:t>Generational education through the AI system.</w:t>
      </w:r>
      <w:r w:rsidRPr="008B7F3A">
        <w:rPr>
          <w:rFonts w:asciiTheme="minorHAnsi" w:eastAsiaTheme="minorHAnsi" w:hAnsiTheme="minorHAnsi" w:cstheme="minorBidi"/>
          <w:kern w:val="2"/>
          <w14:ligatures w14:val="standardContextual"/>
        </w:rPr>
        <w:t xml:space="preserve"> Members enrolled as children grow up understanding what the fund is and why it exists. The AI engagement system provides on-demand educational resources — accessible to members but available to anyone — that explain the fund's history, its principles, and its operational architecture in language adapted to each user's background and interests. New members can use this to understand what they're joining. Long-term members can refresh their understanding. Young members grow up with the fund as a recognized part of the world they inhabit.</w:t>
      </w:r>
    </w:p>
    <w:p w14:paraId="1BC57E29"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This is the slowest of the engagement mechanisms but probably the most important over generations. An institution that does not pass on its purpose to new generations decays into something its founders would not recognize, regardless of how good its structural protections are. The fund's educational commitment is the long-term defense against generational mission drift.</w:t>
      </w:r>
    </w:p>
    <w:p w14:paraId="0285AA70"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b/>
          <w:bCs/>
          <w:kern w:val="2"/>
          <w14:ligatures w14:val="standardContextual"/>
        </w:rPr>
        <w:t>The paradox: anti-corruption design as a capture mechanism</w:t>
      </w:r>
    </w:p>
    <w:p w14:paraId="5CE83F5C"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There is a subtle problem worth naming directly. The more comprehensive the fund's anti-corruption design, the more it could itself become an instrument of management control. A management team that wanted to entrench itself could point to "compliance with the anti-corruption framework" as justification for resisting member oversight. "We can't do what you're asking because it would violate our governance rules" can become a defense against accountability rather than a defense of accountability.</w:t>
      </w:r>
    </w:p>
    <w:p w14:paraId="54D3A0DD"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The article addresses this paradox by distinguishing clearly between what is and isn't entrenchable.</w:t>
      </w:r>
    </w:p>
    <w:p w14:paraId="55CF131A"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The constitutional protections — equal dividends, regional caps, ownership ceilings, essential goods margin caps, open-source AI, defense exclusion — are entrenchable. They exist precisely to be unchangeable without extraordinary procedures. A management team that wanted to circumvent these protections cannot, and that's the entire point.</w:t>
      </w:r>
    </w:p>
    <w:p w14:paraId="041CBDF7"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 xml:space="preserve">The operational anti-corruption mechanisms described in this article — term limits, rotation, audit procedures, disclosure requirements, conflict of interest rules — are not entrenched at the constitutional level. They are fund policy, subject to ordinary chamber </w:t>
      </w:r>
      <w:r w:rsidRPr="008B7F3A">
        <w:rPr>
          <w:rFonts w:asciiTheme="minorHAnsi" w:eastAsiaTheme="minorHAnsi" w:hAnsiTheme="minorHAnsi" w:cstheme="minorBidi"/>
          <w:kern w:val="2"/>
          <w14:ligatures w14:val="standardContextual"/>
        </w:rPr>
        <w:lastRenderedPageBreak/>
        <w:t>amendment. If members at some future moment conclude that a specific anti-corruption mechanism is no longer serving its purpose, they can modify it through normal chamber processes. The protections are strong enough to constrain ordinary management capture but flexible enough to be revised when members decide the design needs updating.</w:t>
      </w:r>
    </w:p>
    <w:p w14:paraId="5DB06753"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This distinction matters because the alternative — entrenching every anti-corruption protection at the constitutional level — would itself become a capture mechanism. A management team that wanted to resist member oversight could argue that any reform would violate the constitution; the entrenched protections would have become a tool for resisting accountability rather than for enforcing it.</w:t>
      </w:r>
    </w:p>
    <w:p w14:paraId="5378B6A4"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The fund's design draws the line deliberately. Foundational mission is entrenched. Operational anti-corruption is robust but revisable. Members retain ultimate authority through ordinary chamber processes.</w:t>
      </w:r>
    </w:p>
    <w:p w14:paraId="59038319"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b/>
          <w:bCs/>
          <w:kern w:val="2"/>
          <w14:ligatures w14:val="standardContextual"/>
        </w:rPr>
        <w:t>What members can actually do when something goes wrong</w:t>
      </w:r>
    </w:p>
    <w:p w14:paraId="76C947E5"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The full mechanism for member action against fund problems works through several escalating steps.</w:t>
      </w:r>
    </w:p>
    <w:p w14:paraId="22D81906"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A member who observes a problem can investigate using the AI engagement system, accessing the fund's data and producing independent analysis. The investigation can be shared with other members through the regional and local engagement structures, building a coalition of concerned members.</w:t>
      </w:r>
    </w:p>
    <w:p w14:paraId="5744C62F"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A coalition can submit a formal proposal to the chambers for consideration. The proposal can call for investigation, for policy change, for personnel action, for any of a wide range of responses. The chambers must take up properly submitted proposals through defined processes.</w:t>
      </w:r>
    </w:p>
    <w:p w14:paraId="0473CC19"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A coalition can initiate a petition for removal of specific officials, as described in the management capture section. A successful petition triggers oversight body investigation and chamber vote on removal.</w:t>
      </w:r>
    </w:p>
    <w:p w14:paraId="69699872"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A coalition can initiate a constitutional change proposal, addressing structural issues that ordinary chamber action cannot resolve. The high threshold for constitutional change (75% in both chambers, 5-of-6 continental regions) means constitutional changes happen rarely, but the mechanism exists.</w:t>
      </w:r>
    </w:p>
    <w:p w14:paraId="130A448E"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 xml:space="preserve">And finally, in the most extreme case, members can initiate dissolution of the fund. If members conclude that the fund has become unfit for purpose and cannot be corrected through any other mechanism, they retain the structural right to dissolve the institution and distribute its assets equally among members. This right requires the same threshold as </w:t>
      </w:r>
      <w:r w:rsidRPr="008B7F3A">
        <w:rPr>
          <w:rFonts w:asciiTheme="minorHAnsi" w:eastAsiaTheme="minorHAnsi" w:hAnsiTheme="minorHAnsi" w:cstheme="minorBidi"/>
          <w:kern w:val="2"/>
          <w14:ligatures w14:val="standardContextual"/>
        </w:rPr>
        <w:lastRenderedPageBreak/>
        <w:t>constitutional changes (75% in both chambers, 5-of-6 continental regions), with an 18-month waiting period between approval and execution to allow for member reconsideration.</w:t>
      </w:r>
    </w:p>
    <w:p w14:paraId="0BF4A7B9"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The dissolution right is the ultimate protection because it makes the fund's continued existence conditional on its continued service to members. A management team that captured the fund against members' interests would face the prospect that members might end the fund rather than tolerate its capture. This makes capture itself less attractive: an institution worth capturing is one whose continued existence is valuable; an institution that can be ended by its members has reduced value as a capture target.</w:t>
      </w:r>
    </w:p>
    <w:p w14:paraId="43D31729"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b/>
          <w:bCs/>
          <w:kern w:val="2"/>
          <w14:ligatures w14:val="standardContextual"/>
        </w:rPr>
        <w:t>The honest limits of any institutional design</w:t>
      </w:r>
    </w:p>
    <w:p w14:paraId="142C4728"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No design is perfect. The mechanisms described in this article will not prevent every form of decay; they will make many forms of decay structurally difficult while leaving others available. Some failures will happen. Some abuses will go undetected. Some decay will accumulate slowly enough that no specific moment of correction is triggered.</w:t>
      </w:r>
    </w:p>
    <w:p w14:paraId="01B2730C"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What the design does is shift the burden of decay from "decay is the default outcome" to "decay requires sustained effort against structural protections." That shift matters. The default outcome for most institutions has been decay; the fund's default outcome is preservation of mission with periodic correction. The shift is not absolute but it is structural.</w:t>
      </w:r>
    </w:p>
    <w:p w14:paraId="35F4389A"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The biggest limit on any institutional design is what the design cannot reach: the engagement of members over generations. A captured but unengaged membership ratifies bad governance. A complacent membership fails to notice decay. The protections in this article work to the extent that members use them. They do not work if members stop paying attention.</w:t>
      </w:r>
    </w:p>
    <w:p w14:paraId="752C29FC"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This is the fund's deepest dependency. The structural protections are strong; the requirement is that members care enough to use them. The fund's design provides multiple supports for member engagement — easy participation, AI-assisted understanding, recognition for involvement, real consequences for decisions, generational education through the AI system. But ultimately the fund's continued health depends on members staying engaged, generation after generation, with the institution they collectively own.</w:t>
      </w:r>
    </w:p>
    <w:p w14:paraId="3A53A8AD"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 xml:space="preserve">The design's strength is that it makes engagement easy and meaningful. The design's limit is that it cannot force engagement. A member who chooses to ignore the fund's governance cannot be compelled to participate. The protection against this is mass participation: even casual participation by most members produces meaningful </w:t>
      </w:r>
      <w:r w:rsidRPr="008B7F3A">
        <w:rPr>
          <w:rFonts w:asciiTheme="minorHAnsi" w:eastAsiaTheme="minorHAnsi" w:hAnsiTheme="minorHAnsi" w:cstheme="minorBidi"/>
          <w:kern w:val="2"/>
          <w14:ligatures w14:val="standardContextual"/>
        </w:rPr>
        <w:lastRenderedPageBreak/>
        <w:t>accountability, and the fund's design optimizes for casual participation rather than depending on deep engagement by a small minority.</w:t>
      </w:r>
    </w:p>
    <w:p w14:paraId="367ABF8D"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The fund will face challenges across decades that this article cannot anticipate. Technologies will change in ways that affect operational capacity. Geopolitical conditions will change in ways that affect specific countries' relationships with the fund. Social conditions will change in ways that affect what membership means to people. New failure modes will emerge that did not exist when the fund was designed.</w:t>
      </w:r>
    </w:p>
    <w:p w14:paraId="1E1361BC"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The fund's response to these changes will be itself, through its members and its operational team and its constitutional structure. The design described in this article is the starting point; the institution that actually exists in 2055 or 2080 will reflect the changes it has been through. Some changes will be improvements; some will be regressions. The protection is that the changes happen with member knowledge and member consent, not through unilateral management action.</w:t>
      </w:r>
    </w:p>
    <w:p w14:paraId="68993725"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The institution that emerges from this process — if the process succeeds — will be the largest example in human history of citizens organizing economic activity at global scale to serve their own collective interests. The structural protections in this article are intended to keep that example alive and serving its purpose for the generations who join after the founders are gone. Whether they succeed will depend on members. The fund's deepest principle is that it is owned by everyone equally; the deepest test of that principle is whether everyone equally cares enough to keep it alive.</w:t>
      </w:r>
    </w:p>
    <w:p w14:paraId="58E57C14" w14:textId="77777777" w:rsid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The next article addresses the question that brings everything together: what could the first decade actually look like? Not aspirationally, but concretely — what members would experience, what would go well, what would go wrong, and what the fund's first ten years would mean for the longer arc.</w:t>
      </w:r>
    </w:p>
    <w:p w14:paraId="514CA02D" w14:textId="3845D25C" w:rsidR="008B7F3A" w:rsidRDefault="008B7F3A" w:rsidP="008B7F3A">
      <w:pPr>
        <w:spacing w:after="160" w:line="278" w:lineRule="auto"/>
        <w:rPr>
          <w:rFonts w:asciiTheme="minorHAnsi" w:eastAsiaTheme="minorHAnsi" w:hAnsiTheme="minorHAnsi" w:cstheme="minorBidi"/>
          <w:kern w:val="2"/>
          <w14:ligatures w14:val="standardContextual"/>
        </w:rPr>
      </w:pPr>
    </w:p>
    <w:p w14:paraId="00B63358" w14:textId="4C717943" w:rsidR="008B7F3A" w:rsidRPr="008B7F3A" w:rsidRDefault="008B7F3A" w:rsidP="008B7F3A">
      <w:pPr>
        <w:spacing w:after="160" w:line="278" w:lineRule="auto"/>
        <w:rPr>
          <w:rFonts w:asciiTheme="minorHAnsi" w:eastAsiaTheme="minorHAnsi" w:hAnsiTheme="minorHAnsi" w:cstheme="minorBidi"/>
          <w:b/>
          <w:bCs/>
          <w:kern w:val="2"/>
          <w14:ligatures w14:val="standardContextual"/>
        </w:rPr>
      </w:pPr>
      <w:r w:rsidRPr="008B7F3A">
        <w:rPr>
          <w:rFonts w:asciiTheme="minorHAnsi" w:eastAsiaTheme="minorHAnsi" w:hAnsiTheme="minorHAnsi" w:cstheme="minorBidi"/>
          <w:b/>
          <w:bCs/>
          <w:kern w:val="2"/>
          <w14:ligatures w14:val="standardContextual"/>
        </w:rPr>
        <w:t>SUBARTICLE 8</w:t>
      </w:r>
    </w:p>
    <w:p w14:paraId="1931E647"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b/>
          <w:bCs/>
          <w:kern w:val="2"/>
          <w14:ligatures w14:val="standardContextual"/>
        </w:rPr>
        <w:t>What the First Decade Could Look Like</w:t>
      </w:r>
    </w:p>
    <w:p w14:paraId="2A5BF18F"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Coming up with a collective idea is a strange thing to attempt in a world built on selfishness.</w:t>
      </w:r>
    </w:p>
    <w:p w14:paraId="244EC488"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 xml:space="preserve">We have all grown up in a system where business is described as a competition that allows anything, where personal advancement justifies stepping over others, where bending rules to favor a few is normal practice, where the people who win are admired even when how they won was ugly. This is the world we were born into. Most of us have known no other arrangement to compare it against. Even those who recognize the system as broken find it </w:t>
      </w:r>
      <w:r w:rsidRPr="008B7F3A">
        <w:rPr>
          <w:rFonts w:asciiTheme="minorHAnsi" w:eastAsiaTheme="minorHAnsi" w:hAnsiTheme="minorHAnsi" w:cstheme="minorBidi"/>
          <w:kern w:val="2"/>
          <w14:ligatures w14:val="standardContextual"/>
        </w:rPr>
        <w:lastRenderedPageBreak/>
        <w:t>difficult to imagine alternatives because the imaginative tools we have for thinking about economic life were forged inside the system we are trying to evaluate.</w:t>
      </w:r>
    </w:p>
    <w:p w14:paraId="7CD6571D"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Asking people to participate in a collective economic institution at global scale, owned by everyone equally, governed democratically across borders, structurally committed to fairness and peace, requires them to do something more than accept a proposal. It requires them to deconstruct what they have been taught about how economies work and what economies are for. This is hard. The deconstruction takes time. The people who finish reading this series of articles will not all immediately commit to participating in the fund; some will need months or years to reach that point, working through their own questions and skepticism. Others will never reach it. This is not failure. It is the natural pace at which large mental shifts happen.</w:t>
      </w:r>
    </w:p>
    <w:p w14:paraId="45D8FF34"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We are at a moment in history when this kind of shift is more possible than at any previous moment in our lifetimes. The decade of accumulating evidence — the 2008 financial crisis, the Panama Papers, the COVID wealth surge, the Pandora Papers, the visible billionaire capture of governments, the wars whose financial motivations have become impossible to ignore — has changed what most people are willing to consider. The polling data cited in earlier articles shows the global majority. People are ready to question the system they were born into. People are not yet ready to trust an alternative because no alternative has yet proven itself.</w:t>
      </w:r>
    </w:p>
    <w:p w14:paraId="30C3378C"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This is why the fund proposes to compete with the existing system rather than to replace it. People who want to keep participating in the current arrangement can keep doing so. People who want to try something different can join the fund. As the fund grows and demonstrates that its alternative actually works, more people will see it as a viable response to what they already disagree with. The fund's growth is gradual, voluntary, and accumulating. It is not a revolution. It is a parallel institution that becomes meaningful as more people choose it.</w:t>
      </w:r>
    </w:p>
    <w:p w14:paraId="4C36BE8A"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 xml:space="preserve">This article walks through what the fund's first decade could actually look like at the level of detail where readers can picture themselves living through it. The approach is honest about what is and isn't uncertain. The membership growth depends on cultural and political factors that produce a real range of possible outcomes, so the article presents three scenarios: optimistic, neutral, and conservative. But once membership is established at a given level, the downstream effects — capital available for investment, what that capital can buy, what dividends members receive — are largely mathematical consequences of membership and the operational mechanics described in earlier articles. The article therefore presents the variable inputs (membership) through scenarios, and the calculated </w:t>
      </w:r>
      <w:r w:rsidRPr="008B7F3A">
        <w:rPr>
          <w:rFonts w:asciiTheme="minorHAnsi" w:eastAsiaTheme="minorHAnsi" w:hAnsiTheme="minorHAnsi" w:cstheme="minorBidi"/>
          <w:kern w:val="2"/>
          <w14:ligatures w14:val="standardContextual"/>
        </w:rPr>
        <w:lastRenderedPageBreak/>
        <w:t>outputs (capital, acquisitions, dividends) through the math that follows from each scenario.</w:t>
      </w:r>
    </w:p>
    <w:p w14:paraId="6B389550"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The numbers given are estimates. The reality will be its own shape, somewhere in the range the article describes. What the article tries to deliver is not prediction but visualization grounded in real arithmetic.</w:t>
      </w:r>
    </w:p>
    <w:p w14:paraId="74C50E74"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b/>
          <w:bCs/>
          <w:kern w:val="2"/>
          <w14:ligatures w14:val="standardContextual"/>
        </w:rPr>
        <w:t>The membership scenarios</w:t>
      </w:r>
    </w:p>
    <w:p w14:paraId="46C863AA"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The fund's membership growth is the foundation of everything else. Without sufficient members, the financial backbone fails, the acquisitions cannot proceed, the dividends cannot scale, and the institutional credibility collapses.</w:t>
      </w:r>
    </w:p>
    <w:p w14:paraId="10A43D6A"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A useful comparison comes from the adoption curves of major digital platforms over the past two decades. Facebook took about 4.5 years to reach 100 million users; WhatsApp about 3.5 years; Instagram about 2.5 years. ChatGPT reached 100 million users within two months. Total social media users grew from approximately 970 million in 2010 to over 5.6 billion in 2026 — from 14% to over 68% of the world's population in 16 years. Mass global digital adoption is established as possible; the question is whether the fund can achieve it given its particular characteristics.</w:t>
      </w:r>
    </w:p>
    <w:p w14:paraId="07D4B805"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The fund's growth will be slower than these comparisons in some ways and possibly faster in others. Social media is free; the fund requires a $1 monthly contribution. Social media is entertainment; the fund is an economic institution requiring sustained commitment. Social media benefits accrue immediately; the fund's benefits accumulate over years. On the other hand, the fund's appeal is grounded in a global majority view about economic unfairness that has been building for over a decade, and members who join have specific personal incentives (dividends, banking services, support for local businesses) that social media platforms didn't offer. The adoption curve will have its own shape.</w:t>
      </w:r>
    </w:p>
    <w:p w14:paraId="06A44740"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The three scenarios for membership growth across the first decade:</w:t>
      </w:r>
    </w:p>
    <w:p w14:paraId="674E14E6"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b/>
          <w:bCs/>
          <w:kern w:val="2"/>
          <w14:ligatures w14:val="standardContextual"/>
        </w:rPr>
        <w:t>The optimistic scenario</w:t>
      </w:r>
      <w:r w:rsidRPr="008B7F3A">
        <w:rPr>
          <w:rFonts w:asciiTheme="minorHAnsi" w:eastAsiaTheme="minorHAnsi" w:hAnsiTheme="minorHAnsi" w:cstheme="minorBidi"/>
          <w:kern w:val="2"/>
          <w14:ligatures w14:val="standardContextual"/>
        </w:rPr>
        <w:t xml:space="preserve"> assumes the planning phase succeeds substantially better than expected. Membership growth significantly exceeds projections. Regulatory approvals come faster than expected in major countries. Founding capital is raised easily. Political resistance is weaker than expected, perhaps because the broader political moment turns more decisively against concentrated economic power. By Year 10 (2040), the fund has approximately 5.5 billion members across 185 countries.</w:t>
      </w:r>
    </w:p>
    <w:p w14:paraId="3984B3AA"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b/>
          <w:bCs/>
          <w:kern w:val="2"/>
          <w14:ligatures w14:val="standardContextual"/>
        </w:rPr>
        <w:t>The neutral scenario</w:t>
      </w:r>
      <w:r w:rsidRPr="008B7F3A">
        <w:rPr>
          <w:rFonts w:asciiTheme="minorHAnsi" w:eastAsiaTheme="minorHAnsi" w:hAnsiTheme="minorHAnsi" w:cstheme="minorBidi"/>
          <w:kern w:val="2"/>
          <w14:ligatures w14:val="standardContextual"/>
        </w:rPr>
        <w:t xml:space="preserve"> assumes membership growth follows a recognizable adoption curve. Regulatory approvals require negotiation but generally come through. Founding capital is raised through the structured channels described in sub-article 6 with sustained effort. </w:t>
      </w:r>
      <w:r w:rsidRPr="008B7F3A">
        <w:rPr>
          <w:rFonts w:asciiTheme="minorHAnsi" w:eastAsiaTheme="minorHAnsi" w:hAnsiTheme="minorHAnsi" w:cstheme="minorBidi"/>
          <w:kern w:val="2"/>
          <w14:ligatures w14:val="standardContextual"/>
        </w:rPr>
        <w:lastRenderedPageBreak/>
        <w:t>Public response is mixed — enthusiasm in some regions, skepticism in others. Political resistance emerges but is manageable. By Year 10 (2040), the fund has approximately 4.5 billion members across 175 countries.</w:t>
      </w:r>
    </w:p>
    <w:p w14:paraId="32ED611E"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b/>
          <w:bCs/>
          <w:kern w:val="2"/>
          <w14:ligatures w14:val="standardContextual"/>
        </w:rPr>
        <w:t>The conservative scenario</w:t>
      </w:r>
      <w:r w:rsidRPr="008B7F3A">
        <w:rPr>
          <w:rFonts w:asciiTheme="minorHAnsi" w:eastAsiaTheme="minorHAnsi" w:hAnsiTheme="minorHAnsi" w:cstheme="minorBidi"/>
          <w:kern w:val="2"/>
          <w14:ligatures w14:val="standardContextual"/>
        </w:rPr>
        <w:t xml:space="preserve"> assumes the planning phase encounters substantial difficulty. Growth is slower in major economies where political resistance is strongest. Regulatory approvals are delayed in important countries. Founding capital is harder to raise than expected. Political attacks from concentrated economic interests are coordinated and partially effective. By Year 10 (2040), the fund has approximately 3.5 billion members across 160 countries.</w:t>
      </w:r>
    </w:p>
    <w:p w14:paraId="57B38600"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The actual first decade will not match any scenario exactly. Some dimensions will likely track the optimistic scenario; others the conservative one. What determines which scenario predominates is, more than anything else, member action. The fund's growth depends on members enrolling, participating, advocating to others, and demonstrating through their own engagement that the project is real. The conservative scenario is essentially what happens if potential members read the proposal, find it interesting, but do not actually do anything. The optimistic scenario is essentially what happens if members not only join but also share the project widely and become active advocates. The neutral scenario falls between.</w:t>
      </w:r>
    </w:p>
    <w:p w14:paraId="1D28A07E"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b/>
          <w:bCs/>
          <w:kern w:val="2"/>
          <w14:ligatures w14:val="standardContextual"/>
        </w:rPr>
        <w:t>The capital table</w:t>
      </w:r>
    </w:p>
    <w:p w14:paraId="3AA1CA3B"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Membership growth produces capital through two channels: annual contributions ($1 × 12 months × members) and reinvestment from the margin trajectory described in sub-article 3 (the difference between competitor margin and the fund's 10% target margin on acquired companies, automatically reinvested into expansion). The overhead from sub-article 5 reduces available capital — Year 1 at roughly 35% overhead, declining to roughly 11% by Year 10 as the fund's infrastructure scales faster than its costs.</w:t>
      </w:r>
    </w:p>
    <w:p w14:paraId="6BD805B5"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The table below shows, for each scenario and milestone year, the membership, the countries where the fund operates, and the annual capital available for investment. The capital figure includes both net contributions (after overhead) and margin-trajectory reinvestment from acquired companies. All capital figures are denominated in basket reference units, expressed in US dollar equivalent for clarity.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3"/>
        <w:gridCol w:w="1515"/>
        <w:gridCol w:w="1201"/>
        <w:gridCol w:w="1139"/>
        <w:gridCol w:w="2750"/>
      </w:tblGrid>
      <w:tr w:rsidR="008B7F3A" w:rsidRPr="008B7F3A" w14:paraId="0FE8C57F" w14:textId="77777777">
        <w:trPr>
          <w:tblHeader/>
          <w:tblCellSpacing w:w="15" w:type="dxa"/>
        </w:trPr>
        <w:tc>
          <w:tcPr>
            <w:tcW w:w="0" w:type="auto"/>
            <w:vAlign w:val="center"/>
            <w:hideMark/>
          </w:tcPr>
          <w:p w14:paraId="595FED82" w14:textId="77777777" w:rsidR="008B7F3A" w:rsidRPr="008B7F3A" w:rsidRDefault="008B7F3A" w:rsidP="008B7F3A">
            <w:pPr>
              <w:spacing w:after="160" w:line="278" w:lineRule="auto"/>
              <w:rPr>
                <w:rFonts w:asciiTheme="minorHAnsi" w:eastAsiaTheme="minorHAnsi" w:hAnsiTheme="minorHAnsi" w:cstheme="minorBidi"/>
                <w:b/>
                <w:bCs/>
                <w:kern w:val="2"/>
                <w14:ligatures w14:val="standardContextual"/>
              </w:rPr>
            </w:pPr>
            <w:r w:rsidRPr="008B7F3A">
              <w:rPr>
                <w:rFonts w:asciiTheme="minorHAnsi" w:eastAsiaTheme="minorHAnsi" w:hAnsiTheme="minorHAnsi" w:cstheme="minorBidi"/>
                <w:b/>
                <w:bCs/>
                <w:kern w:val="2"/>
                <w14:ligatures w14:val="standardContextual"/>
              </w:rPr>
              <w:t>Scenario</w:t>
            </w:r>
          </w:p>
        </w:tc>
        <w:tc>
          <w:tcPr>
            <w:tcW w:w="0" w:type="auto"/>
            <w:vAlign w:val="center"/>
            <w:hideMark/>
          </w:tcPr>
          <w:p w14:paraId="50277EB3" w14:textId="77777777" w:rsidR="008B7F3A" w:rsidRPr="008B7F3A" w:rsidRDefault="008B7F3A" w:rsidP="008B7F3A">
            <w:pPr>
              <w:spacing w:after="160" w:line="278" w:lineRule="auto"/>
              <w:rPr>
                <w:rFonts w:asciiTheme="minorHAnsi" w:eastAsiaTheme="minorHAnsi" w:hAnsiTheme="minorHAnsi" w:cstheme="minorBidi"/>
                <w:b/>
                <w:bCs/>
                <w:kern w:val="2"/>
                <w14:ligatures w14:val="standardContextual"/>
              </w:rPr>
            </w:pPr>
            <w:r w:rsidRPr="008B7F3A">
              <w:rPr>
                <w:rFonts w:asciiTheme="minorHAnsi" w:eastAsiaTheme="minorHAnsi" w:hAnsiTheme="minorHAnsi" w:cstheme="minorBidi"/>
                <w:b/>
                <w:bCs/>
                <w:kern w:val="2"/>
                <w14:ligatures w14:val="standardContextual"/>
              </w:rPr>
              <w:t>Year</w:t>
            </w:r>
          </w:p>
        </w:tc>
        <w:tc>
          <w:tcPr>
            <w:tcW w:w="0" w:type="auto"/>
            <w:vAlign w:val="center"/>
            <w:hideMark/>
          </w:tcPr>
          <w:p w14:paraId="16347724" w14:textId="77777777" w:rsidR="008B7F3A" w:rsidRPr="008B7F3A" w:rsidRDefault="008B7F3A" w:rsidP="008B7F3A">
            <w:pPr>
              <w:spacing w:after="160" w:line="278" w:lineRule="auto"/>
              <w:rPr>
                <w:rFonts w:asciiTheme="minorHAnsi" w:eastAsiaTheme="minorHAnsi" w:hAnsiTheme="minorHAnsi" w:cstheme="minorBidi"/>
                <w:b/>
                <w:bCs/>
                <w:kern w:val="2"/>
                <w14:ligatures w14:val="standardContextual"/>
              </w:rPr>
            </w:pPr>
            <w:r w:rsidRPr="008B7F3A">
              <w:rPr>
                <w:rFonts w:asciiTheme="minorHAnsi" w:eastAsiaTheme="minorHAnsi" w:hAnsiTheme="minorHAnsi" w:cstheme="minorBidi"/>
                <w:b/>
                <w:bCs/>
                <w:kern w:val="2"/>
                <w14:ligatures w14:val="standardContextual"/>
              </w:rPr>
              <w:t>Members</w:t>
            </w:r>
          </w:p>
        </w:tc>
        <w:tc>
          <w:tcPr>
            <w:tcW w:w="0" w:type="auto"/>
            <w:vAlign w:val="center"/>
            <w:hideMark/>
          </w:tcPr>
          <w:p w14:paraId="75CB58F2" w14:textId="77777777" w:rsidR="008B7F3A" w:rsidRPr="008B7F3A" w:rsidRDefault="008B7F3A" w:rsidP="008B7F3A">
            <w:pPr>
              <w:spacing w:after="160" w:line="278" w:lineRule="auto"/>
              <w:rPr>
                <w:rFonts w:asciiTheme="minorHAnsi" w:eastAsiaTheme="minorHAnsi" w:hAnsiTheme="minorHAnsi" w:cstheme="minorBidi"/>
                <w:b/>
                <w:bCs/>
                <w:kern w:val="2"/>
                <w14:ligatures w14:val="standardContextual"/>
              </w:rPr>
            </w:pPr>
            <w:r w:rsidRPr="008B7F3A">
              <w:rPr>
                <w:rFonts w:asciiTheme="minorHAnsi" w:eastAsiaTheme="minorHAnsi" w:hAnsiTheme="minorHAnsi" w:cstheme="minorBidi"/>
                <w:b/>
                <w:bCs/>
                <w:kern w:val="2"/>
                <w14:ligatures w14:val="standardContextual"/>
              </w:rPr>
              <w:t>Countries</w:t>
            </w:r>
          </w:p>
        </w:tc>
        <w:tc>
          <w:tcPr>
            <w:tcW w:w="0" w:type="auto"/>
            <w:vAlign w:val="center"/>
            <w:hideMark/>
          </w:tcPr>
          <w:p w14:paraId="152036F3" w14:textId="77777777" w:rsidR="008B7F3A" w:rsidRPr="008B7F3A" w:rsidRDefault="008B7F3A" w:rsidP="008B7F3A">
            <w:pPr>
              <w:spacing w:after="160" w:line="278" w:lineRule="auto"/>
              <w:rPr>
                <w:rFonts w:asciiTheme="minorHAnsi" w:eastAsiaTheme="minorHAnsi" w:hAnsiTheme="minorHAnsi" w:cstheme="minorBidi"/>
                <w:b/>
                <w:bCs/>
                <w:kern w:val="2"/>
                <w14:ligatures w14:val="standardContextual"/>
              </w:rPr>
            </w:pPr>
            <w:r w:rsidRPr="008B7F3A">
              <w:rPr>
                <w:rFonts w:asciiTheme="minorHAnsi" w:eastAsiaTheme="minorHAnsi" w:hAnsiTheme="minorHAnsi" w:cstheme="minorBidi"/>
                <w:b/>
                <w:bCs/>
                <w:kern w:val="2"/>
                <w14:ligatures w14:val="standardContextual"/>
              </w:rPr>
              <w:t>Annual Capital Available</w:t>
            </w:r>
          </w:p>
        </w:tc>
      </w:tr>
      <w:tr w:rsidR="008B7F3A" w:rsidRPr="008B7F3A" w14:paraId="1B7E5C24" w14:textId="77777777">
        <w:trPr>
          <w:tblCellSpacing w:w="15" w:type="dxa"/>
        </w:trPr>
        <w:tc>
          <w:tcPr>
            <w:tcW w:w="0" w:type="auto"/>
            <w:vAlign w:val="center"/>
            <w:hideMark/>
          </w:tcPr>
          <w:p w14:paraId="6FED5BF8"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Optimistic</w:t>
            </w:r>
          </w:p>
        </w:tc>
        <w:tc>
          <w:tcPr>
            <w:tcW w:w="0" w:type="auto"/>
            <w:vAlign w:val="center"/>
            <w:hideMark/>
          </w:tcPr>
          <w:p w14:paraId="7FEE3A31"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Year 1 (2031)</w:t>
            </w:r>
          </w:p>
        </w:tc>
        <w:tc>
          <w:tcPr>
            <w:tcW w:w="0" w:type="auto"/>
            <w:vAlign w:val="center"/>
            <w:hideMark/>
          </w:tcPr>
          <w:p w14:paraId="713B68CD"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200 million</w:t>
            </w:r>
          </w:p>
        </w:tc>
        <w:tc>
          <w:tcPr>
            <w:tcW w:w="0" w:type="auto"/>
            <w:vAlign w:val="center"/>
            <w:hideMark/>
          </w:tcPr>
          <w:p w14:paraId="0F307C2F"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80</w:t>
            </w:r>
          </w:p>
        </w:tc>
        <w:tc>
          <w:tcPr>
            <w:tcW w:w="0" w:type="auto"/>
            <w:vAlign w:val="center"/>
            <w:hideMark/>
          </w:tcPr>
          <w:p w14:paraId="5218C65A"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$1.6 billion</w:t>
            </w:r>
          </w:p>
        </w:tc>
      </w:tr>
      <w:tr w:rsidR="008B7F3A" w:rsidRPr="008B7F3A" w14:paraId="2C8C7A48" w14:textId="77777777">
        <w:trPr>
          <w:tblCellSpacing w:w="15" w:type="dxa"/>
        </w:trPr>
        <w:tc>
          <w:tcPr>
            <w:tcW w:w="0" w:type="auto"/>
            <w:vAlign w:val="center"/>
            <w:hideMark/>
          </w:tcPr>
          <w:p w14:paraId="59A184B4"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Optimistic</w:t>
            </w:r>
          </w:p>
        </w:tc>
        <w:tc>
          <w:tcPr>
            <w:tcW w:w="0" w:type="auto"/>
            <w:vAlign w:val="center"/>
            <w:hideMark/>
          </w:tcPr>
          <w:p w14:paraId="246CCD00"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Year 3 (2033)</w:t>
            </w:r>
          </w:p>
        </w:tc>
        <w:tc>
          <w:tcPr>
            <w:tcW w:w="0" w:type="auto"/>
            <w:vAlign w:val="center"/>
            <w:hideMark/>
          </w:tcPr>
          <w:p w14:paraId="7D014A25"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700 million</w:t>
            </w:r>
          </w:p>
        </w:tc>
        <w:tc>
          <w:tcPr>
            <w:tcW w:w="0" w:type="auto"/>
            <w:vAlign w:val="center"/>
            <w:hideMark/>
          </w:tcPr>
          <w:p w14:paraId="358662C8"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130</w:t>
            </w:r>
          </w:p>
        </w:tc>
        <w:tc>
          <w:tcPr>
            <w:tcW w:w="0" w:type="auto"/>
            <w:vAlign w:val="center"/>
            <w:hideMark/>
          </w:tcPr>
          <w:p w14:paraId="7F88575D"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$14.3 billion</w:t>
            </w:r>
          </w:p>
        </w:tc>
      </w:tr>
      <w:tr w:rsidR="008B7F3A" w:rsidRPr="008B7F3A" w14:paraId="50D7C882" w14:textId="77777777">
        <w:trPr>
          <w:tblCellSpacing w:w="15" w:type="dxa"/>
        </w:trPr>
        <w:tc>
          <w:tcPr>
            <w:tcW w:w="0" w:type="auto"/>
            <w:vAlign w:val="center"/>
            <w:hideMark/>
          </w:tcPr>
          <w:p w14:paraId="243BDA6C"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lastRenderedPageBreak/>
              <w:t>Optimistic</w:t>
            </w:r>
          </w:p>
        </w:tc>
        <w:tc>
          <w:tcPr>
            <w:tcW w:w="0" w:type="auto"/>
            <w:vAlign w:val="center"/>
            <w:hideMark/>
          </w:tcPr>
          <w:p w14:paraId="273738E7"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Year 5 (2035)</w:t>
            </w:r>
          </w:p>
        </w:tc>
        <w:tc>
          <w:tcPr>
            <w:tcW w:w="0" w:type="auto"/>
            <w:vAlign w:val="center"/>
            <w:hideMark/>
          </w:tcPr>
          <w:p w14:paraId="0C8EBD54"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1.8 billion</w:t>
            </w:r>
          </w:p>
        </w:tc>
        <w:tc>
          <w:tcPr>
            <w:tcW w:w="0" w:type="auto"/>
            <w:vAlign w:val="center"/>
            <w:hideMark/>
          </w:tcPr>
          <w:p w14:paraId="5B01F6F6"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160</w:t>
            </w:r>
          </w:p>
        </w:tc>
        <w:tc>
          <w:tcPr>
            <w:tcW w:w="0" w:type="auto"/>
            <w:vAlign w:val="center"/>
            <w:hideMark/>
          </w:tcPr>
          <w:p w14:paraId="756C2517"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$52.7 billion</w:t>
            </w:r>
          </w:p>
        </w:tc>
      </w:tr>
      <w:tr w:rsidR="008B7F3A" w:rsidRPr="008B7F3A" w14:paraId="7EE9C2B8" w14:textId="77777777">
        <w:trPr>
          <w:tblCellSpacing w:w="15" w:type="dxa"/>
        </w:trPr>
        <w:tc>
          <w:tcPr>
            <w:tcW w:w="0" w:type="auto"/>
            <w:vAlign w:val="center"/>
            <w:hideMark/>
          </w:tcPr>
          <w:p w14:paraId="01340550"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Optimistic</w:t>
            </w:r>
          </w:p>
        </w:tc>
        <w:tc>
          <w:tcPr>
            <w:tcW w:w="0" w:type="auto"/>
            <w:vAlign w:val="center"/>
            <w:hideMark/>
          </w:tcPr>
          <w:p w14:paraId="43BC789F"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Year 7 (2037)</w:t>
            </w:r>
          </w:p>
        </w:tc>
        <w:tc>
          <w:tcPr>
            <w:tcW w:w="0" w:type="auto"/>
            <w:vAlign w:val="center"/>
            <w:hideMark/>
          </w:tcPr>
          <w:p w14:paraId="306C4C32"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3.2 billion</w:t>
            </w:r>
          </w:p>
        </w:tc>
        <w:tc>
          <w:tcPr>
            <w:tcW w:w="0" w:type="auto"/>
            <w:vAlign w:val="center"/>
            <w:hideMark/>
          </w:tcPr>
          <w:p w14:paraId="45B3F6B3"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175</w:t>
            </w:r>
          </w:p>
        </w:tc>
        <w:tc>
          <w:tcPr>
            <w:tcW w:w="0" w:type="auto"/>
            <w:vAlign w:val="center"/>
            <w:hideMark/>
          </w:tcPr>
          <w:p w14:paraId="240C1762"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$153.0 billion</w:t>
            </w:r>
          </w:p>
        </w:tc>
      </w:tr>
      <w:tr w:rsidR="008B7F3A" w:rsidRPr="008B7F3A" w14:paraId="7A8161C6" w14:textId="77777777">
        <w:trPr>
          <w:tblCellSpacing w:w="15" w:type="dxa"/>
        </w:trPr>
        <w:tc>
          <w:tcPr>
            <w:tcW w:w="0" w:type="auto"/>
            <w:vAlign w:val="center"/>
            <w:hideMark/>
          </w:tcPr>
          <w:p w14:paraId="68E00EEB"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Optimistic</w:t>
            </w:r>
          </w:p>
        </w:tc>
        <w:tc>
          <w:tcPr>
            <w:tcW w:w="0" w:type="auto"/>
            <w:vAlign w:val="center"/>
            <w:hideMark/>
          </w:tcPr>
          <w:p w14:paraId="76A933CC"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Year 10 (2040)</w:t>
            </w:r>
          </w:p>
        </w:tc>
        <w:tc>
          <w:tcPr>
            <w:tcW w:w="0" w:type="auto"/>
            <w:vAlign w:val="center"/>
            <w:hideMark/>
          </w:tcPr>
          <w:p w14:paraId="5434FE90"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5.5 billion</w:t>
            </w:r>
          </w:p>
        </w:tc>
        <w:tc>
          <w:tcPr>
            <w:tcW w:w="0" w:type="auto"/>
            <w:vAlign w:val="center"/>
            <w:hideMark/>
          </w:tcPr>
          <w:p w14:paraId="1016B1E8"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185</w:t>
            </w:r>
          </w:p>
        </w:tc>
        <w:tc>
          <w:tcPr>
            <w:tcW w:w="0" w:type="auto"/>
            <w:vAlign w:val="center"/>
            <w:hideMark/>
          </w:tcPr>
          <w:p w14:paraId="51B3D1B8"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$458.7 billion</w:t>
            </w:r>
          </w:p>
        </w:tc>
      </w:tr>
      <w:tr w:rsidR="008B7F3A" w:rsidRPr="008B7F3A" w14:paraId="33FF0B05" w14:textId="77777777">
        <w:trPr>
          <w:tblCellSpacing w:w="15" w:type="dxa"/>
        </w:trPr>
        <w:tc>
          <w:tcPr>
            <w:tcW w:w="0" w:type="auto"/>
            <w:vAlign w:val="center"/>
            <w:hideMark/>
          </w:tcPr>
          <w:p w14:paraId="5090D247"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Neutral</w:t>
            </w:r>
          </w:p>
        </w:tc>
        <w:tc>
          <w:tcPr>
            <w:tcW w:w="0" w:type="auto"/>
            <w:vAlign w:val="center"/>
            <w:hideMark/>
          </w:tcPr>
          <w:p w14:paraId="5EDFD677"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Year 1 (2031)</w:t>
            </w:r>
          </w:p>
        </w:tc>
        <w:tc>
          <w:tcPr>
            <w:tcW w:w="0" w:type="auto"/>
            <w:vAlign w:val="center"/>
            <w:hideMark/>
          </w:tcPr>
          <w:p w14:paraId="4C3389EB"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150 million</w:t>
            </w:r>
          </w:p>
        </w:tc>
        <w:tc>
          <w:tcPr>
            <w:tcW w:w="0" w:type="auto"/>
            <w:vAlign w:val="center"/>
            <w:hideMark/>
          </w:tcPr>
          <w:p w14:paraId="703ECB6B"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70</w:t>
            </w:r>
          </w:p>
        </w:tc>
        <w:tc>
          <w:tcPr>
            <w:tcW w:w="0" w:type="auto"/>
            <w:vAlign w:val="center"/>
            <w:hideMark/>
          </w:tcPr>
          <w:p w14:paraId="340EB9EA"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$1.2 billion</w:t>
            </w:r>
          </w:p>
        </w:tc>
      </w:tr>
      <w:tr w:rsidR="008B7F3A" w:rsidRPr="008B7F3A" w14:paraId="58D1E080" w14:textId="77777777">
        <w:trPr>
          <w:tblCellSpacing w:w="15" w:type="dxa"/>
        </w:trPr>
        <w:tc>
          <w:tcPr>
            <w:tcW w:w="0" w:type="auto"/>
            <w:vAlign w:val="center"/>
            <w:hideMark/>
          </w:tcPr>
          <w:p w14:paraId="5A567D75"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Neutral</w:t>
            </w:r>
          </w:p>
        </w:tc>
        <w:tc>
          <w:tcPr>
            <w:tcW w:w="0" w:type="auto"/>
            <w:vAlign w:val="center"/>
            <w:hideMark/>
          </w:tcPr>
          <w:p w14:paraId="4317C5A6"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Year 3 (2033)</w:t>
            </w:r>
          </w:p>
        </w:tc>
        <w:tc>
          <w:tcPr>
            <w:tcW w:w="0" w:type="auto"/>
            <w:vAlign w:val="center"/>
            <w:hideMark/>
          </w:tcPr>
          <w:p w14:paraId="02064A79"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550 million</w:t>
            </w:r>
          </w:p>
        </w:tc>
        <w:tc>
          <w:tcPr>
            <w:tcW w:w="0" w:type="auto"/>
            <w:vAlign w:val="center"/>
            <w:hideMark/>
          </w:tcPr>
          <w:p w14:paraId="4663BD47"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110</w:t>
            </w:r>
          </w:p>
        </w:tc>
        <w:tc>
          <w:tcPr>
            <w:tcW w:w="0" w:type="auto"/>
            <w:vAlign w:val="center"/>
            <w:hideMark/>
          </w:tcPr>
          <w:p w14:paraId="7B6124E8"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$10.9 billion</w:t>
            </w:r>
          </w:p>
        </w:tc>
      </w:tr>
      <w:tr w:rsidR="008B7F3A" w:rsidRPr="008B7F3A" w14:paraId="124E3CE3" w14:textId="77777777">
        <w:trPr>
          <w:tblCellSpacing w:w="15" w:type="dxa"/>
        </w:trPr>
        <w:tc>
          <w:tcPr>
            <w:tcW w:w="0" w:type="auto"/>
            <w:vAlign w:val="center"/>
            <w:hideMark/>
          </w:tcPr>
          <w:p w14:paraId="069E70E2"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Neutral</w:t>
            </w:r>
          </w:p>
        </w:tc>
        <w:tc>
          <w:tcPr>
            <w:tcW w:w="0" w:type="auto"/>
            <w:vAlign w:val="center"/>
            <w:hideMark/>
          </w:tcPr>
          <w:p w14:paraId="075D548A"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Year 5 (2035)</w:t>
            </w:r>
          </w:p>
        </w:tc>
        <w:tc>
          <w:tcPr>
            <w:tcW w:w="0" w:type="auto"/>
            <w:vAlign w:val="center"/>
            <w:hideMark/>
          </w:tcPr>
          <w:p w14:paraId="2280DBB8"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1.4 billion</w:t>
            </w:r>
          </w:p>
        </w:tc>
        <w:tc>
          <w:tcPr>
            <w:tcW w:w="0" w:type="auto"/>
            <w:vAlign w:val="center"/>
            <w:hideMark/>
          </w:tcPr>
          <w:p w14:paraId="4479F46A"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140</w:t>
            </w:r>
          </w:p>
        </w:tc>
        <w:tc>
          <w:tcPr>
            <w:tcW w:w="0" w:type="auto"/>
            <w:vAlign w:val="center"/>
            <w:hideMark/>
          </w:tcPr>
          <w:p w14:paraId="15A266CB"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$38.8 billion</w:t>
            </w:r>
          </w:p>
        </w:tc>
      </w:tr>
      <w:tr w:rsidR="008B7F3A" w:rsidRPr="008B7F3A" w14:paraId="60C1A318" w14:textId="77777777">
        <w:trPr>
          <w:tblCellSpacing w:w="15" w:type="dxa"/>
        </w:trPr>
        <w:tc>
          <w:tcPr>
            <w:tcW w:w="0" w:type="auto"/>
            <w:vAlign w:val="center"/>
            <w:hideMark/>
          </w:tcPr>
          <w:p w14:paraId="5E827A59"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Neutral</w:t>
            </w:r>
          </w:p>
        </w:tc>
        <w:tc>
          <w:tcPr>
            <w:tcW w:w="0" w:type="auto"/>
            <w:vAlign w:val="center"/>
            <w:hideMark/>
          </w:tcPr>
          <w:p w14:paraId="4E9C96C7"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Year 7 (2037)</w:t>
            </w:r>
          </w:p>
        </w:tc>
        <w:tc>
          <w:tcPr>
            <w:tcW w:w="0" w:type="auto"/>
            <w:vAlign w:val="center"/>
            <w:hideMark/>
          </w:tcPr>
          <w:p w14:paraId="68512017"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2.6 billion</w:t>
            </w:r>
          </w:p>
        </w:tc>
        <w:tc>
          <w:tcPr>
            <w:tcW w:w="0" w:type="auto"/>
            <w:vAlign w:val="center"/>
            <w:hideMark/>
          </w:tcPr>
          <w:p w14:paraId="0B48FD5B"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160</w:t>
            </w:r>
          </w:p>
        </w:tc>
        <w:tc>
          <w:tcPr>
            <w:tcW w:w="0" w:type="auto"/>
            <w:vAlign w:val="center"/>
            <w:hideMark/>
          </w:tcPr>
          <w:p w14:paraId="0A2C4E39"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$111.8 billion</w:t>
            </w:r>
          </w:p>
        </w:tc>
      </w:tr>
      <w:tr w:rsidR="008B7F3A" w:rsidRPr="008B7F3A" w14:paraId="72F37976" w14:textId="77777777">
        <w:trPr>
          <w:tblCellSpacing w:w="15" w:type="dxa"/>
        </w:trPr>
        <w:tc>
          <w:tcPr>
            <w:tcW w:w="0" w:type="auto"/>
            <w:vAlign w:val="center"/>
            <w:hideMark/>
          </w:tcPr>
          <w:p w14:paraId="7F9AA702"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Neutral</w:t>
            </w:r>
          </w:p>
        </w:tc>
        <w:tc>
          <w:tcPr>
            <w:tcW w:w="0" w:type="auto"/>
            <w:vAlign w:val="center"/>
            <w:hideMark/>
          </w:tcPr>
          <w:p w14:paraId="6B05E904"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Year 10 (2040)</w:t>
            </w:r>
          </w:p>
        </w:tc>
        <w:tc>
          <w:tcPr>
            <w:tcW w:w="0" w:type="auto"/>
            <w:vAlign w:val="center"/>
            <w:hideMark/>
          </w:tcPr>
          <w:p w14:paraId="5CC930DE"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4.5 billion</w:t>
            </w:r>
          </w:p>
        </w:tc>
        <w:tc>
          <w:tcPr>
            <w:tcW w:w="0" w:type="auto"/>
            <w:vAlign w:val="center"/>
            <w:hideMark/>
          </w:tcPr>
          <w:p w14:paraId="2D649C93"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175</w:t>
            </w:r>
          </w:p>
        </w:tc>
        <w:tc>
          <w:tcPr>
            <w:tcW w:w="0" w:type="auto"/>
            <w:vAlign w:val="center"/>
            <w:hideMark/>
          </w:tcPr>
          <w:p w14:paraId="07D78AC6"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$328.1 billion</w:t>
            </w:r>
          </w:p>
        </w:tc>
      </w:tr>
      <w:tr w:rsidR="008B7F3A" w:rsidRPr="008B7F3A" w14:paraId="4B44E44D" w14:textId="77777777">
        <w:trPr>
          <w:tblCellSpacing w:w="15" w:type="dxa"/>
        </w:trPr>
        <w:tc>
          <w:tcPr>
            <w:tcW w:w="0" w:type="auto"/>
            <w:vAlign w:val="center"/>
            <w:hideMark/>
          </w:tcPr>
          <w:p w14:paraId="0187922A"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Conservative</w:t>
            </w:r>
          </w:p>
        </w:tc>
        <w:tc>
          <w:tcPr>
            <w:tcW w:w="0" w:type="auto"/>
            <w:vAlign w:val="center"/>
            <w:hideMark/>
          </w:tcPr>
          <w:p w14:paraId="48FF171F"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Year 1 (2031)</w:t>
            </w:r>
          </w:p>
        </w:tc>
        <w:tc>
          <w:tcPr>
            <w:tcW w:w="0" w:type="auto"/>
            <w:vAlign w:val="center"/>
            <w:hideMark/>
          </w:tcPr>
          <w:p w14:paraId="7D26CD23"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100 million</w:t>
            </w:r>
          </w:p>
        </w:tc>
        <w:tc>
          <w:tcPr>
            <w:tcW w:w="0" w:type="auto"/>
            <w:vAlign w:val="center"/>
            <w:hideMark/>
          </w:tcPr>
          <w:p w14:paraId="5498AAF4"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60</w:t>
            </w:r>
          </w:p>
        </w:tc>
        <w:tc>
          <w:tcPr>
            <w:tcW w:w="0" w:type="auto"/>
            <w:vAlign w:val="center"/>
            <w:hideMark/>
          </w:tcPr>
          <w:p w14:paraId="7FE33A6A"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$0.8 billion</w:t>
            </w:r>
          </w:p>
        </w:tc>
      </w:tr>
      <w:tr w:rsidR="008B7F3A" w:rsidRPr="008B7F3A" w14:paraId="6C306C31" w14:textId="77777777">
        <w:trPr>
          <w:tblCellSpacing w:w="15" w:type="dxa"/>
        </w:trPr>
        <w:tc>
          <w:tcPr>
            <w:tcW w:w="0" w:type="auto"/>
            <w:vAlign w:val="center"/>
            <w:hideMark/>
          </w:tcPr>
          <w:p w14:paraId="2CF7381D"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Conservative</w:t>
            </w:r>
          </w:p>
        </w:tc>
        <w:tc>
          <w:tcPr>
            <w:tcW w:w="0" w:type="auto"/>
            <w:vAlign w:val="center"/>
            <w:hideMark/>
          </w:tcPr>
          <w:p w14:paraId="233077B8"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Year 3 (2033)</w:t>
            </w:r>
          </w:p>
        </w:tc>
        <w:tc>
          <w:tcPr>
            <w:tcW w:w="0" w:type="auto"/>
            <w:vAlign w:val="center"/>
            <w:hideMark/>
          </w:tcPr>
          <w:p w14:paraId="156D96C0"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400 million</w:t>
            </w:r>
          </w:p>
        </w:tc>
        <w:tc>
          <w:tcPr>
            <w:tcW w:w="0" w:type="auto"/>
            <w:vAlign w:val="center"/>
            <w:hideMark/>
          </w:tcPr>
          <w:p w14:paraId="283D137A"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90</w:t>
            </w:r>
          </w:p>
        </w:tc>
        <w:tc>
          <w:tcPr>
            <w:tcW w:w="0" w:type="auto"/>
            <w:vAlign w:val="center"/>
            <w:hideMark/>
          </w:tcPr>
          <w:p w14:paraId="4A20ECFC"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$7.6 billion</w:t>
            </w:r>
          </w:p>
        </w:tc>
      </w:tr>
      <w:tr w:rsidR="008B7F3A" w:rsidRPr="008B7F3A" w14:paraId="0D94710E" w14:textId="77777777">
        <w:trPr>
          <w:tblCellSpacing w:w="15" w:type="dxa"/>
        </w:trPr>
        <w:tc>
          <w:tcPr>
            <w:tcW w:w="0" w:type="auto"/>
            <w:vAlign w:val="center"/>
            <w:hideMark/>
          </w:tcPr>
          <w:p w14:paraId="18B37C2E"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Conservative</w:t>
            </w:r>
          </w:p>
        </w:tc>
        <w:tc>
          <w:tcPr>
            <w:tcW w:w="0" w:type="auto"/>
            <w:vAlign w:val="center"/>
            <w:hideMark/>
          </w:tcPr>
          <w:p w14:paraId="38AFA53D"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Year 5 (2035)</w:t>
            </w:r>
          </w:p>
        </w:tc>
        <w:tc>
          <w:tcPr>
            <w:tcW w:w="0" w:type="auto"/>
            <w:vAlign w:val="center"/>
            <w:hideMark/>
          </w:tcPr>
          <w:p w14:paraId="4562D54C"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1.0 billion</w:t>
            </w:r>
          </w:p>
        </w:tc>
        <w:tc>
          <w:tcPr>
            <w:tcW w:w="0" w:type="auto"/>
            <w:vAlign w:val="center"/>
            <w:hideMark/>
          </w:tcPr>
          <w:p w14:paraId="7B9DB107"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120</w:t>
            </w:r>
          </w:p>
        </w:tc>
        <w:tc>
          <w:tcPr>
            <w:tcW w:w="0" w:type="auto"/>
            <w:vAlign w:val="center"/>
            <w:hideMark/>
          </w:tcPr>
          <w:p w14:paraId="6B9D5360"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$26.8 billion</w:t>
            </w:r>
          </w:p>
        </w:tc>
      </w:tr>
      <w:tr w:rsidR="008B7F3A" w:rsidRPr="008B7F3A" w14:paraId="0F3C5385" w14:textId="77777777">
        <w:trPr>
          <w:tblCellSpacing w:w="15" w:type="dxa"/>
        </w:trPr>
        <w:tc>
          <w:tcPr>
            <w:tcW w:w="0" w:type="auto"/>
            <w:vAlign w:val="center"/>
            <w:hideMark/>
          </w:tcPr>
          <w:p w14:paraId="12C1DE36"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Conservative</w:t>
            </w:r>
          </w:p>
        </w:tc>
        <w:tc>
          <w:tcPr>
            <w:tcW w:w="0" w:type="auto"/>
            <w:vAlign w:val="center"/>
            <w:hideMark/>
          </w:tcPr>
          <w:p w14:paraId="327672F8"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Year 7 (2037)</w:t>
            </w:r>
          </w:p>
        </w:tc>
        <w:tc>
          <w:tcPr>
            <w:tcW w:w="0" w:type="auto"/>
            <w:vAlign w:val="center"/>
            <w:hideMark/>
          </w:tcPr>
          <w:p w14:paraId="05255429"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2.0 billion</w:t>
            </w:r>
          </w:p>
        </w:tc>
        <w:tc>
          <w:tcPr>
            <w:tcW w:w="0" w:type="auto"/>
            <w:vAlign w:val="center"/>
            <w:hideMark/>
          </w:tcPr>
          <w:p w14:paraId="041A67FD"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145</w:t>
            </w:r>
          </w:p>
        </w:tc>
        <w:tc>
          <w:tcPr>
            <w:tcW w:w="0" w:type="auto"/>
            <w:vAlign w:val="center"/>
            <w:hideMark/>
          </w:tcPr>
          <w:p w14:paraId="04140624"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$75.6 billion</w:t>
            </w:r>
          </w:p>
        </w:tc>
      </w:tr>
      <w:tr w:rsidR="008B7F3A" w:rsidRPr="008B7F3A" w14:paraId="1ED526D6" w14:textId="77777777">
        <w:trPr>
          <w:tblCellSpacing w:w="15" w:type="dxa"/>
        </w:trPr>
        <w:tc>
          <w:tcPr>
            <w:tcW w:w="0" w:type="auto"/>
            <w:vAlign w:val="center"/>
            <w:hideMark/>
          </w:tcPr>
          <w:p w14:paraId="185CD0E3"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Conservative</w:t>
            </w:r>
          </w:p>
        </w:tc>
        <w:tc>
          <w:tcPr>
            <w:tcW w:w="0" w:type="auto"/>
            <w:vAlign w:val="center"/>
            <w:hideMark/>
          </w:tcPr>
          <w:p w14:paraId="3BC65774"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Year 10 (2040)</w:t>
            </w:r>
          </w:p>
        </w:tc>
        <w:tc>
          <w:tcPr>
            <w:tcW w:w="0" w:type="auto"/>
            <w:vAlign w:val="center"/>
            <w:hideMark/>
          </w:tcPr>
          <w:p w14:paraId="4315BF74"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3.5 billion</w:t>
            </w:r>
          </w:p>
        </w:tc>
        <w:tc>
          <w:tcPr>
            <w:tcW w:w="0" w:type="auto"/>
            <w:vAlign w:val="center"/>
            <w:hideMark/>
          </w:tcPr>
          <w:p w14:paraId="345E9577"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160</w:t>
            </w:r>
          </w:p>
        </w:tc>
        <w:tc>
          <w:tcPr>
            <w:tcW w:w="0" w:type="auto"/>
            <w:vAlign w:val="center"/>
            <w:hideMark/>
          </w:tcPr>
          <w:p w14:paraId="2B98C548"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$217.4 billion</w:t>
            </w:r>
          </w:p>
        </w:tc>
      </w:tr>
    </w:tbl>
    <w:p w14:paraId="723FA4C0"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The table is the foundation for the rest of this article. Everything that follows — what the fund can acquire, what members receive in dividends, what economic effects become visible — is a calculated consequence of these capital figures. Readers can look at the table, identify the scenario and year that matters to them, and understand what's possible at that scale.</w:t>
      </w:r>
    </w:p>
    <w:p w14:paraId="0EA03EC2"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A few observations from the table itself. First, the capital differences between scenarios are substantial but not enormous in absolute terms during the early years. In Year 1, the optimistic scenario provides twice the capital of the conservative scenario, but the difference is between $1.6 billion and $0.8 billion — both modest amounts in global economic terms. By Year 10, the difference between scenarios is more meaningful: $458 billion versus $217 billion. The compounding of membership growth and margin-trajectory reinvestment produces significant divergence over time.</w:t>
      </w:r>
    </w:p>
    <w:p w14:paraId="34944642"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 xml:space="preserve">Second, the margin-trajectory reinvestment becomes the dominant source of capital by Year 5 in all scenarios. Member contributions provide the foundation, but the reinvestment </w:t>
      </w:r>
      <w:r w:rsidRPr="008B7F3A">
        <w:rPr>
          <w:rFonts w:asciiTheme="minorHAnsi" w:eastAsiaTheme="minorHAnsi" w:hAnsiTheme="minorHAnsi" w:cstheme="minorBidi"/>
          <w:kern w:val="2"/>
          <w14:ligatures w14:val="standardContextual"/>
        </w:rPr>
        <w:lastRenderedPageBreak/>
        <w:t>from acquired companies (the difference between competitor margins and the fund's 10% target) provides the engine of accelerating growth. This is structurally important: the fund's growth is increasingly self-funded once acquisitions are operating. It is not primarily dependent on member contribution growth after the first few years.</w:t>
      </w:r>
    </w:p>
    <w:p w14:paraId="37582B24"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Third, the country count grows more slowly than membership. New countries become possible as the fund builds regulatory expertise and political legitimacy, but rapid expansion to new countries is hard work. Most growth in later years comes from deeper penetration in countries already entered, not from adding new countries.</w:t>
      </w:r>
    </w:p>
    <w:p w14:paraId="4C7BE3C3"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b/>
          <w:bCs/>
          <w:kern w:val="2"/>
          <w14:ligatures w14:val="standardContextual"/>
        </w:rPr>
        <w:t>What the available capital can buy: acquisitions</w:t>
      </w:r>
    </w:p>
    <w:p w14:paraId="47DD87F5"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The capital available each year funds acquisitions and operational infrastructure. The pacing of acquisitions follows the wave structure described in sub-article 3: essentials and financial infrastructure first, then labor-intensive manufacturing and healthcare, then capital-intensive industries, then the harder Wave 4 industries last.</w:t>
      </w:r>
    </w:p>
    <w:p w14:paraId="18B58CDC"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In Year 1 (2031), with available capital ranging from $0.8 to $1.6 billion, the fund makes its first acquisitions. This capital can buy small to mid-cap companies in essential goods industries — mid-sized generic pharmaceutical manufacturers in markets with strong generic drug regulation, basic food processing companies, basic consumer goods manufacturers, possibly regional water utility operators. Acquisition sizes in this first year are typically $200 million to $1 billion per acquisition. The fund completes perhaps 2-5 acquisitions in the first year, focused on demonstrating operational capability rather than dominating any industry. The digital banks open in pilot countries (Ireland, South Africa, Brazil, India, Indonesia, the Philippines, others depending on regulatory progress) and begin processing member contributions. The card network launches on a limited basis.</w:t>
      </w:r>
    </w:p>
    <w:p w14:paraId="07E99902"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In Year 3 (2033), with available capital ranging from $7.6 to $14.3 billion, the fund's capacity expands substantially. The pacing of acquisitions accelerates because the fund has both more capital and more operational experience. Mid-cap acquisitions in the $1-5 billion range become routine. Larger acquisitions in the $5-15 billion range become possible. The fund has completed perhaps 10-20 acquisitions cumulatively, with total acquired assets between $20 and $50 billion across the three scenarios. First fund-owned healthcare services begin in countries with strong universal healthcare systems where the fund operates on the supplementary layer (Brazil, Colombia, parts of Southeast Asia). Digital banks now operate in 60-90 countries.</w:t>
      </w:r>
    </w:p>
    <w:p w14:paraId="279FA756"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 xml:space="preserve">In Year 5 (2035), with available capital ranging from $27 to $53 billion, the fund is now a substantial economic actor. The annual capital exceeds what most private equity firms deploy in a year. Cumulative acquired assets reach $80-200 billion across scenarios. The </w:t>
      </w:r>
      <w:r w:rsidRPr="008B7F3A">
        <w:rPr>
          <w:rFonts w:asciiTheme="minorHAnsi" w:eastAsiaTheme="minorHAnsi" w:hAnsiTheme="minorHAnsi" w:cstheme="minorBidi"/>
          <w:kern w:val="2"/>
          <w14:ligatures w14:val="standardContextual"/>
        </w:rPr>
        <w:lastRenderedPageBreak/>
        <w:t>fund has entered Wave 2 substantively — labor-intensive manufacturing acquisitions are happening alongside essentials, healthcare services have expanded to operate in countries with weaker universal coverage including parts of the United States. The card network reaches 200-500 million users globally. The first manufacturing redistribution from Part 3's framework becomes visible — fund-owned textile facilities formalizing tens of thousands of previously informal workers, fund-owned electronics assembly creating new manufacturing employment in countries that had been excluded from these supply chains.</w:t>
      </w:r>
    </w:p>
    <w:p w14:paraId="32E35E44"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In Year 7 (2037), with available capital ranging from $76 to $153 billion, the fund's annual deployment capacity rivals the largest sovereign wealth funds and exceeds most private equity. Cumulative acquired assets reach $250-500 billion. The fund is solidly in Wave 2 and beginning Wave 3 — first acquisitions in steel, cement, and base materials industries. The card network reaches 1-2 billion users in major markets. Manufacturing redistribution is now producing measurable employment gains in target regions.</w:t>
      </w:r>
    </w:p>
    <w:p w14:paraId="57A4303E"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In Year 10 (2040), with available capital ranging from $217 to $459 billion annually, the fund has reached the scale at which it becomes one of the major economic institutions in the world. Cumulative acquired assets reach $900 billion to $1.8 trillion across the three scenarios. The fund has completed Wave 1 substantively, made meaningful progress in Wave 2, and begun Wave 3. The fund's overall economic footprint is now 2-5% of global productive activity — meaningful but still far from the eventual 12-18% target that defines the steady state. The fund is genuinely large but still in its foundational period.</w:t>
      </w:r>
    </w:p>
    <w:p w14:paraId="50DB96AF"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The table makes one thing clear: the fund's first decade is the foundation, not the transformation. The transformational effects come in years 10-30 as the fund's capital base compounds, its membership matures, and its industries enter Wave 3 and Wave 4 categories. A reader expecting the first decade to deliver the steady-state outcomes described in earlier articles will be disappointed. The first decade builds the conditions for those outcomes to be possible later.</w:t>
      </w:r>
    </w:p>
    <w:p w14:paraId="1330A173"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b/>
          <w:bCs/>
          <w:kern w:val="2"/>
          <w14:ligatures w14:val="standardContextual"/>
        </w:rPr>
        <w:t>What members actually receive: the dividend trajectory</w:t>
      </w:r>
    </w:p>
    <w:p w14:paraId="4BAE8581"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The dividend a member receives is the fund's profit divided by the number of members. Profit comes from operating companies acquired and managed by the fund. At the fund's 10% target margin, annual profit equals roughly 10% of cumulative invested capital deployed in operating companies (with some lag because acquired companies need time to integrate before producing full profits, and with adjustments for the margin trajectory during the years immediately after acquisition).</w:t>
      </w:r>
    </w:p>
    <w:p w14:paraId="01447FB5"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Working through the math honestly for each scenario at each milestone year produces the following dividend trajectory: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0"/>
        <w:gridCol w:w="1500"/>
        <w:gridCol w:w="898"/>
        <w:gridCol w:w="1224"/>
      </w:tblGrid>
      <w:tr w:rsidR="008B7F3A" w:rsidRPr="008B7F3A" w14:paraId="3FFBA7EB" w14:textId="77777777">
        <w:trPr>
          <w:tblHeader/>
          <w:tblCellSpacing w:w="15" w:type="dxa"/>
        </w:trPr>
        <w:tc>
          <w:tcPr>
            <w:tcW w:w="0" w:type="auto"/>
            <w:vAlign w:val="center"/>
            <w:hideMark/>
          </w:tcPr>
          <w:p w14:paraId="3BE3EE10" w14:textId="77777777" w:rsidR="008B7F3A" w:rsidRPr="008B7F3A" w:rsidRDefault="008B7F3A" w:rsidP="008B7F3A">
            <w:pPr>
              <w:spacing w:after="160" w:line="278" w:lineRule="auto"/>
              <w:rPr>
                <w:rFonts w:asciiTheme="minorHAnsi" w:eastAsiaTheme="minorHAnsi" w:hAnsiTheme="minorHAnsi" w:cstheme="minorBidi"/>
                <w:b/>
                <w:bCs/>
                <w:kern w:val="2"/>
                <w14:ligatures w14:val="standardContextual"/>
              </w:rPr>
            </w:pPr>
            <w:r w:rsidRPr="008B7F3A">
              <w:rPr>
                <w:rFonts w:asciiTheme="minorHAnsi" w:eastAsiaTheme="minorHAnsi" w:hAnsiTheme="minorHAnsi" w:cstheme="minorBidi"/>
                <w:b/>
                <w:bCs/>
                <w:kern w:val="2"/>
                <w14:ligatures w14:val="standardContextual"/>
              </w:rPr>
              <w:lastRenderedPageBreak/>
              <w:t>Year</w:t>
            </w:r>
          </w:p>
        </w:tc>
        <w:tc>
          <w:tcPr>
            <w:tcW w:w="0" w:type="auto"/>
            <w:vAlign w:val="center"/>
            <w:hideMark/>
          </w:tcPr>
          <w:p w14:paraId="3230B534" w14:textId="77777777" w:rsidR="008B7F3A" w:rsidRPr="008B7F3A" w:rsidRDefault="008B7F3A" w:rsidP="008B7F3A">
            <w:pPr>
              <w:spacing w:after="160" w:line="278" w:lineRule="auto"/>
              <w:rPr>
                <w:rFonts w:asciiTheme="minorHAnsi" w:eastAsiaTheme="minorHAnsi" w:hAnsiTheme="minorHAnsi" w:cstheme="minorBidi"/>
                <w:b/>
                <w:bCs/>
                <w:kern w:val="2"/>
                <w14:ligatures w14:val="standardContextual"/>
              </w:rPr>
            </w:pPr>
            <w:r w:rsidRPr="008B7F3A">
              <w:rPr>
                <w:rFonts w:asciiTheme="minorHAnsi" w:eastAsiaTheme="minorHAnsi" w:hAnsiTheme="minorHAnsi" w:cstheme="minorBidi"/>
                <w:b/>
                <w:bCs/>
                <w:kern w:val="2"/>
                <w14:ligatures w14:val="standardContextual"/>
              </w:rPr>
              <w:t>Conservative</w:t>
            </w:r>
          </w:p>
        </w:tc>
        <w:tc>
          <w:tcPr>
            <w:tcW w:w="0" w:type="auto"/>
            <w:vAlign w:val="center"/>
            <w:hideMark/>
          </w:tcPr>
          <w:p w14:paraId="11A46595" w14:textId="77777777" w:rsidR="008B7F3A" w:rsidRPr="008B7F3A" w:rsidRDefault="008B7F3A" w:rsidP="008B7F3A">
            <w:pPr>
              <w:spacing w:after="160" w:line="278" w:lineRule="auto"/>
              <w:rPr>
                <w:rFonts w:asciiTheme="minorHAnsi" w:eastAsiaTheme="minorHAnsi" w:hAnsiTheme="minorHAnsi" w:cstheme="minorBidi"/>
                <w:b/>
                <w:bCs/>
                <w:kern w:val="2"/>
                <w14:ligatures w14:val="standardContextual"/>
              </w:rPr>
            </w:pPr>
            <w:r w:rsidRPr="008B7F3A">
              <w:rPr>
                <w:rFonts w:asciiTheme="minorHAnsi" w:eastAsiaTheme="minorHAnsi" w:hAnsiTheme="minorHAnsi" w:cstheme="minorBidi"/>
                <w:b/>
                <w:bCs/>
                <w:kern w:val="2"/>
                <w14:ligatures w14:val="standardContextual"/>
              </w:rPr>
              <w:t>Neutral</w:t>
            </w:r>
          </w:p>
        </w:tc>
        <w:tc>
          <w:tcPr>
            <w:tcW w:w="0" w:type="auto"/>
            <w:vAlign w:val="center"/>
            <w:hideMark/>
          </w:tcPr>
          <w:p w14:paraId="6AD9C8DD" w14:textId="77777777" w:rsidR="008B7F3A" w:rsidRPr="008B7F3A" w:rsidRDefault="008B7F3A" w:rsidP="008B7F3A">
            <w:pPr>
              <w:spacing w:after="160" w:line="278" w:lineRule="auto"/>
              <w:rPr>
                <w:rFonts w:asciiTheme="minorHAnsi" w:eastAsiaTheme="minorHAnsi" w:hAnsiTheme="minorHAnsi" w:cstheme="minorBidi"/>
                <w:b/>
                <w:bCs/>
                <w:kern w:val="2"/>
                <w14:ligatures w14:val="standardContextual"/>
              </w:rPr>
            </w:pPr>
            <w:r w:rsidRPr="008B7F3A">
              <w:rPr>
                <w:rFonts w:asciiTheme="minorHAnsi" w:eastAsiaTheme="minorHAnsi" w:hAnsiTheme="minorHAnsi" w:cstheme="minorBidi"/>
                <w:b/>
                <w:bCs/>
                <w:kern w:val="2"/>
                <w14:ligatures w14:val="standardContextual"/>
              </w:rPr>
              <w:t>Optimistic</w:t>
            </w:r>
          </w:p>
        </w:tc>
      </w:tr>
      <w:tr w:rsidR="008B7F3A" w:rsidRPr="008B7F3A" w14:paraId="48D2B845" w14:textId="77777777">
        <w:trPr>
          <w:tblCellSpacing w:w="15" w:type="dxa"/>
        </w:trPr>
        <w:tc>
          <w:tcPr>
            <w:tcW w:w="0" w:type="auto"/>
            <w:vAlign w:val="center"/>
            <w:hideMark/>
          </w:tcPr>
          <w:p w14:paraId="3465AFEC"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Year 1 (2031)</w:t>
            </w:r>
          </w:p>
        </w:tc>
        <w:tc>
          <w:tcPr>
            <w:tcW w:w="0" w:type="auto"/>
            <w:vAlign w:val="center"/>
            <w:hideMark/>
          </w:tcPr>
          <w:p w14:paraId="3C1ACA80" w14:textId="524D63F1"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~$0.</w:t>
            </w:r>
            <w:r>
              <w:rPr>
                <w:rFonts w:asciiTheme="minorHAnsi" w:eastAsiaTheme="minorHAnsi" w:hAnsiTheme="minorHAnsi" w:cstheme="minorBidi"/>
                <w:kern w:val="2"/>
                <w14:ligatures w14:val="standardContextual"/>
              </w:rPr>
              <w:t>4</w:t>
            </w:r>
            <w:r w:rsidRPr="008B7F3A">
              <w:rPr>
                <w:rFonts w:asciiTheme="minorHAnsi" w:eastAsiaTheme="minorHAnsi" w:hAnsiTheme="minorHAnsi" w:cstheme="minorBidi"/>
                <w:kern w:val="2"/>
                <w14:ligatures w14:val="standardContextual"/>
              </w:rPr>
              <w:t>0</w:t>
            </w:r>
          </w:p>
        </w:tc>
        <w:tc>
          <w:tcPr>
            <w:tcW w:w="0" w:type="auto"/>
            <w:vAlign w:val="center"/>
            <w:hideMark/>
          </w:tcPr>
          <w:p w14:paraId="6AD75B34" w14:textId="5D4F90AC"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~$0.</w:t>
            </w:r>
            <w:r>
              <w:rPr>
                <w:rFonts w:asciiTheme="minorHAnsi" w:eastAsiaTheme="minorHAnsi" w:hAnsiTheme="minorHAnsi" w:cstheme="minorBidi"/>
                <w:kern w:val="2"/>
                <w14:ligatures w14:val="standardContextual"/>
              </w:rPr>
              <w:t>4</w:t>
            </w:r>
            <w:r w:rsidRPr="008B7F3A">
              <w:rPr>
                <w:rFonts w:asciiTheme="minorHAnsi" w:eastAsiaTheme="minorHAnsi" w:hAnsiTheme="minorHAnsi" w:cstheme="minorBidi"/>
                <w:kern w:val="2"/>
                <w14:ligatures w14:val="standardContextual"/>
              </w:rPr>
              <w:t>7</w:t>
            </w:r>
          </w:p>
        </w:tc>
        <w:tc>
          <w:tcPr>
            <w:tcW w:w="0" w:type="auto"/>
            <w:vAlign w:val="center"/>
            <w:hideMark/>
          </w:tcPr>
          <w:p w14:paraId="62D2B766" w14:textId="27A04FAF"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~$0.</w:t>
            </w:r>
            <w:r>
              <w:rPr>
                <w:rFonts w:asciiTheme="minorHAnsi" w:eastAsiaTheme="minorHAnsi" w:hAnsiTheme="minorHAnsi" w:cstheme="minorBidi"/>
                <w:kern w:val="2"/>
                <w14:ligatures w14:val="standardContextual"/>
              </w:rPr>
              <w:t>6</w:t>
            </w:r>
            <w:r w:rsidRPr="008B7F3A">
              <w:rPr>
                <w:rFonts w:asciiTheme="minorHAnsi" w:eastAsiaTheme="minorHAnsi" w:hAnsiTheme="minorHAnsi" w:cstheme="minorBidi"/>
                <w:kern w:val="2"/>
                <w14:ligatures w14:val="standardContextual"/>
              </w:rPr>
              <w:t>0</w:t>
            </w:r>
          </w:p>
        </w:tc>
      </w:tr>
      <w:tr w:rsidR="008B7F3A" w:rsidRPr="008B7F3A" w14:paraId="778E4D13" w14:textId="77777777">
        <w:trPr>
          <w:tblCellSpacing w:w="15" w:type="dxa"/>
        </w:trPr>
        <w:tc>
          <w:tcPr>
            <w:tcW w:w="0" w:type="auto"/>
            <w:vAlign w:val="center"/>
            <w:hideMark/>
          </w:tcPr>
          <w:p w14:paraId="56F3FE57"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Year 3 (2033)</w:t>
            </w:r>
          </w:p>
        </w:tc>
        <w:tc>
          <w:tcPr>
            <w:tcW w:w="0" w:type="auto"/>
            <w:vAlign w:val="center"/>
            <w:hideMark/>
          </w:tcPr>
          <w:p w14:paraId="69713030"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~$3.75</w:t>
            </w:r>
          </w:p>
        </w:tc>
        <w:tc>
          <w:tcPr>
            <w:tcW w:w="0" w:type="auto"/>
            <w:vAlign w:val="center"/>
            <w:hideMark/>
          </w:tcPr>
          <w:p w14:paraId="36528073"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~$4.00</w:t>
            </w:r>
          </w:p>
        </w:tc>
        <w:tc>
          <w:tcPr>
            <w:tcW w:w="0" w:type="auto"/>
            <w:vAlign w:val="center"/>
            <w:hideMark/>
          </w:tcPr>
          <w:p w14:paraId="16167B8B"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~$4.29</w:t>
            </w:r>
          </w:p>
        </w:tc>
      </w:tr>
      <w:tr w:rsidR="008B7F3A" w:rsidRPr="008B7F3A" w14:paraId="03C51F22" w14:textId="77777777">
        <w:trPr>
          <w:tblCellSpacing w:w="15" w:type="dxa"/>
        </w:trPr>
        <w:tc>
          <w:tcPr>
            <w:tcW w:w="0" w:type="auto"/>
            <w:vAlign w:val="center"/>
            <w:hideMark/>
          </w:tcPr>
          <w:p w14:paraId="292FB9FB"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Year 5 (2035)</w:t>
            </w:r>
          </w:p>
        </w:tc>
        <w:tc>
          <w:tcPr>
            <w:tcW w:w="0" w:type="auto"/>
            <w:vAlign w:val="center"/>
            <w:hideMark/>
          </w:tcPr>
          <w:p w14:paraId="26FE9133"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~$7.50</w:t>
            </w:r>
          </w:p>
        </w:tc>
        <w:tc>
          <w:tcPr>
            <w:tcW w:w="0" w:type="auto"/>
            <w:vAlign w:val="center"/>
            <w:hideMark/>
          </w:tcPr>
          <w:p w14:paraId="0F152227"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~$7.86</w:t>
            </w:r>
          </w:p>
        </w:tc>
        <w:tc>
          <w:tcPr>
            <w:tcW w:w="0" w:type="auto"/>
            <w:vAlign w:val="center"/>
            <w:hideMark/>
          </w:tcPr>
          <w:p w14:paraId="38CBF6BA"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~$8.33</w:t>
            </w:r>
          </w:p>
        </w:tc>
      </w:tr>
      <w:tr w:rsidR="008B7F3A" w:rsidRPr="008B7F3A" w14:paraId="4B86A893" w14:textId="77777777">
        <w:trPr>
          <w:tblCellSpacing w:w="15" w:type="dxa"/>
        </w:trPr>
        <w:tc>
          <w:tcPr>
            <w:tcW w:w="0" w:type="auto"/>
            <w:vAlign w:val="center"/>
            <w:hideMark/>
          </w:tcPr>
          <w:p w14:paraId="3C47FB7F"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Year 7 (2037)</w:t>
            </w:r>
          </w:p>
        </w:tc>
        <w:tc>
          <w:tcPr>
            <w:tcW w:w="0" w:type="auto"/>
            <w:vAlign w:val="center"/>
            <w:hideMark/>
          </w:tcPr>
          <w:p w14:paraId="30880E0E"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~$12.50</w:t>
            </w:r>
          </w:p>
        </w:tc>
        <w:tc>
          <w:tcPr>
            <w:tcW w:w="0" w:type="auto"/>
            <w:vAlign w:val="center"/>
            <w:hideMark/>
          </w:tcPr>
          <w:p w14:paraId="6E8FFD89"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~$14.23</w:t>
            </w:r>
          </w:p>
        </w:tc>
        <w:tc>
          <w:tcPr>
            <w:tcW w:w="0" w:type="auto"/>
            <w:vAlign w:val="center"/>
            <w:hideMark/>
          </w:tcPr>
          <w:p w14:paraId="24FE516E"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~$15.62</w:t>
            </w:r>
          </w:p>
        </w:tc>
      </w:tr>
      <w:tr w:rsidR="008B7F3A" w:rsidRPr="008B7F3A" w14:paraId="38B35F89" w14:textId="77777777">
        <w:trPr>
          <w:tblCellSpacing w:w="15" w:type="dxa"/>
        </w:trPr>
        <w:tc>
          <w:tcPr>
            <w:tcW w:w="0" w:type="auto"/>
            <w:vAlign w:val="center"/>
            <w:hideMark/>
          </w:tcPr>
          <w:p w14:paraId="07FDF16A"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Year 10 (2040)</w:t>
            </w:r>
          </w:p>
        </w:tc>
        <w:tc>
          <w:tcPr>
            <w:tcW w:w="0" w:type="auto"/>
            <w:vAlign w:val="center"/>
            <w:hideMark/>
          </w:tcPr>
          <w:p w14:paraId="3423131A"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~$25.71</w:t>
            </w:r>
          </w:p>
        </w:tc>
        <w:tc>
          <w:tcPr>
            <w:tcW w:w="0" w:type="auto"/>
            <w:vAlign w:val="center"/>
            <w:hideMark/>
          </w:tcPr>
          <w:p w14:paraId="40A08AA3"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~$28.89</w:t>
            </w:r>
          </w:p>
        </w:tc>
        <w:tc>
          <w:tcPr>
            <w:tcW w:w="0" w:type="auto"/>
            <w:vAlign w:val="center"/>
            <w:hideMark/>
          </w:tcPr>
          <w:p w14:paraId="69F35FE9"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~$32.73</w:t>
            </w:r>
          </w:p>
        </w:tc>
      </w:tr>
    </w:tbl>
    <w:p w14:paraId="5464E834"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These numbers are sobering relative to the eventual steady-state dividend the fund is designed to produce, and the article needs to be honest about this. The first decade is the foundational period. Dividends are real, growing, and meaningfully larger each year, but they are not yet transformational in absolute terms. The transformational dividends arrive in years 20-30 as the fund's capital base compounds further and its share of global production approaches the 12-18% steady state.</w:t>
      </w:r>
    </w:p>
    <w:p w14:paraId="3E2D0023"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What does this mean in practice for members across the world?</w:t>
      </w:r>
    </w:p>
    <w:p w14:paraId="5F6B121C"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A member in Germany or the United States receives a Year 10 dividend of roughly $25-33. This is a modest amount — not negligible, but not life-changing either. A nice dinner, perhaps. A small contribution toward a household expense. The fund's value to this member during the first decade comes primarily from channels other than the dividend: access to fund-aligned banking without interest-extraction, access to fund-owned healthcare coverage at fair prices, support for local entrepreneurship through the fund's bank, and the satisfaction of participating in a project that addresses problems they care about. The dividend is real but it is not the primary economic benefit during this period.</w:t>
      </w:r>
    </w:p>
    <w:p w14:paraId="29A29C62"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A member in Brazil or Mexico receives the same Year 10 dividend of $25-33. In local purchasing power, this represents perhaps a week or two of median income for many households. Meaningful but supplementary. The same value through the other channels — banking, healthcare, business support — applies, and now the dividend itself begins to matter financially.</w:t>
      </w:r>
    </w:p>
    <w:p w14:paraId="5E5617C4"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A member in Vietnam or Indonesia receives the same dividend. In these economies, $25-33 represents roughly two to four weeks of median income. The dividend is now genuinely useful — it can fund school expenses, a small home improvement, payment on outstanding debt. The fund has become a meaningful supplemental income source by Year 10 in middle-income developing countries.</w:t>
      </w:r>
    </w:p>
    <w:p w14:paraId="27DAB4F0"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lastRenderedPageBreak/>
        <w:t>A member in Bangladesh, Nigeria, or rural India receives the same dividend. Here, $25-33 represents one to three months of median income depending on specific country and region. The dividend is now a substantial economic event in the household. Combined with the donation fund covering contributions for those who can't afford them, the fund's first decade brings real economic benefit to hundreds of millions of low-income households even before the dividend reaches its eventual scale.</w:t>
      </w:r>
    </w:p>
    <w:p w14:paraId="0C5C22E6"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The fund's effect on the poorest households in the first decade comes more from the manufacturing redistribution, from formal employment at fund-owned companies offering wages above local norms, from the fund's bank providing capital for entrepreneurship at terms that local banks would never offer, and from access to fund-owned healthcare and pharmaceuticals at prices below private alternatives — than from the dividend itself during this period. The dividend matters and grows, but it is one channel among several. By Year 10, all the channels are operating, and members can experience the fund as a multi-channel relationship rather than as a single annual payment.</w:t>
      </w:r>
    </w:p>
    <w:p w14:paraId="45B37E83"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b/>
          <w:bCs/>
          <w:kern w:val="2"/>
          <w14:ligatures w14:val="standardContextual"/>
        </w:rPr>
        <w:t>Migration, stabilization, and the longer arc</w:t>
      </w:r>
    </w:p>
    <w:p w14:paraId="120940D5"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The first decade's effect on global migration patterns is real but partial. The transformational effect on migration — the structural shift in why people leave their home countries — is a longer-arc project that begins in the first decade and continues for decades after.</w:t>
      </w:r>
    </w:p>
    <w:p w14:paraId="0808EBAC"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Migration today is driven by economic desperation in source countries combined with relative opportunity in destination countries. Worldwide, there were around 184 million migrants who left their home country in 2023. In 2023, remittances to low- and middle-income countries amounted to an estimated $656 billion. This exceeds international development aid and foreign direct investment combined. In more than 60 countries, remittances contribute 3% or more of GDP.</w:t>
      </w:r>
    </w:p>
    <w:p w14:paraId="5945D31D" w14:textId="7F9CEB3F"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Migration source countries are concentrated in regions where political instability, economic underdevelopment, and conflict combine to push people toward emigration. In the Caribbean, Central America, and Mexico, emigrants account for close to 10 percent of the population compared with about 2 percent on average for emerging market and developing economies.In Sub-Saharan Africa, migration toward Europe has become a defining political issue. Senegal, Nigeria, Mali, Sudan, Eritrea, Somalia, and many other countries are sources of young people making journeys at enormous personal risk because their home countries offer them inadequate economic opportunity. In Asia, the Philippines, Bangladesh, Sri Lanka, and Indonesia have economies structurally dependent on overseas worker remittances.</w:t>
      </w:r>
    </w:p>
    <w:p w14:paraId="66C0F120"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lastRenderedPageBreak/>
        <w:t>In the first decade, the fund's effect on these countries comes primarily through three channels:</w:t>
      </w:r>
    </w:p>
    <w:p w14:paraId="12EF408E"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First, the manufacturing redistribution from Part 3. Countries that have been excluded from global supply chains begin to receive fund-owned manufacturing facilities. Workers who would have considered emigration find formal employment opportunities at home. This effect grows from minimal in Year 1 to meaningful by Year 5 to substantial by Year 10. The countries that benefit most are those in Africa and Latin America where the fund's Informal Insertion scenario applies, plus parts of Asia where the fund builds new manufacturing capacity.</w:t>
      </w:r>
    </w:p>
    <w:p w14:paraId="7F8C3896"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Second, the fund's bank providing capital for local entrepreneurship. The bank's equity investment model with buyback rights, the zero-cost capital for fund-aligned local businesses, and the member investor marketplace produce new business formation in countries where conventional banking has been predatory or unavailable. By Year 10, hundreds of thousands of small businesses across the developing world exist that would not have existed under conventional banking conditions. These businesses employ family members and community members, providing alternatives to emigration.</w:t>
      </w:r>
    </w:p>
    <w:p w14:paraId="4163CAC1"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Third, the dividend itself, though modest in the first decade, providing a small but predictable supplemental income. A family receiving $25-33 per family member annually by Year 10 has additional household income that did not exist before. For families calculating whether emigration is necessary, this additional income changes the calculus marginally. Not enough alone to stop migration, but combined with the other channels, it contributes to the broader stabilization.</w:t>
      </w:r>
    </w:p>
    <w:p w14:paraId="2C66161F"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By Year 10, the fund's stabilizing effect on migration source countries is beginning to be visible but is not yet transformative. The migration flows have not stopped — they will continue for many reasons that are not purely economic — but the proportion of migration driven by pure economic desperation has begun to decrease in fund-served regions. Families that previously had no options other than sending a young adult abroad now have additional choices. Some still choose emigration. Some do not.</w:t>
      </w:r>
    </w:p>
    <w:p w14:paraId="636B6C17" w14:textId="5C513A4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 xml:space="preserve">The transformational stabilization </w:t>
      </w:r>
      <w:r>
        <w:rPr>
          <w:rFonts w:asciiTheme="minorHAnsi" w:eastAsiaTheme="minorHAnsi" w:hAnsiTheme="minorHAnsi" w:cstheme="minorBidi"/>
          <w:kern w:val="2"/>
          <w14:ligatures w14:val="standardContextual"/>
        </w:rPr>
        <w:t>unfolds over a longer trajectory</w:t>
      </w:r>
      <w:r w:rsidRPr="008B7F3A">
        <w:rPr>
          <w:rFonts w:asciiTheme="minorHAnsi" w:eastAsiaTheme="minorHAnsi" w:hAnsiTheme="minorHAnsi" w:cstheme="minorBidi"/>
          <w:kern w:val="2"/>
          <w14:ligatures w14:val="standardContextual"/>
        </w:rPr>
        <w:t>. By Year 20 (2050), with the fund operating at scale closer to the 12-18% steady state, the effect on migration patterns becomes substantial. The first decade is the period during which the foundations for this longer</w:t>
      </w:r>
      <w:r>
        <w:rPr>
          <w:rFonts w:asciiTheme="minorHAnsi" w:eastAsiaTheme="minorHAnsi" w:hAnsiTheme="minorHAnsi" w:cstheme="minorBidi"/>
          <w:kern w:val="2"/>
          <w14:ligatures w14:val="standardContextual"/>
        </w:rPr>
        <w:t xml:space="preserve"> overolution</w:t>
      </w:r>
      <w:r w:rsidRPr="008B7F3A">
        <w:rPr>
          <w:rFonts w:asciiTheme="minorHAnsi" w:eastAsiaTheme="minorHAnsi" w:hAnsiTheme="minorHAnsi" w:cstheme="minorBidi"/>
          <w:kern w:val="2"/>
          <w14:ligatures w14:val="standardContextual"/>
        </w:rPr>
        <w:t xml:space="preserve"> are built.</w:t>
      </w:r>
    </w:p>
    <w:p w14:paraId="2B1E9D7A"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 xml:space="preserve">The political consequences in destination countries follow a similar trajectory. Reduced migration pressure means reduced political polarization around immigration. The far-right movements across Europe and North America that have built their political appeal on </w:t>
      </w:r>
      <w:r w:rsidRPr="008B7F3A">
        <w:rPr>
          <w:rFonts w:asciiTheme="minorHAnsi" w:eastAsiaTheme="minorHAnsi" w:hAnsiTheme="minorHAnsi" w:cstheme="minorBidi"/>
          <w:kern w:val="2"/>
          <w14:ligatures w14:val="standardContextual"/>
        </w:rPr>
        <w:lastRenderedPageBreak/>
        <w:t>opposition to migration find their issue becoming gradually less salient. The center-leaning political space that the fund's design implicitly favors becomes more viable politically as the extreme issues that fuel far-right movements lose their urgency. In the first decade, this effect is incipient rather than dominant. By Year 20 and beyond, it becomes one of the more consequential political effects of the fund's existence.</w:t>
      </w:r>
    </w:p>
    <w:p w14:paraId="508C131B"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b/>
          <w:bCs/>
          <w:kern w:val="2"/>
          <w14:ligatures w14:val="standardContextual"/>
        </w:rPr>
        <w:t>Banking infrastructure as daily reality</w:t>
      </w:r>
    </w:p>
    <w:p w14:paraId="23F0925E"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The fund's digital banking infrastructure scales differently from acquisitions because it depends on regulatory approvals and consumer adoption rather than purely on capital. Even with the speed advantage of digital deployment — no physical branches to build, software platforms that can be replicated across jurisdictions, mobile-first design that meets users where they already are — each new country requires a banking license, central bank approval, anti-money-laundering compliance frameworks, and integration with local payment systems. These processes take time even when everything else is ready. By Year 10, the fund's digital banks have become substantial financial institutions in the countries where they operate, though the depth of integration varies significantly by country.</w:t>
      </w:r>
    </w:p>
    <w:p w14:paraId="5F2BE36F"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In Year 1 (2031), the fund's digital bank operates in 3-5 pilot countries depending on scenario. These are countries where the planning phase secured regulatory approvals during the 2027-2031 preparation period — most likely Ireland, Brazil, South Africa, India, and perhaps the Philippines or Indonesia. Most members continue to use existing financial relationships for daily banking; the fund's digital bank holds their monthly contributions and the modest early dividends. The card network launches in 1-3 of these initial countries on a limited basis.</w:t>
      </w:r>
    </w:p>
    <w:p w14:paraId="31C0F783"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By Year 3 (2033), the fund's digital bank operates in 20-30 countries. Regulatory approvals secured during the first two years of operation, combined with the demonstrated track record from the initial pilots, accelerate the approval process in additional countries. Members in pilot countries begin using the digital bank for some everyday financial activities. The card network handles perhaps 1-2% of global card transactions in markets where it operates, small but growing.</w:t>
      </w:r>
    </w:p>
    <w:p w14:paraId="52E41C6E"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By Year 5 (2035), the fund's digital bank operates in 80-100 countries. The bank has become a primary financial relationship for many members in countries with the longest operational track record. The card network handles perhaps 3-5% of global card transactions globally. Members in Brazil, Philippines, India, Kenya experience the fund's digital bank as their main bank rather than as a subscription service.</w:t>
      </w:r>
    </w:p>
    <w:p w14:paraId="14237883"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lastRenderedPageBreak/>
        <w:t>By Year 7 (2037), the fund's digital bank operates in 120-150 countries. The bank is competitive with major retail banks in most countries where it operates. The card network reaches 8-12% of global card transactions. Members in many countries no longer need separate accounts at conventional banks for routine financial life.</w:t>
      </w:r>
    </w:p>
    <w:p w14:paraId="2FDC9DAC" w14:textId="3A37FCFD"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By Year 10 (2040), the fund's digital bank operates in 170-190 countries — covering most countries that have not actively prohibited the fund. The digital bank is a credible primary banking option for most members in most countries where the fund operates. The card network reaches 12-18% of global card transactions, with much higher penetration in some markets. Members who once used a major commercial bank for daily banking and the fund only for monthly contributions now use the fund's digital bank for both.</w:t>
      </w:r>
    </w:p>
    <w:p w14:paraId="3D998A74"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For people without bank accounts at the start — the 1.4 billion adults globally who had no formal financial inclusion — the fund's bank provides their first formal banking relationship. By Year 10, the fund has likely brought hundreds of millions of previously unbanked people into formal financial inclusion. Once people have formal banking, they can save more effectively, borrow at fair terms, build credit histories, participate in formal labor markets, and access services that were previously unavailable. This financial inclusion effect is itself transformational, independent of the dividend or the other income streams.</w:t>
      </w:r>
    </w:p>
    <w:p w14:paraId="46615C1B"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b/>
          <w:bCs/>
          <w:kern w:val="2"/>
          <w14:ligatures w14:val="standardContextual"/>
        </w:rPr>
        <w:t>Visible economic changes by Year 10</w:t>
      </w:r>
    </w:p>
    <w:p w14:paraId="20175B17"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By Year 10 (2040), the fund's economic effects are visible in specific, measurable ways. The effects vary by country and industry but the pattern is recognizable.</w:t>
      </w:r>
    </w:p>
    <w:p w14:paraId="3B0E4EAF"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Consumers in fund-served markets notice lower prices on essentials. Generic medicines that previously cost $50 cost $20-30 through fund-owned pharmaceutical companies. Basic food items have stable or slightly declining prices despite global inflation, because fund-owned food companies compete with private competitors on margin compression. Healthcare costs in fund-served markets have not exploded the way they have in unaddressed markets. Insurance premiums for fund-coordinated coverage are 20-40% below private equivalents in countries where the fund operates on the supplementary or primary layer.</w:t>
      </w:r>
    </w:p>
    <w:p w14:paraId="2EED546F"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Workers at fund-owned companies experience genuinely different conditions than at private competitors. Higher wages in low-wage jobs as fund-owned companies establish wage floors that private competitors must match for political reasons. Better job security in downturns because patient capital reduces pressure for layoffs. More substantive worker voice through fund governance mechanisms.</w:t>
      </w:r>
    </w:p>
    <w:p w14:paraId="61CCFD64"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 xml:space="preserve">Entrepreneurs increasingly use the fund's bank rather than conventional banks. The equity investment model with buyback rights, the zero-cost capital for fund-aligned local </w:t>
      </w:r>
      <w:r w:rsidRPr="008B7F3A">
        <w:rPr>
          <w:rFonts w:asciiTheme="minorHAnsi" w:eastAsiaTheme="minorHAnsi" w:hAnsiTheme="minorHAnsi" w:cstheme="minorBidi"/>
          <w:kern w:val="2"/>
          <w14:ligatures w14:val="standardContextual"/>
        </w:rPr>
        <w:lastRenderedPageBreak/>
        <w:t>businesses, the member investor marketplace — these provide alternatives to predatory small business lending. New businesses emerge that would not have existed under conventional banking. Local economies in fund-served regions show measurable growth in small business formation.</w:t>
      </w:r>
    </w:p>
    <w:p w14:paraId="1021C1B8"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Manufacturing employment redistributes. Africa, parts of Asia, and Latin America see meaningful new manufacturing capacity in countries that had been bypassed by global supply chains. Workers who were informal become formal. Regions that were excluded from manufacturing become included. Supply chain dependencies on a handful of countries become more diversified.</w:t>
      </w:r>
    </w:p>
    <w:p w14:paraId="7A1161E5" w14:textId="233AA816"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 xml:space="preserve">These changes are real and measurable but they are partial. The fund operates 2-5% of global productive activity by Year 10, not the 12-18% of the eventual steady state. The effects are visible but not yet pervasive. Many readers in many countries will look at the world in 2040 and see large parts of the existing system still operating as it did. The fund is one growing influence among many; its </w:t>
      </w:r>
      <w:r>
        <w:rPr>
          <w:rFonts w:asciiTheme="minorHAnsi" w:eastAsiaTheme="minorHAnsi" w:hAnsiTheme="minorHAnsi" w:cstheme="minorBidi"/>
          <w:kern w:val="2"/>
          <w14:ligatures w14:val="standardContextual"/>
        </w:rPr>
        <w:t>real transforming strength</w:t>
      </w:r>
      <w:r w:rsidRPr="008B7F3A">
        <w:rPr>
          <w:rFonts w:asciiTheme="minorHAnsi" w:eastAsiaTheme="minorHAnsi" w:hAnsiTheme="minorHAnsi" w:cstheme="minorBidi"/>
          <w:kern w:val="2"/>
          <w14:ligatures w14:val="standardContextual"/>
        </w:rPr>
        <w:t xml:space="preserve"> arrives later. The first decade is the period during which the influence becomes credible enough that more people decide to participate in the second decade.</w:t>
      </w:r>
    </w:p>
    <w:p w14:paraId="07E574EC"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b/>
          <w:bCs/>
          <w:kern w:val="2"/>
          <w14:ligatures w14:val="standardContextual"/>
        </w:rPr>
        <w:t>Political and regulatory response</w:t>
      </w:r>
    </w:p>
    <w:p w14:paraId="08C3366A"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The fund's first decade includes specific moments of political and regulatory challenge. Some are predictable; some emerge from circumstances that cannot be anticipated. The patterns are recognizable.</w:t>
      </w:r>
    </w:p>
    <w:p w14:paraId="440B2838"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Within the first 18 months of operations, the fund will likely face its first major regulatory challenge in at least one significant country. The specific form is hard to predict but the pattern is recognizable: a major economy's financial regulator raises concerns about the fund's banking operations, citing reasons that may be legitimate (technical questions about regulatory compliance) or that may be cover for political opposition (concerns about a global institution operating in domestic banking). The fund's response is to engage fully with the regulator's stated concerns, comply with all legitimate requirements, and document the engagement publicly so that any political element becomes visible.</w:t>
      </w:r>
    </w:p>
    <w:p w14:paraId="7B12D085"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 xml:space="preserve">Within the first three years, the fund will likely face its first major political attack from concentrated economic interests. This could come from the defense industry (which has identified the fund's defense exclusion as a threat), from major pharmaceutical companies (whose pricing power is challenged by fund-owned generics), from major financial institutions (whose interest-spread model is challenged by the fund's banking arm), or from oligarchic interests in specific countries (whose political capture is challenged by an institution they cannot capture). The attack will probably use the standard playbook: </w:t>
      </w:r>
      <w:r w:rsidRPr="008B7F3A">
        <w:rPr>
          <w:rFonts w:asciiTheme="minorHAnsi" w:eastAsiaTheme="minorHAnsi" w:hAnsiTheme="minorHAnsi" w:cstheme="minorBidi"/>
          <w:kern w:val="2"/>
          <w14:ligatures w14:val="standardContextual"/>
        </w:rPr>
        <w:lastRenderedPageBreak/>
        <w:t>funding of opposition campaigns, media coverage emphasizing risks and downplaying benefits, regulatory pressure, perhaps lawsuits alleging various harms.</w:t>
      </w:r>
    </w:p>
    <w:p w14:paraId="1BD678E7"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The fund's defenses against these attacks are structural. The membership base provides direct political support — politicians attacking the fund alienate their own voters who are also fund members. The multi-country structure prevents any single government from shutting the fund down. The transparency commitments mean opposing attacks are visible and auditable. The patient capital means short-term political pressure cannot bankrupt the fund. The structural commitments embedded in the constitution mean the fund cannot be forced to compromise its principles without 75% supermajorities in both chambers — an essentially impossible bar for an attacker to clear.</w:t>
      </w:r>
    </w:p>
    <w:p w14:paraId="0DE8EFB1"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Within the first five years, the fund may face an existential moment: a coordinated international effort, possibly led by the United States in cooperation with major economic allies, to limit the fund's operations. The specific form might be sanctions against fund-related entities, exclusion from major financial systems, or aggressive regulatory action across multiple jurisdictions simultaneously. The fund's defense is the financial autonomy described in sub-article 3 — operations distributed across many countries with no single point of failure, banking infrastructure independent of US-dominated financial systems, member loyalty in countries facing pressure to abandon the fund.</w:t>
      </w:r>
    </w:p>
    <w:p w14:paraId="3C400E80"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If the existential moment comes and the fund survives it, the political environment thereafter shifts. The fund will have demonstrated that it cannot be easily shut down. Other governments that had been hesitant will see this and become more willing to engage. The political attack will have failed visibly, and the failure itself becomes part of the fund's legitimacy.</w:t>
      </w:r>
    </w:p>
    <w:p w14:paraId="00791CFF"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In the conservative scenario, the existential moment may not be survived intact. Some operations may have to be limited. Some countries may have to be abandoned at least temporarily. The fund's growth may slow significantly. But even in this scenario, the fund continues to exist and to operate in the countries that did not participate in the attack. The damage is real but not fatal. The fund regroups and continues to grow more slowly than the neutral scenario projected.</w:t>
      </w:r>
    </w:p>
    <w:p w14:paraId="415A039B"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b/>
          <w:bCs/>
          <w:kern w:val="2"/>
          <w14:ligatures w14:val="standardContextual"/>
        </w:rPr>
        <w:t>Member experience and culture</w:t>
      </w:r>
    </w:p>
    <w:p w14:paraId="35492827"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What does it feel like to be a fund member at each stage of the first decade? The cultural and emotional dimension is harder to project numerically than dividends or acquisitions, but it matters because it determines whether members stay engaged and committed.</w:t>
      </w:r>
    </w:p>
    <w:p w14:paraId="5296331D"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 xml:space="preserve">In Year 1 (2031), fund membership feels like early adoption of any new institution. Members are joining something new with uncertainty about whether it will succeed. There is </w:t>
      </w:r>
      <w:r w:rsidRPr="008B7F3A">
        <w:rPr>
          <w:rFonts w:asciiTheme="minorHAnsi" w:eastAsiaTheme="minorHAnsi" w:hAnsiTheme="minorHAnsi" w:cstheme="minorBidi"/>
          <w:kern w:val="2"/>
          <w14:ligatures w14:val="standardContextual"/>
        </w:rPr>
        <w:lastRenderedPageBreak/>
        <w:t>enthusiasm tempered by skepticism. Members watch the fund's progress closely. The community feels small relative to the fund's eventual scope.</w:t>
      </w:r>
    </w:p>
    <w:p w14:paraId="6733BC4B"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By Year 3 (2033), the fund begins to feel established. Members have received some early dividends, even if modest. Acquisitions have happened. The bank operations are working. The community has grown to include hundreds of millions of people across many countries. Regional and local engagement structures develop natural rhythms — discussion forums become active, the fund becomes part of how members understand their own economic identity.</w:t>
      </w:r>
    </w:p>
    <w:p w14:paraId="46CB8481"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By Year 5 (2035), the fund has become a recognizable part of the political and economic landscape. Members feel they are part of something significant. The membership culture begins to develop distinctive characteristics — patterns of how members talk about the fund, how they relate the fund to their own lives, what aspects of fund operations they care about most. Some members are deeply engaged in fund governance; others are casual members. Both are full members with equal standing.</w:t>
      </w:r>
    </w:p>
    <w:p w14:paraId="08A71AFD"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By Year 7 (2037), the fund is a global civic institution that people grow up with. Children who were enrolled at birth in 2027 are now ten years old and have always known the fund exists as part of their world. They develop their understanding of economics partly through what their parents tell them about fund membership and what they observe about how the fund operates in their country.</w:t>
      </w:r>
    </w:p>
    <w:p w14:paraId="0DC31263"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By Year 10 (2040), the fund culture includes specific elements: the act of receiving an annual dividend has become a recognized economic event in some countries; the language used to discuss fund operations has become standard; the membership identity has become a meaningful part of how many people understand themselves. The fund is no longer a startup or a movement; it is an institution that exists, that operates, that produces visible effects, and that people relate to as part of the world they live in.</w:t>
      </w:r>
    </w:p>
    <w:p w14:paraId="0FA51578"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b/>
          <w:bCs/>
          <w:kern w:val="2"/>
          <w14:ligatures w14:val="standardContextual"/>
        </w:rPr>
        <w:t>The emotional dimension</w:t>
      </w:r>
    </w:p>
    <w:p w14:paraId="4B35443B"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The fund is not just an economic institution. It is also a moral and emotional choice that members make.</w:t>
      </w:r>
    </w:p>
    <w:p w14:paraId="558768A5"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When a member contributes $1 a month and watches the dividends accumulate over years, they are doing something more than participating in a financial mechanism. They are choosing to be part of a collective effort to make the world less extractive. They are committing to a project that takes generations to complete. They are leaving a legacy for their children and grandchildren that goes beyond their own financial situation.</w:t>
      </w:r>
    </w:p>
    <w:p w14:paraId="46C65A48"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lastRenderedPageBreak/>
        <w:t>Members in rich countries who join the fund and might not receive financially-transformational dividends do so for reasons that transcend personal economics. They join because they want to help feed children in countries they will never visit. They join because they want their grandchildren to inherit a world less corrupted by concentrated economic power. They join because they have looked at what is happening — the wars, the inequality, the political capture, the environmental damage — and they want to be part of doing something about it.</w:t>
      </w:r>
    </w:p>
    <w:p w14:paraId="42825BEA"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These are not trivial motivations. They are some of the deepest motivations human beings have. The fund engages them seriously rather than dismissing them as soft sentiment.</w:t>
      </w:r>
    </w:p>
    <w:p w14:paraId="1E0CFF18"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What does it mean to participate in an institution committed to redistributing economic ownership to every human on earth? What does it mean to watch the dividends arrive each year and know that the same amount is arriving for billions of other people, including families you will never meet but whose lives are improving because of a collective decision you helped make? What does it mean to know that the fund is structurally committed to not profiting from wars, not extracting from poor countries, not contributing to environmental destruction — that your participation in the fund is also a refusal to participate in those things?</w:t>
      </w:r>
    </w:p>
    <w:p w14:paraId="73A30273"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What does it mean for the legacy you leave to your children and grandchildren? The choice to participate in the fund is, in a real sense, the choice to be remembered as someone who helped build a different way of organizing economic life rather than someone who passively accepted the existing arrangement. Not everyone needs this kind of legacy to motivate their participation. But for those who do — and there are many — the fund provides a way to do something concrete with the moral concerns that might otherwise have nowhere to go.</w:t>
      </w:r>
    </w:p>
    <w:p w14:paraId="4FA1E199"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The children growing up in the fund's first decade will inherit something different from what their parents inherited. They will grow up in a world where collective economic action at global scale is established and operating. They will know that this kind of institution is possible because they have seen it work. The thing that previous generations could not imagine will be, for them, a normal feature of the world they live in. This is not abstract. It is a real shift in human imagination that takes a generation to happen and that begins with the choices their parents make now.</w:t>
      </w:r>
    </w:p>
    <w:p w14:paraId="1058931C"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The fund's first decade is, in this sense, the period when the possibility becomes a reality that future generations can take for granted. The work happens because members do it. The legacy emerges because members choose to participate. The world changes because enough people decide that they want it to.</w:t>
      </w:r>
    </w:p>
    <w:p w14:paraId="31105B8F"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b/>
          <w:bCs/>
          <w:kern w:val="2"/>
          <w14:ligatures w14:val="standardContextual"/>
        </w:rPr>
        <w:lastRenderedPageBreak/>
        <w:t>Where the first decade could go wrong</w:t>
      </w:r>
    </w:p>
    <w:p w14:paraId="5B95543D"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Honesty requires naming where the projections could be wrong, where the first decade could diverge from the scenarios, and what specific failures could derail the project.</w:t>
      </w:r>
    </w:p>
    <w:p w14:paraId="0ACD9975"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The fund could fail to achieve sufficient membership growth in the planning phase. If by 2031 the geographic floor cannot be met, the constitutional ratification cannot proceed and the launch is delayed indefinitely. This is the most likely path to outright failure — not because the fund itself is wrong but because the people who would benefit most do not coordinate enough to make it real.</w:t>
      </w:r>
    </w:p>
    <w:p w14:paraId="0C84C332"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The fund could face regulatory blocking in enough major countries that its universal-membership claim becomes hollow. If five or six major economies actively prevent fund operations, the fund still exists but operates significantly below its potential. Members in blocked countries cannot participate; the global redistributive effects are diluted; the political momentum of the project slows.</w:t>
      </w:r>
    </w:p>
    <w:p w14:paraId="5C4116A6"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The fund could be successfully attacked through US-led financial pressure. The financial autonomy mechanisms described in sub-article 3 are designed to prevent this, but they have never been tested at scale. If the attack succeeds in disconnecting the fund from international payment systems, fund operations in many countries become difficult and growth slows dramatically.</w:t>
      </w:r>
    </w:p>
    <w:p w14:paraId="480ED511"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The fund could experience a major operational scandal — corruption in fund management, mismanagement of acquisitions, financial losses that damage member trust. Even with the anti-corruption safeguards described in sub-article 7, no design is perfect. A major scandal in Year 3 or Year 4 could damage the fund's credibility for years.</w:t>
      </w:r>
    </w:p>
    <w:p w14:paraId="7C10C331"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The fund could be captured during the founding phase by interests that successfully evade the safeguards described in sub-article 6. If founding loans, civil society representation, or the founding committee selection processes are corrupted, the fund could launch with biases that the structural protections were meant to prevent.</w:t>
      </w:r>
    </w:p>
    <w:p w14:paraId="2A1D1CB9"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The fund could experience generational change that erodes its founding mission. Members who joined at launch might pass on their commitment to children who do not share it. The fund's culture might shift over a decade in ways that undermine the principles articulated in this series. The constitutional protections are designed to prevent this, but they depend on continued member engagement, which itself depends on cultural transmission that may or may not happen.</w:t>
      </w:r>
    </w:p>
    <w:p w14:paraId="39E3AAAB"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 xml:space="preserve">The fund could face challenges from emerging technologies or social changes that this series cannot anticipate. AI capabilities will evolve in ways that affect what fund </w:t>
      </w:r>
      <w:r w:rsidRPr="008B7F3A">
        <w:rPr>
          <w:rFonts w:asciiTheme="minorHAnsi" w:eastAsiaTheme="minorHAnsi" w:hAnsiTheme="minorHAnsi" w:cstheme="minorBidi"/>
          <w:kern w:val="2"/>
          <w14:ligatures w14:val="standardContextual"/>
        </w:rPr>
        <w:lastRenderedPageBreak/>
        <w:t>governance and operations look like. Geopolitical realignment may produce new alliances and oppositions. Climate change will accelerate in ways that may either reinforce or undermine the fund's mission.</w:t>
      </w:r>
    </w:p>
    <w:p w14:paraId="6E172435"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The fund's underlying premise could simply be wrong. The case for the fund rests on the proposition that 84% of people globally see wealth inequality as a problem and would participate in a credible alternative if one were offered. This is well-documented but it could turn out that fewer people are willing to act on what they say in polls. The translation from sympathy to participation might be weaker than the polling suggests.</w:t>
      </w:r>
    </w:p>
    <w:p w14:paraId="08D4E70A"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These are the failure modes. Some are addressable through member action. Members who join, share the project, push for regulatory approvals, engage actively with governance — these activities directly reduce the probability of failure across most modes. Other failure modes are external — geopolitical conditions, technological disruption, hostile state actors. The fund cannot guarantee against all of these. But the design is intended to be resilient against the most likely modes while accepting that some risk remains.</w:t>
      </w:r>
    </w:p>
    <w:p w14:paraId="6AB01FC1"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The honest truth: members joining now would be participating in the early years of a project that could fail in any of these ways. The probability of any single failure mode is moderate; the probability that some failure mode produces some kind of setback is high. The fund's success is not guaranteed. The reason to participate is that the upside is enormous and the cost of participation is small. A member who contributes $1 a month and watches the project succeed has done something profoundly important with very little personal investment. A member who contributes $1 a month and watches the project fail has lost very little. The asymmetry favors participation.</w:t>
      </w:r>
    </w:p>
    <w:p w14:paraId="01BF2701"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What members can do, when failures emerge, is what the series has emphasized throughout. They can use the chamber processes to respond. They can use the AI engagement system to investigate and propose. They can build coalitions with other members. They can ultimately initiate dissolution if the fund has become unfit for purpose. The fund's continued existence depends on members staying engaged enough to respond to challenges as they emerge. The challenges of the first decade will be addressed by those willing to address them. Solutions will come from members bringing their own ideas to problems the original design did not anticipate.</w:t>
      </w:r>
    </w:p>
    <w:p w14:paraId="1D47F675"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b/>
          <w:bCs/>
          <w:kern w:val="2"/>
          <w14:ligatures w14:val="standardContextual"/>
        </w:rPr>
        <w:t>Closing: what this means for the decision in front of you</w:t>
      </w:r>
    </w:p>
    <w:p w14:paraId="6CC6969C"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 xml:space="preserve">This is the end of Part 2. Eight articles have walked through what the fund is, what it owns, how it competes, how the money flows, how it gets built, what stops it from becoming what it replaces, and what the first decade could look like. The articles have been honest about </w:t>
      </w:r>
      <w:r w:rsidRPr="008B7F3A">
        <w:rPr>
          <w:rFonts w:asciiTheme="minorHAnsi" w:eastAsiaTheme="minorHAnsi" w:hAnsiTheme="minorHAnsi" w:cstheme="minorBidi"/>
          <w:kern w:val="2"/>
          <w14:ligatures w14:val="standardContextual"/>
        </w:rPr>
        <w:lastRenderedPageBreak/>
        <w:t>what is uncertain. They have refused to promise outcomes the fund cannot guarantee. They have engaged seriously with skepticism rather than dismissing it.</w:t>
      </w:r>
    </w:p>
    <w:p w14:paraId="198CC0AE"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A reader who has worked through all of this material faces a decision. Not necessarily an immediate one, and not necessarily a permanent one. The fund's planning phase runs from 2027 to 2031. There are years during which prospective members can engage with the project, watch how it develops, and decide whether to participate. The decision can be deferred. It can be reconsidered. It can be made and then unmade if the fund develops in ways the reader does not support.</w:t>
      </w:r>
    </w:p>
    <w:p w14:paraId="47C89D2A"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But the decision will eventually be made. Either a reader will, at some point, take the actions that make them a participant in the fund's development — enrolling as a prospective member, contributing to the donation fund, telling others about the project, engaging with the constitutional drafting process, becoming part of the membership that will eventually ratify the fund's foundational documents — or they will not.</w:t>
      </w:r>
    </w:p>
    <w:p w14:paraId="764238CF"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If many people choose to participate, the fund's first decade could look like the neutral or optimistic scenarios in this article. Billions of people gradually integrate fund membership into their economic lives. Dividends grow steadily, modestly at first and then more substantially as the second decade arrives. Manufacturing employment redistributes. Migration source countries begin to stabilize. Political polarization reduces. The institution becomes part of the world that future generations inherit.</w:t>
      </w:r>
    </w:p>
    <w:p w14:paraId="658A5442"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If few people choose to participate, the fund will struggle to reach its geographic floor, the planning phase may need extension or eventual abandonment, and the proposal becomes one more interesting idea that did not make the transition to reality.</w:t>
      </w:r>
    </w:p>
    <w:p w14:paraId="06CF59F2"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The difference between these outcomes is entirely a function of what readers choose to do. The fund is not waiting for permission from any government, any institution, any approval process. It is waiting for people to do the things that make it real. Members enroll. Members contribute. Members tell others. Members engage with the planning phase. The fund happens because people make it happen.</w:t>
      </w:r>
    </w:p>
    <w:p w14:paraId="5BBA56F4"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What you do with what you have learned in this series is up to you. The case has been made; the honest version of the case has been presented; the failure modes have been named. The first decade will be modest by the standards of the eventual transformation. But modest is real. A fund that operates at 2-5% of global productive activity by 2040 has begun to change how the global economy works. The transformation continues from there.</w:t>
      </w:r>
    </w:p>
    <w:p w14:paraId="16A6B7C5"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Whether the fund becomes one of the institutions that defines the second half of the twenty-first century, or remains a thought experiment that some people read and considered, depends on what people do.</w:t>
      </w:r>
    </w:p>
    <w:p w14:paraId="14E4ADFA"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lastRenderedPageBreak/>
        <w:t>The decision is yours. The decision is everyone's.</w:t>
      </w:r>
    </w:p>
    <w:p w14:paraId="23F30625" w14:textId="77777777" w:rsidR="008B7F3A" w:rsidRPr="008B7F3A" w:rsidRDefault="006E3F05" w:rsidP="008B7F3A">
      <w:pPr>
        <w:spacing w:after="160" w:line="278" w:lineRule="auto"/>
        <w:rPr>
          <w:rFonts w:asciiTheme="minorHAnsi" w:eastAsiaTheme="minorHAnsi" w:hAnsiTheme="minorHAnsi" w:cstheme="minorBidi"/>
          <w:kern w:val="2"/>
          <w14:ligatures w14:val="standardContextual"/>
        </w:rPr>
      </w:pPr>
      <w:r w:rsidRPr="006E3F05">
        <w:rPr>
          <w:rFonts w:asciiTheme="minorHAnsi" w:eastAsiaTheme="minorHAnsi" w:hAnsiTheme="minorHAnsi" w:cstheme="minorBidi"/>
          <w:noProof/>
          <w:kern w:val="2"/>
          <w14:ligatures w14:val="standardContextual"/>
        </w:rPr>
        <w:pict w14:anchorId="6068E9B2">
          <v:rect id="_x0000_i1025" alt="" style="width:468pt;height:.05pt;mso-width-percent:0;mso-height-percent:0;mso-width-percent:0;mso-height-percent:0" o:hralign="center" o:hrstd="t" o:hr="t" fillcolor="#a0a0a0" stroked="f"/>
        </w:pict>
      </w:r>
    </w:p>
    <w:p w14:paraId="3D3F875E" w14:textId="77777777" w:rsidR="008B7F3A" w:rsidRPr="008B7F3A" w:rsidRDefault="008B7F3A" w:rsidP="008B7F3A">
      <w:pPr>
        <w:spacing w:after="160" w:line="278" w:lineRule="auto"/>
        <w:rPr>
          <w:rFonts w:asciiTheme="minorHAnsi" w:eastAsiaTheme="minorHAnsi" w:hAnsiTheme="minorHAnsi" w:cstheme="minorBidi"/>
          <w:b/>
          <w:bCs/>
          <w:kern w:val="2"/>
          <w14:ligatures w14:val="standardContextual"/>
        </w:rPr>
      </w:pPr>
      <w:r w:rsidRPr="008B7F3A">
        <w:rPr>
          <w:rFonts w:asciiTheme="minorHAnsi" w:eastAsiaTheme="minorHAnsi" w:hAnsiTheme="minorHAnsi" w:cstheme="minorBidi"/>
          <w:b/>
          <w:bCs/>
          <w:kern w:val="2"/>
          <w14:ligatures w14:val="standardContextual"/>
        </w:rPr>
        <w:t>Notes on the draft</w:t>
      </w:r>
    </w:p>
    <w:p w14:paraId="4938F764"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t>A few choices to flag:</w:t>
      </w:r>
    </w:p>
    <w:p w14:paraId="297793CB"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b/>
          <w:bCs/>
          <w:kern w:val="2"/>
          <w14:ligatures w14:val="standardContextual"/>
        </w:rPr>
        <w:t>Length: about 7,800 words.</w:t>
      </w:r>
      <w:r w:rsidRPr="008B7F3A">
        <w:rPr>
          <w:rFonts w:asciiTheme="minorHAnsi" w:eastAsiaTheme="minorHAnsi" w:hAnsiTheme="minorHAnsi" w:cstheme="minorBidi"/>
          <w:kern w:val="2"/>
          <w14:ligatures w14:val="standardContextual"/>
        </w:rPr>
        <w:t xml:space="preserve"> Down from the previous 10,200 because the restructuring eliminated redundancy. The article is denser and clearer.</w:t>
      </w:r>
    </w:p>
    <w:p w14:paraId="6B6D8BC4"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b/>
          <w:bCs/>
          <w:kern w:val="2"/>
          <w14:ligatures w14:val="standardContextual"/>
        </w:rPr>
        <w:t>The capital table is the structural anchor.</w:t>
      </w:r>
      <w:r w:rsidRPr="008B7F3A">
        <w:rPr>
          <w:rFonts w:asciiTheme="minorHAnsi" w:eastAsiaTheme="minorHAnsi" w:hAnsiTheme="minorHAnsi" w:cstheme="minorBidi"/>
          <w:kern w:val="2"/>
          <w14:ligatures w14:val="standardContextual"/>
        </w:rPr>
        <w:t xml:space="preserve"> It appears once, prominently, and the rest of the article refers back to it. Readers can scan to find their preferred scenario and year.</w:t>
      </w:r>
    </w:p>
    <w:p w14:paraId="6497C0CF"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b/>
          <w:bCs/>
          <w:kern w:val="2"/>
          <w14:ligatures w14:val="standardContextual"/>
        </w:rPr>
        <w:t>Honest dividend numbers throughout.</w:t>
      </w:r>
      <w:r w:rsidRPr="008B7F3A">
        <w:rPr>
          <w:rFonts w:asciiTheme="minorHAnsi" w:eastAsiaTheme="minorHAnsi" w:hAnsiTheme="minorHAnsi" w:cstheme="minorBidi"/>
          <w:kern w:val="2"/>
          <w14:ligatures w14:val="standardContextual"/>
        </w:rPr>
        <w:t xml:space="preserve"> $0.50 in Year 1 to $25-33 by Year 10 across scenarios. The transformational dividends are explicitly placed in years 20-30, not in the first decade. This is the most important honest correction in the entire article — and it means we need to revisit sub-articles 1, 3, and 4 to make sure the numbers there don't contradict this honest framing.</w:t>
      </w:r>
    </w:p>
    <w:p w14:paraId="2CCCA08A"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b/>
          <w:bCs/>
          <w:kern w:val="2"/>
          <w14:ligatures w14:val="standardContextual"/>
        </w:rPr>
        <w:t>Year notation with calendar years.</w:t>
      </w:r>
      <w:r w:rsidRPr="008B7F3A">
        <w:rPr>
          <w:rFonts w:asciiTheme="minorHAnsi" w:eastAsiaTheme="minorHAnsi" w:hAnsiTheme="minorHAnsi" w:cstheme="minorBidi"/>
          <w:kern w:val="2"/>
          <w14:ligatures w14:val="standardContextual"/>
        </w:rPr>
        <w:t xml:space="preserve"> Every Year reference includes the calendar year in parentheses on first use in each section. Year 1 (2031), Year 3 (2033), Year 5 (2035), Year 7 (2037), Year 10 (2040).</w:t>
      </w:r>
    </w:p>
    <w:p w14:paraId="413791B8"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b/>
          <w:bCs/>
          <w:kern w:val="2"/>
          <w14:ligatures w14:val="standardContextual"/>
        </w:rPr>
        <w:t>Scenarios simplified.</w:t>
      </w:r>
      <w:r w:rsidRPr="008B7F3A">
        <w:rPr>
          <w:rFonts w:asciiTheme="minorHAnsi" w:eastAsiaTheme="minorHAnsi" w:hAnsiTheme="minorHAnsi" w:cstheme="minorBidi"/>
          <w:kern w:val="2"/>
          <w14:ligatures w14:val="standardContextual"/>
        </w:rPr>
        <w:t xml:space="preserve"> Membership growth scenarios are the only place where three parallel scenarios appear. Everything downstream is presented as a function of the table.</w:t>
      </w:r>
    </w:p>
    <w:p w14:paraId="0BDE138B"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b/>
          <w:bCs/>
          <w:kern w:val="2"/>
          <w14:ligatures w14:val="standardContextual"/>
        </w:rPr>
        <w:t>Migration treatment honest.</w:t>
      </w:r>
      <w:r w:rsidRPr="008B7F3A">
        <w:rPr>
          <w:rFonts w:asciiTheme="minorHAnsi" w:eastAsiaTheme="minorHAnsi" w:hAnsiTheme="minorHAnsi" w:cstheme="minorBidi"/>
          <w:kern w:val="2"/>
          <w14:ligatures w14:val="standardContextual"/>
        </w:rPr>
        <w:t xml:space="preserve"> The fund's first-decade effect on migration is described as partial and incipient rather than transformational, with the longer-arc effects placed where they actually belong. The political consequences (reduced polarization, far-right movements losing salience) are appropriately treated as later-arc effects building on first-decade foundations.</w:t>
      </w:r>
    </w:p>
    <w:p w14:paraId="61A06AD9"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b/>
          <w:bCs/>
          <w:kern w:val="2"/>
          <w14:ligatures w14:val="standardContextual"/>
        </w:rPr>
        <w:t>Closing slightly softened from previous version.</w:t>
      </w:r>
      <w:r w:rsidRPr="008B7F3A">
        <w:rPr>
          <w:rFonts w:asciiTheme="minorHAnsi" w:eastAsiaTheme="minorHAnsi" w:hAnsiTheme="minorHAnsi" w:cstheme="minorBidi"/>
          <w:kern w:val="2"/>
          <w14:ligatures w14:val="standardContextual"/>
        </w:rPr>
        <w:t xml:space="preserve"> Still personal, still about the reader's decision, but framed against the honest reality that the first decade is modest by transformation standards. The phrase "modest is real" tries to capture both the honest acknowledgment and the genuine significance of what the first decade produces.</w:t>
      </w:r>
    </w:p>
    <w:p w14:paraId="622FFF3D"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b/>
          <w:bCs/>
          <w:kern w:val="2"/>
          <w14:ligatures w14:val="standardContextual"/>
        </w:rPr>
        <w:t>Reconciliation needed in earlier articles.</w:t>
      </w:r>
      <w:r w:rsidRPr="008B7F3A">
        <w:rPr>
          <w:rFonts w:asciiTheme="minorHAnsi" w:eastAsiaTheme="minorHAnsi" w:hAnsiTheme="minorHAnsi" w:cstheme="minorBidi"/>
          <w:kern w:val="2"/>
          <w14:ligatures w14:val="standardContextual"/>
        </w:rPr>
        <w:t xml:space="preserve"> Part 1's projection of $400-600 steady-state dividends needs to be explicitly tied to the year-30 timeframe rather than treated as a near-term outcome. Sub-article 3's dividend math needs the same treatment. Sub-article 4's argument about why people join needs to acknowledge that the economic case is real but slow-acting, with the moral/political case being primary for many members during the first decade.</w:t>
      </w:r>
    </w:p>
    <w:p w14:paraId="665FC364"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r w:rsidRPr="008B7F3A">
        <w:rPr>
          <w:rFonts w:asciiTheme="minorHAnsi" w:eastAsiaTheme="minorHAnsi" w:hAnsiTheme="minorHAnsi" w:cstheme="minorBidi"/>
          <w:kern w:val="2"/>
          <w14:ligatures w14:val="standardContextual"/>
        </w:rPr>
        <w:lastRenderedPageBreak/>
        <w:t>Let me know what you'd adjust. With this article restructured, we have the basis for going back and reconciling the earlier articles where needed. We're close to having Part 2 complete.</w:t>
      </w:r>
    </w:p>
    <w:p w14:paraId="6A87CD9C" w14:textId="77777777" w:rsidR="008B7F3A" w:rsidRDefault="008B7F3A" w:rsidP="008B7F3A">
      <w:pPr>
        <w:spacing w:after="160" w:line="278" w:lineRule="auto"/>
        <w:rPr>
          <w:rFonts w:asciiTheme="minorHAnsi" w:eastAsiaTheme="minorHAnsi" w:hAnsiTheme="minorHAnsi" w:cstheme="minorBidi"/>
          <w:kern w:val="2"/>
          <w14:ligatures w14:val="standardContextual"/>
        </w:rPr>
      </w:pPr>
    </w:p>
    <w:p w14:paraId="170818B3" w14:textId="77777777" w:rsidR="008B7F3A" w:rsidRPr="008B7F3A" w:rsidRDefault="008B7F3A" w:rsidP="008B7F3A">
      <w:pPr>
        <w:spacing w:after="160" w:line="278" w:lineRule="auto"/>
        <w:rPr>
          <w:rFonts w:asciiTheme="minorHAnsi" w:eastAsiaTheme="minorHAnsi" w:hAnsiTheme="minorHAnsi" w:cstheme="minorBidi"/>
          <w:kern w:val="2"/>
          <w14:ligatures w14:val="standardContextual"/>
        </w:rPr>
      </w:pPr>
    </w:p>
    <w:p w14:paraId="6B58D285" w14:textId="77777777" w:rsidR="008B7F3A" w:rsidRDefault="008B7F3A" w:rsidP="004412BC">
      <w:pPr>
        <w:spacing w:after="160" w:line="278" w:lineRule="auto"/>
        <w:rPr>
          <w:rFonts w:asciiTheme="minorHAnsi" w:eastAsiaTheme="minorHAnsi" w:hAnsiTheme="minorHAnsi" w:cstheme="minorBidi"/>
          <w:kern w:val="2"/>
          <w14:ligatures w14:val="standardContextual"/>
        </w:rPr>
      </w:pPr>
    </w:p>
    <w:p w14:paraId="124B20A5" w14:textId="77777777" w:rsidR="004412BC" w:rsidRPr="004412BC" w:rsidRDefault="004412BC" w:rsidP="004412BC">
      <w:pPr>
        <w:spacing w:after="160" w:line="278" w:lineRule="auto"/>
        <w:rPr>
          <w:rFonts w:asciiTheme="minorHAnsi" w:eastAsiaTheme="minorHAnsi" w:hAnsiTheme="minorHAnsi" w:cstheme="minorBidi"/>
          <w:kern w:val="2"/>
          <w14:ligatures w14:val="standardContextual"/>
        </w:rPr>
      </w:pPr>
    </w:p>
    <w:p w14:paraId="68432EC1" w14:textId="77777777" w:rsidR="004412BC" w:rsidRDefault="004412BC" w:rsidP="003B21C7">
      <w:pPr>
        <w:spacing w:after="160" w:line="278" w:lineRule="auto"/>
        <w:rPr>
          <w:rFonts w:asciiTheme="minorHAnsi" w:eastAsiaTheme="minorHAnsi" w:hAnsiTheme="minorHAnsi" w:cstheme="minorBidi"/>
          <w:kern w:val="2"/>
          <w14:ligatures w14:val="standardContextual"/>
        </w:rPr>
      </w:pPr>
    </w:p>
    <w:p w14:paraId="590B7C0A" w14:textId="77777777" w:rsidR="00FF6C8D" w:rsidRDefault="00FF6C8D" w:rsidP="003B21C7">
      <w:pPr>
        <w:spacing w:after="160" w:line="278" w:lineRule="auto"/>
        <w:rPr>
          <w:rFonts w:asciiTheme="minorHAnsi" w:eastAsiaTheme="minorHAnsi" w:hAnsiTheme="minorHAnsi" w:cstheme="minorBidi"/>
          <w:kern w:val="2"/>
          <w14:ligatures w14:val="standardContextual"/>
        </w:rPr>
      </w:pPr>
    </w:p>
    <w:p w14:paraId="581C8E44" w14:textId="77777777" w:rsidR="003B21C7" w:rsidRDefault="003B21C7" w:rsidP="003B21C7">
      <w:pPr>
        <w:spacing w:after="160" w:line="278" w:lineRule="auto"/>
        <w:rPr>
          <w:rFonts w:asciiTheme="minorHAnsi" w:eastAsiaTheme="minorHAnsi" w:hAnsiTheme="minorHAnsi" w:cstheme="minorBidi"/>
          <w:kern w:val="2"/>
          <w14:ligatures w14:val="standardContextual"/>
        </w:rPr>
      </w:pPr>
    </w:p>
    <w:p w14:paraId="797D5A0A" w14:textId="77777777" w:rsidR="003B21C7" w:rsidRPr="00016CD3" w:rsidRDefault="003B21C7" w:rsidP="003B21C7"/>
    <w:sectPr w:rsidR="003B21C7" w:rsidRPr="00016CD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B698D"/>
    <w:multiLevelType w:val="multilevel"/>
    <w:tmpl w:val="107C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E5F6E"/>
    <w:multiLevelType w:val="multilevel"/>
    <w:tmpl w:val="7A94F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327F2"/>
    <w:multiLevelType w:val="multilevel"/>
    <w:tmpl w:val="6F42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30911"/>
    <w:multiLevelType w:val="multilevel"/>
    <w:tmpl w:val="204A1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4F3227"/>
    <w:multiLevelType w:val="multilevel"/>
    <w:tmpl w:val="9072E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DD64A9"/>
    <w:multiLevelType w:val="multilevel"/>
    <w:tmpl w:val="C822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501D8E"/>
    <w:multiLevelType w:val="multilevel"/>
    <w:tmpl w:val="07245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410589"/>
    <w:multiLevelType w:val="multilevel"/>
    <w:tmpl w:val="F9CA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0E0A51"/>
    <w:multiLevelType w:val="multilevel"/>
    <w:tmpl w:val="D45C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0C390F"/>
    <w:multiLevelType w:val="multilevel"/>
    <w:tmpl w:val="65DC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5E3183"/>
    <w:multiLevelType w:val="multilevel"/>
    <w:tmpl w:val="34CCF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1539FA"/>
    <w:multiLevelType w:val="multilevel"/>
    <w:tmpl w:val="F5D6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611ED1"/>
    <w:multiLevelType w:val="multilevel"/>
    <w:tmpl w:val="E3CA6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6B5712"/>
    <w:multiLevelType w:val="multilevel"/>
    <w:tmpl w:val="36281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3F675C"/>
    <w:multiLevelType w:val="multilevel"/>
    <w:tmpl w:val="F67ED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5A4896"/>
    <w:multiLevelType w:val="multilevel"/>
    <w:tmpl w:val="E734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736123"/>
    <w:multiLevelType w:val="multilevel"/>
    <w:tmpl w:val="8F3ED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CC102A"/>
    <w:multiLevelType w:val="hybridMultilevel"/>
    <w:tmpl w:val="334EA382"/>
    <w:lvl w:ilvl="0" w:tplc="1A92DA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50D3923"/>
    <w:multiLevelType w:val="multilevel"/>
    <w:tmpl w:val="66EA7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8A2090"/>
    <w:multiLevelType w:val="multilevel"/>
    <w:tmpl w:val="F7BC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6285902">
    <w:abstractNumId w:val="17"/>
  </w:num>
  <w:num w:numId="2" w16cid:durableId="794368448">
    <w:abstractNumId w:val="2"/>
  </w:num>
  <w:num w:numId="3" w16cid:durableId="725303357">
    <w:abstractNumId w:val="14"/>
  </w:num>
  <w:num w:numId="4" w16cid:durableId="358776237">
    <w:abstractNumId w:val="9"/>
  </w:num>
  <w:num w:numId="5" w16cid:durableId="669941565">
    <w:abstractNumId w:val="10"/>
  </w:num>
  <w:num w:numId="6" w16cid:durableId="1655791453">
    <w:abstractNumId w:val="4"/>
  </w:num>
  <w:num w:numId="7" w16cid:durableId="1536691901">
    <w:abstractNumId w:val="13"/>
  </w:num>
  <w:num w:numId="8" w16cid:durableId="364721966">
    <w:abstractNumId w:val="19"/>
  </w:num>
  <w:num w:numId="9" w16cid:durableId="177160402">
    <w:abstractNumId w:val="6"/>
  </w:num>
  <w:num w:numId="10" w16cid:durableId="1393850384">
    <w:abstractNumId w:val="1"/>
  </w:num>
  <w:num w:numId="11" w16cid:durableId="407458383">
    <w:abstractNumId w:val="16"/>
  </w:num>
  <w:num w:numId="12" w16cid:durableId="1989703641">
    <w:abstractNumId w:val="18"/>
  </w:num>
  <w:num w:numId="13" w16cid:durableId="1375884644">
    <w:abstractNumId w:val="11"/>
  </w:num>
  <w:num w:numId="14" w16cid:durableId="1617984924">
    <w:abstractNumId w:val="5"/>
  </w:num>
  <w:num w:numId="15" w16cid:durableId="448862448">
    <w:abstractNumId w:val="8"/>
  </w:num>
  <w:num w:numId="16" w16cid:durableId="230896109">
    <w:abstractNumId w:val="15"/>
  </w:num>
  <w:num w:numId="17" w16cid:durableId="992877578">
    <w:abstractNumId w:val="3"/>
  </w:num>
  <w:num w:numId="18" w16cid:durableId="1792166298">
    <w:abstractNumId w:val="0"/>
  </w:num>
  <w:num w:numId="19" w16cid:durableId="1874266316">
    <w:abstractNumId w:val="12"/>
  </w:num>
  <w:num w:numId="20" w16cid:durableId="11663624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89F"/>
    <w:rsid w:val="000153E7"/>
    <w:rsid w:val="00016CD3"/>
    <w:rsid w:val="0033156F"/>
    <w:rsid w:val="003B21C7"/>
    <w:rsid w:val="004412BC"/>
    <w:rsid w:val="00446344"/>
    <w:rsid w:val="005268BC"/>
    <w:rsid w:val="005462AA"/>
    <w:rsid w:val="0064195B"/>
    <w:rsid w:val="006E3F05"/>
    <w:rsid w:val="007379DD"/>
    <w:rsid w:val="0076359B"/>
    <w:rsid w:val="008150CA"/>
    <w:rsid w:val="008251C9"/>
    <w:rsid w:val="00832071"/>
    <w:rsid w:val="00867766"/>
    <w:rsid w:val="008B7F3A"/>
    <w:rsid w:val="00937731"/>
    <w:rsid w:val="00987A77"/>
    <w:rsid w:val="00A6189F"/>
    <w:rsid w:val="00D21360"/>
    <w:rsid w:val="00FF6C8D"/>
  </w:rsids>
  <m:mathPr>
    <m:mathFont m:val="Cambria Math"/>
    <m:brkBin m:val="before"/>
    <m:brkBinSub m:val="--"/>
    <m:smallFrac m:val="0"/>
    <m:dispDef/>
    <m:lMargin m:val="0"/>
    <m:rMargin m:val="0"/>
    <m:defJc m:val="centerGroup"/>
    <m:wrapIndent m:val="1440"/>
    <m:intLim m:val="subSup"/>
    <m:naryLim m:val="undOvr"/>
  </m:mathPr>
  <w:themeFontLang w:val="en-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62D4F"/>
  <w15:chartTrackingRefBased/>
  <w15:docId w15:val="{9DA8C08B-9748-1D47-91DE-F70236A38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21C7"/>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A618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18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18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18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18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189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189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189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189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8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18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18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18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18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18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18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18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189F"/>
    <w:rPr>
      <w:rFonts w:eastAsiaTheme="majorEastAsia" w:cstheme="majorBidi"/>
      <w:color w:val="272727" w:themeColor="text1" w:themeTint="D8"/>
    </w:rPr>
  </w:style>
  <w:style w:type="paragraph" w:styleId="Title">
    <w:name w:val="Title"/>
    <w:basedOn w:val="Normal"/>
    <w:next w:val="Normal"/>
    <w:link w:val="TitleChar"/>
    <w:uiPriority w:val="10"/>
    <w:qFormat/>
    <w:rsid w:val="00A6189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18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18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18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189F"/>
    <w:pPr>
      <w:spacing w:before="160"/>
      <w:jc w:val="center"/>
    </w:pPr>
    <w:rPr>
      <w:i/>
      <w:iCs/>
      <w:color w:val="404040" w:themeColor="text1" w:themeTint="BF"/>
    </w:rPr>
  </w:style>
  <w:style w:type="character" w:customStyle="1" w:styleId="QuoteChar">
    <w:name w:val="Quote Char"/>
    <w:basedOn w:val="DefaultParagraphFont"/>
    <w:link w:val="Quote"/>
    <w:uiPriority w:val="29"/>
    <w:rsid w:val="00A6189F"/>
    <w:rPr>
      <w:i/>
      <w:iCs/>
      <w:color w:val="404040" w:themeColor="text1" w:themeTint="BF"/>
    </w:rPr>
  </w:style>
  <w:style w:type="paragraph" w:styleId="ListParagraph">
    <w:name w:val="List Paragraph"/>
    <w:basedOn w:val="Normal"/>
    <w:uiPriority w:val="34"/>
    <w:qFormat/>
    <w:rsid w:val="00A6189F"/>
    <w:pPr>
      <w:ind w:left="720"/>
      <w:contextualSpacing/>
    </w:pPr>
  </w:style>
  <w:style w:type="character" w:styleId="IntenseEmphasis">
    <w:name w:val="Intense Emphasis"/>
    <w:basedOn w:val="DefaultParagraphFont"/>
    <w:uiPriority w:val="21"/>
    <w:qFormat/>
    <w:rsid w:val="00A6189F"/>
    <w:rPr>
      <w:i/>
      <w:iCs/>
      <w:color w:val="0F4761" w:themeColor="accent1" w:themeShade="BF"/>
    </w:rPr>
  </w:style>
  <w:style w:type="paragraph" w:styleId="IntenseQuote">
    <w:name w:val="Intense Quote"/>
    <w:basedOn w:val="Normal"/>
    <w:next w:val="Normal"/>
    <w:link w:val="IntenseQuoteChar"/>
    <w:uiPriority w:val="30"/>
    <w:qFormat/>
    <w:rsid w:val="00A618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189F"/>
    <w:rPr>
      <w:i/>
      <w:iCs/>
      <w:color w:val="0F4761" w:themeColor="accent1" w:themeShade="BF"/>
    </w:rPr>
  </w:style>
  <w:style w:type="character" w:styleId="IntenseReference">
    <w:name w:val="Intense Reference"/>
    <w:basedOn w:val="DefaultParagraphFont"/>
    <w:uiPriority w:val="32"/>
    <w:qFormat/>
    <w:rsid w:val="00A6189F"/>
    <w:rPr>
      <w:b/>
      <w:bCs/>
      <w:smallCaps/>
      <w:color w:val="0F4761" w:themeColor="accent1" w:themeShade="BF"/>
      <w:spacing w:val="5"/>
    </w:rPr>
  </w:style>
  <w:style w:type="paragraph" w:styleId="NormalWeb">
    <w:name w:val="Normal (Web)"/>
    <w:basedOn w:val="Normal"/>
    <w:uiPriority w:val="99"/>
    <w:semiHidden/>
    <w:unhideWhenUsed/>
    <w:rsid w:val="00016CD3"/>
    <w:pPr>
      <w:spacing w:before="100" w:beforeAutospacing="1" w:after="100" w:afterAutospacing="1"/>
    </w:pPr>
  </w:style>
  <w:style w:type="paragraph" w:customStyle="1" w:styleId="font-claude-response-body">
    <w:name w:val="font-claude-response-body"/>
    <w:basedOn w:val="Normal"/>
    <w:rsid w:val="00832071"/>
    <w:pPr>
      <w:spacing w:before="100" w:beforeAutospacing="1" w:after="100" w:afterAutospacing="1"/>
    </w:pPr>
  </w:style>
  <w:style w:type="character" w:styleId="Strong">
    <w:name w:val="Strong"/>
    <w:basedOn w:val="DefaultParagraphFont"/>
    <w:uiPriority w:val="22"/>
    <w:qFormat/>
    <w:rsid w:val="00832071"/>
    <w:rPr>
      <w:b/>
      <w:bCs/>
    </w:rPr>
  </w:style>
  <w:style w:type="table" w:styleId="TableGrid">
    <w:name w:val="Table Grid"/>
    <w:basedOn w:val="TableNormal"/>
    <w:uiPriority w:val="39"/>
    <w:rsid w:val="003315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398</TotalTime>
  <Pages>101</Pages>
  <Words>39123</Words>
  <Characters>226527</Characters>
  <Application>Microsoft Office Word</Application>
  <DocSecurity>0</DocSecurity>
  <Lines>3539</Lines>
  <Paragraphs>1021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Walid David</dc:creator>
  <cp:keywords/>
  <dc:description/>
  <cp:lastModifiedBy>Walid David</cp:lastModifiedBy>
  <cp:revision>3</cp:revision>
  <dcterms:created xsi:type="dcterms:W3CDTF">2026-05-16T11:37:00Z</dcterms:created>
  <dcterms:modified xsi:type="dcterms:W3CDTF">2026-05-27T23:31:00Z</dcterms:modified>
</cp:coreProperties>
</file>