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78C2"/>
          <w:sz w:val="36"/>
          <w:szCs w:val="36"/>
        </w:rPr>
        <w:t xml:space="preserve">The 5 Essential Components of Reading Instruction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6880"/>
          <w:sz w:val="22"/>
          <w:szCs w:val="22"/>
        </w:rPr>
        <w:t xml:space="preserve">Digital Bulletin Board — Inclusive Early Childhood Education</w:t>
      </w:r>
    </w:p>
    <w:p>
      <w:pPr>
        <w:pBdr>
          <w:bottom w:val="single" w:color="4AAEE8" w:sz="6" w:space="1"/>
        </w:pBdr>
        <w:spacing w:after="320"/>
      </w:pPr>
    </w:p>
    <w:p>
      <w:pPr>
        <w:pStyle w:val="Heading2"/>
      </w:pPr>
      <w:r>
        <w:t xml:space="preserve">Digital Bulletin Board — Link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digital bulletin board for this assignment is accessible at the following link: </w:t>
      </w:r>
    </w:p>
    <w:p>
      <w:pPr>
        <w:spacing w:after="320"/>
      </w:pPr>
      <w:hyperlink w:history="1" r:id="rIda9g5mjslmriwmgk2wzufk">
        <w:r>
          <w:rPr>
            <w:rStyle w:val="Hyperlink"/>
            <w:rFonts w:ascii="Arial" w:cs="Arial" w:eastAsia="Arial" w:hAnsi="Arial"/>
            <w:color w:val="1A78C2"/>
            <w:sz w:val="24"/>
            <w:szCs w:val="24"/>
            <w:u w:val="single"/>
          </w:rPr>
          <w:t xml:space="preserve">https://www.raniamimouni.com</w:t>
        </w:r>
      </w:hyperlink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The bulletin board covers the five essential components of reading instruction as identified by the National Reading Panel (2000): Phonemic Awareness, Phonics, Vocabulary, Fluency, and Comprehension. For each component, the board includes a video explanation, two developmentally appropriate classroom activities with differentiation strategies for students with exceptionalities, one at-home activity, and one website resource for families.</w:t>
      </w:r>
    </w:p>
    <w:p>
      <w:pPr>
        <w:pBdr>
          <w:bottom w:val="single" w:color="4AAEE8" w:sz="6" w:space="1"/>
        </w:pBdr>
        <w:spacing w:after="320"/>
      </w:pPr>
    </w:p>
    <w:p>
      <w:pPr>
        <w:pStyle w:val="Heading2"/>
      </w:pPr>
      <w:r>
        <w:t xml:space="preserve">Scholarly References (APA Format)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Beck, I. L., McKeown, M. G., &amp; Kucan, L. (2013).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Bringing words to life: Robust vocabulary instruction</w:t>
      </w:r>
      <w:r>
        <w:rPr>
          <w:rFonts w:ascii="Arial" w:cs="Arial" w:eastAsia="Arial" w:hAnsi="Arial"/>
          <w:sz w:val="24"/>
          <w:szCs w:val="24"/>
        </w:rPr>
        <w:t xml:space="preserve"> (2nd ed.). Guilford Press.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Duke, N. K., &amp; Pearson, P. D. (2002). Effective practices for developing reading comprehension. In A. E. Farstrup &amp; S. J. Samuels (Eds.),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What research has to say about reading instruction</w:t>
      </w:r>
      <w:r>
        <w:rPr>
          <w:rFonts w:ascii="Arial" w:cs="Arial" w:eastAsia="Arial" w:hAnsi="Arial"/>
          <w:sz w:val="24"/>
          <w:szCs w:val="24"/>
        </w:rPr>
        <w:t xml:space="preserve"> (3rd ed., pp. 205–242). International Reading Association.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National Institute of Child Health and Human Development. (2000).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Report of the National Reading Panel: Teaching children to read: An evidence-based assessment of the scientific research literature on reading and its implications for reading instruction</w:t>
      </w:r>
      <w:r>
        <w:rPr>
          <w:rFonts w:ascii="Arial" w:cs="Arial" w:eastAsia="Arial" w:hAnsi="Arial"/>
          <w:sz w:val="24"/>
          <w:szCs w:val="24"/>
        </w:rPr>
        <w:t xml:space="preserve"> (NIH Publication No. 00-4769). U.S. Government Printing Office.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Rasinski, T. V. (2010).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The fluent reader: Oral and silent reading strategies for building fluency, word recognition, and comprehension</w:t>
      </w:r>
      <w:r>
        <w:rPr>
          <w:rFonts w:ascii="Arial" w:cs="Arial" w:eastAsia="Arial" w:hAnsi="Arial"/>
          <w:sz w:val="24"/>
          <w:szCs w:val="24"/>
        </w:rPr>
        <w:t xml:space="preserve"> (2nd ed.). Scholastic.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Pressley, M., &amp; Afflerbach, P. (1995).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Verbal protocols of reading: The nature of constructively responsive reading</w:t>
      </w:r>
      <w:r>
        <w:rPr>
          <w:rFonts w:ascii="Arial" w:cs="Arial" w:eastAsia="Arial" w:hAnsi="Arial"/>
          <w:sz w:val="24"/>
          <w:szCs w:val="24"/>
        </w:rPr>
        <w:t xml:space="preserve">. Lawrence Erlbaum Associates.</w:t>
      </w:r>
    </w:p>
    <w:p>
      <w:pPr>
        <w:pBdr>
          <w:top w:val="single" w:color="CCCCCC" w:sz="4" w:space="1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6B6880"/>
          <w:sz w:val="18"/>
          <w:szCs w:val="18"/>
        </w:rPr>
        <w:t xml:space="preserve">Digital Bulletin Board · Inclusive Early Childhood Education · Based on the National Reading Panel (2000)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8C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9g5mjslmriwmgk2wzufk" Type="http://schemas.openxmlformats.org/officeDocument/2006/relationships/hyperlink" Target="https://www.raniamimouni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2026-06-28T19:33:13.550Z</dcterms:created>
  <dcterms:modified xsi:type="dcterms:W3CDTF">2026-06-28T19:33:13.550Z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