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Sanctioned &amp; State-Owned Entity Risk Analytics</w:t>
      </w:r>
    </w:p>
    <w:p>
      <w:pPr>
        <w:spacing w:after="40"/>
      </w:pPr>
      <w:r>
        <w:rPr>
          <w:i/>
          <w:iCs/>
          <w:color w:val="444444"/>
          <w:sz w:val="22"/>
          <w:szCs w:val="22"/>
        </w:rPr>
        <w:t xml:space="preserve">Sayari Forward Deployed Engineer Technical Exercise — Scenario 2: Analytics Report</w:t>
      </w:r>
    </w:p>
    <w:p>
      <w:pPr>
        <w:spacing w:after="60"/>
      </w:pPr>
      <w:r>
        <w:rPr>
          <w:color w:val="666666"/>
          <w:sz w:val="20"/>
          <w:szCs w:val="20"/>
        </w:rPr>
        <w:t xml:space="preserve">Morris  ·  opensentop@gmail.com  ·  August 11, 2026</w:t>
      </w:r>
    </w:p>
    <w:p>
      <w:pPr>
        <w:spacing w:after="200"/>
      </w:pPr>
      <w:r>
        <w:rPr>
          <w:color w:val="666666"/>
          <w:sz w:val="20"/>
          <w:szCs w:val="20"/>
        </w:rPr>
        <w:t xml:space="preserve">Source code: </w:t>
      </w:r>
      <w:r>
        <w:rPr>
          <w:i/>
          <w:iCs/>
          <w:color w:val="666666"/>
          <w:sz w:val="20"/>
          <w:szCs w:val="20"/>
        </w:rPr>
        <w:t xml:space="preserve">[GitHub repo link — added at deployment]</w:t>
      </w:r>
      <w:r>
        <w:rPr>
          <w:color w:val="666666"/>
          <w:sz w:val="20"/>
          <w:szCs w:val="20"/>
        </w:rPr>
        <w:t xml:space="preserve">     Live app: </w:t>
      </w:r>
      <w:r>
        <w:rPr>
          <w:i/>
          <w:iCs/>
          <w:color w:val="666666"/>
          <w:sz w:val="20"/>
          <w:szCs w:val="20"/>
        </w:rPr>
        <w:t xml:space="preserve">[Streamlit Community Cloud link — added at deployment]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Approach</w:t>
      </w:r>
    </w:p>
    <w:p>
      <w:pPr>
        <w:spacing w:after="160" w:line="276"/>
      </w:pPr>
      <w:r>
        <w:rPr>
          <w:sz w:val="22"/>
          <w:szCs w:val="22"/>
        </w:rPr>
        <w:t xml:space="preserve">I chose Scenario 2 (Analytics Report) against entity list 1 — 50 sanctioned and state-owned entities, heavily weighted toward Russia. Profile retrieval uses Sayari's Project/Project Entity API rather than a hand-chained Resolution-plus-Entity lookup: it is the purpose-built abstraction for resolving a named batch of real-world entities into unified, risk-scored profiles, and it returns a built-in match-confidence signal (strength: strong/partial/no_match) that a hand-rolled approach would otherwise need to reconstruct itself. For each resolved entity I also pulled Ownership and Watchlist traversal data — Sayari's relationship-network endpoints — to support graph-based analysis rather than flat profile fields alone.</w:t>
      </w:r>
    </w:p>
    <w:p>
      <w:pPr>
        <w:spacing w:after="160" w:line="276"/>
      </w:pPr>
      <w:r>
        <w:rPr>
          <w:sz w:val="22"/>
          <w:szCs w:val="22"/>
        </w:rPr>
        <w:t xml:space="preserve">All 50 profiles were normalized into a DuckDB schema, with a reusable SQL aggregation layer covering all three insight categories the brief names as examples — country breakdown, risk assessment breakdown, and relationship-network analysis — plus additional views for match quality and data-quality flags. Two external sources enrich every profile: OpenSanctions (free bulk export, fuzzy-matched) for citable sanctions program/authority/date detail, and OpenStreetMap geocoding for a risk-colored map, which also folds in Scenario 1's enrichment requirement into this deliverable. A Claude-generated, fact-grounded narrative accompanies each entity so findings read as plain language rather than risk-factor codes. The result is a live, interactive Streamlit application, not a static write-up, so technical and non-technical stakeholders alike can explore the same underlying data directly.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Assumptions</w:t>
      </w:r>
    </w:p>
    <w:p>
      <w:pPr>
        <w:spacing w:after="160" w:line="276"/>
      </w:pPr>
      <w:r>
        <w:rPr>
          <w:sz w:val="22"/>
          <w:szCs w:val="22"/>
        </w:rPr>
        <w:t xml:space="preserve">List 1 was used as provided, addresses included, without modification. Sayari's strength field was treated as the authoritative resolution-confidence signal; partial and no-match rows were flagged for manual review rather than silently kept or dropped. Because Sayari's Project Entity rollup does not expose its own severity-level field (only the full /entity endpoint does, which this project does not call), the risk tiers used for the map and UI are a transparent, rule-based classification built from risk-factor patterns and documented in code as our own heuristic — not presented as Sayari's official score. The architecture assumes a one-time snapshot is appropriate for this exercise's fixed 50-entity scope: acquisition runs once, and the deployed app reads a static, pre-built database with no live API calls at request time.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Challenges Encountered</w:t>
      </w:r>
    </w:p>
    <w:p>
      <w:pPr>
        <w:spacing w:after="160" w:line="276"/>
      </w:pPr>
      <w:r>
        <w:rPr>
          <w:sz w:val="22"/>
          <w:szCs w:val="22"/>
        </w:rPr>
        <w:t xml:space="preserve">Most challenges came from environment constraints rather than the Sayari API itself. My working environment sits behind a network allowlist that blocks Sayari, OpenSanctions, and OpenStreetMap directly, so acquisition and enrichment scripts were written against the documented specs and executed locally — a real split between external data acquisition and local aggregation/build that became this project's core architectural principle, and one that also keeps API credentials off the deployed app entirely.</w:t>
      </w:r>
    </w:p>
    <w:p>
      <w:pPr>
        <w:spacing w:after="160" w:line="276"/>
      </w:pPr>
      <w:r>
        <w:rPr>
          <w:sz w:val="22"/>
          <w:szCs w:val="22"/>
        </w:rPr>
        <w:t xml:space="preserve">Two data problems surfaced on first real runs and were diagnosed rather than patched blind. Geocoding initially resolved only 15 of 50 addresses (30%); a controlled retry with a country-name fallback made no difference, ruling out query ambiguity and pointing to genuinely thin OpenStreetMap coverage for transliterated Russian industrial addresses. A city-level fallback tier, clearly labeled as lower-precision, recovered 49 of 50. Separately, 7 of 47 resolved entities returned no OpenSanctions match; rather than accept that as a gap, I checked those 7 against Sayari's own risk-factor data directly and found 5 of them — VEB.RF, Sukhoi, MiG, Power Machines, and Molot-Oruzhie — carry 36 to 133 recorded risk factors each in Sayari's graph despite the clean sanctions-list miss, turning an apparent enrichment failure into the strongest single piece of evidence for Sayari's value in this exercise (detailed below). A timeout on a densely-connected entity's ownership traversal and a write-ahead-log conflict on the deployment filesystem were also hit and fixed at the client/connection level rather than worked around one-off.</w:t>
      </w:r>
    </w:p>
    <w:p>
      <w:pPr>
        <w:pStyle w:val="Heading2"/>
        <w:spacing w:after="100" w:before="220"/>
      </w:pPr>
      <w:r>
        <w:rPr>
          <w:b/>
          <w:bCs/>
          <w:color w:val="1A1A1A"/>
          <w:sz w:val="24"/>
          <w:szCs w:val="24"/>
        </w:rPr>
        <w:t xml:space="preserve">How This Demonstrates Sayari's Value</w:t>
      </w:r>
    </w:p>
    <w:p>
      <w:pPr>
        <w:spacing w:after="160" w:line="276"/>
      </w:pPr>
      <w:r>
        <w:rPr>
          <w:sz w:val="22"/>
          <w:szCs w:val="22"/>
        </w:rPr>
        <w:t xml:space="preserve">The clearest finding: a standard sanctions-list name match alone missed real, propagated risk that Sayari's relationship graph caught. Five entities cleared a free bulk sanctions screen entirely, yet Sayari's own ownership and control data shows each carrying dozens to well over a hundred recorded risk factors — exactly the kind of exposure a client relying on list-matching tools alone would never see.</w:t>
      </w:r>
    </w:p>
    <w:p>
      <w:pPr>
        <w:spacing w:after="160" w:line="276"/>
      </w:pPr>
      <w:r>
        <w:rPr>
          <w:sz w:val="22"/>
          <w:szCs w:val="22"/>
        </w:rPr>
        <w:t xml:space="preserve">The network data adds a second layer a plain entity list cannot: 43 distinct countries appear across these entities' relationship graphs, against 9 countries in the input addresses. Cyprus ranks third by connection count (16 of 50 entities), ahead of China — a classic offshore-structuring signal invisible from an address column and visible only once the graph is examined. Four entities' Watchlist traversals were large enough to hit Sayari's own exploration ceiling, including Sovcombank, a mid-tier bank whose network scale was not predictable in advance.</w:t>
      </w:r>
    </w:p>
    <w:p>
      <w:pPr>
        <w:spacing w:after="160" w:line="276"/>
      </w:pPr>
      <w:r>
        <w:rPr>
          <w:sz w:val="22"/>
          <w:szCs w:val="22"/>
        </w:rPr>
        <w:t xml:space="preserve">Delivered as a live application with a risk-colored map, filterable entity explorer, relationship-network view, and a plain-language AI narrative per entity, the result is something a client's own team — technical or not — can open and interrogate directly, rather than a static slide asking them to trust a headline number.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2026-08-12T06:39:45.714Z</dcterms:created>
  <dcterms:modified xsi:type="dcterms:W3CDTF">2026-08-12T06:39:45.716Z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