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300"/>
        <w:jc w:val="center"/>
      </w:pPr>
      <w:r>
        <w:rPr>
          <w:rFonts w:ascii="Arial" w:cs="Arial" w:eastAsia="Arial" w:hAnsi="Arial"/>
          <w:b/>
          <w:bCs/>
          <w:color w:val="1A1A2E"/>
          <w:sz w:val="40"/>
          <w:szCs w:val="40"/>
        </w:rPr>
        <w:t xml:space="preserve">Hangul-to-Japanese Input Method Engine:</w:t>
      </w:r>
    </w:p>
    <w:p>
      <w:pPr>
        <w:spacing w:after="400"/>
        <w:jc w:val="center"/>
      </w:pPr>
      <w:r>
        <w:rPr>
          <w:rFonts w:ascii="Arial" w:cs="Arial" w:eastAsia="Arial" w:hAnsi="Arial"/>
          <w:color w:val="2E75B6"/>
          <w:sz w:val="32"/>
          <w:szCs w:val="32"/>
        </w:rPr>
        <w:t xml:space="preserve">A Multi-Stage Phonetic-Semantic Conversion Pipeline</w:t>
      </w:r>
    </w:p>
    <w:p>
      <w:pPr>
        <w:spacing w:after="120"/>
        <w:jc w:val="center"/>
      </w:pPr>
      <w:r>
        <w:rPr>
          <w:rFonts w:ascii="Arial" w:cs="Arial" w:eastAsia="Arial" w:hAnsi="Arial"/>
          <w:i/>
          <w:iCs/>
          <w:color w:val="555555"/>
          <w:sz w:val="26"/>
          <w:szCs w:val="26"/>
        </w:rPr>
        <w:t xml:space="preserve">Experimental Results and System Design</w:t>
      </w:r>
    </w:p>
    <w:p>
      <w:pPr>
        <w:spacing w:after="800"/>
      </w:pPr>
    </w:p>
    <w:p>
      <w:pPr>
        <w:spacing w:after="80"/>
        <w:jc w:val="center"/>
      </w:pPr>
      <w:r>
        <w:rPr>
          <w:rFonts w:ascii="Arial" w:cs="Arial" w:eastAsia="Arial" w:hAnsi="Arial"/>
          <w:sz w:val="22"/>
          <w:szCs w:val="22"/>
        </w:rPr>
        <w:t xml:space="preserve">jhzhang6902@gmail.com</w:t>
      </w:r>
    </w:p>
    <w:p>
      <w:pPr>
        <w:spacing w:after="80"/>
        <w:jc w:val="center"/>
      </w:pPr>
      <w:r>
        <w:rPr>
          <w:rFonts w:ascii="Arial" w:cs="Arial" w:eastAsia="Arial" w:hAnsi="Arial"/>
          <w:color w:val="666666"/>
          <w:sz w:val="22"/>
          <w:szCs w:val="22"/>
        </w:rPr>
        <w:t xml:space="preserve">April 2026</w:t>
      </w:r>
    </w:p>
    <w:p>
      <w:r>
        <w:br w:type="page"/>
      </w:r>
    </w:p>
    <w:p>
      <w:pPr>
        <w:pStyle w:val="Heading1"/>
        <w:spacing w:after="200" w:before="36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Abstract</w:t>
      </w:r>
    </w:p>
    <w:p>
      <w:pPr>
        <w:spacing w:after="160" w:before="0" w:line="276"/>
        <w:ind w:firstLine="480"/>
        <w:jc w:val="both"/>
      </w:pPr>
      <w:r>
        <w:rPr>
          <w:rFonts w:ascii="Arial" w:cs="Arial" w:eastAsia="Arial" w:hAnsi="Arial"/>
          <w:sz w:val="22"/>
          <w:szCs w:val="22"/>
        </w:rPr>
        <w:t xml:space="preserve">This paper presents the design, implementation, and comprehensive experimental evaluation of a novel Input Method Engine (IME) that enables Japanese text input using the Korean Hangul keyboard layout. The system addresses a unique cross-linguistic challenge: converting Korean phonetic representations of Japanese sounds into accurate Japanese text (hiragana, katakana, and kanji). Our multi-stage pipeline combines phonetic embedding-based decoding, word co-occurrence embeddings with adjacent-sentence context, n-gram language modeling, and a 4-factor weighted ranking formula. Through 14 systematic experiments covering phonetic decoding, semantic disambiguation, training volume scaling, vocabulary expansion, and input efficiency, we achieved a Top-1 surface accuracy of 62.1% with a keystroke-per-character (KSPC) ratio of 0.85, which is 57.5% more efficient than standard romaji input (KSPC 2.0). The system was deployed as native IME applications for macOS (InputMethodKit) and Windows (keyboard hook), demonstrating practical viability for real-world use.</w:t>
      </w:r>
    </w:p>
    <w:p>
      <w:r>
        <w:br w:type="page"/>
      </w:r>
    </w:p>
    <w:p>
      <w:pPr>
        <w:pStyle w:val="Heading1"/>
        <w:spacing w:after="200" w:before="360"/>
      </w:pPr>
      <w:r>
        <w:rPr>
          <w:rFonts w:ascii="Arial" w:cs="Arial" w:eastAsia="Arial" w:hAnsi="Arial"/>
        </w:rPr>
        <w:t xml:space="preserve">1. Introduction</w:t>
      </w:r>
    </w:p>
    <w:p>
      <w:pPr>
        <w:spacing w:after="160" w:before="0" w:line="276"/>
        <w:ind w:firstLine="480"/>
        <w:jc w:val="both"/>
      </w:pPr>
      <w:r>
        <w:rPr>
          <w:rFonts w:ascii="Arial" w:cs="Arial" w:eastAsia="Arial" w:hAnsi="Arial"/>
          <w:sz w:val="22"/>
          <w:szCs w:val="22"/>
        </w:rPr>
        <w:t xml:space="preserve">Japanese text input systems have been a subject of extensive research and commercial development. The dominant approach, romaji input, requires users to type romanized representations of Japanese sounds (e.g., "arigatou" for ありがとう), which are then converted to hiragana and subsequently to kanji through dictionary lookup and language modeling. This paper explores an alternative approach: using the Korean Hangul keyboard layout as the phonetic input medium for Japanese text.</w:t>
      </w:r>
    </w:p>
    <w:p>
      <w:pPr>
        <w:spacing w:after="160" w:before="0" w:line="276"/>
        <w:ind w:firstLine="480"/>
        <w:jc w:val="both"/>
      </w:pPr>
      <w:r>
        <w:rPr>
          <w:rFonts w:ascii="Arial" w:cs="Arial" w:eastAsia="Arial" w:hAnsi="Arial"/>
          <w:sz w:val="22"/>
          <w:szCs w:val="22"/>
        </w:rPr>
        <w:t xml:space="preserve">The Korean Hangul writing system offers a unique advantage for Japanese phonetic input. Hangul is a featural alphabet where each character block encodes onset-nucleus-coda phonemes in a compact visual unit. A single Hangul syllable block (e.g., 한) can represent a complete Japanese mora in just one or two keystrokes, compared to two to four keystrokes in romaji. For example, the Japanese word か (ka) requires two keystrokes in romaji (k+a) but can be mapped from the Hangul consonant-vowel pair ᄏ+ᅡ using the standard Korean two-set (dubeolsik) keyboard layout.</w:t>
      </w:r>
    </w:p>
    <w:p>
      <w:pPr>
        <w:pStyle w:val="Heading2"/>
        <w:spacing w:after="160" w:before="280"/>
      </w:pPr>
      <w:r>
        <w:rPr>
          <w:rFonts w:ascii="Arial" w:cs="Arial" w:eastAsia="Arial" w:hAnsi="Arial"/>
        </w:rPr>
        <w:t xml:space="preserve">1.1 Problem Statement</w:t>
      </w:r>
    </w:p>
    <w:p>
      <w:pPr>
        <w:spacing w:after="160" w:before="0" w:line="276"/>
        <w:ind w:firstLine="480"/>
        <w:jc w:val="both"/>
      </w:pPr>
      <w:r>
        <w:rPr>
          <w:rFonts w:ascii="Arial" w:cs="Arial" w:eastAsia="Arial" w:hAnsi="Arial"/>
          <w:sz w:val="22"/>
          <w:szCs w:val="22"/>
        </w:rPr>
        <w:t xml:space="preserve">The Hangul-to-Japanese conversion pipeline faces several technical challenges that distinguish it from standard Japanese IME systems. First, the phonetic mapping between Korean and Japanese is inherently ambiguous: multiple hiragana sequences can produce the same Hangul representation (e.g., つ (tsu) and ちゅ (chyu) both map to similar Hangul). Second, Japanese long vowels (e.g., こう kou vs. こお koo) create additional ambiguity in the Hangul domain. Third, the system must perform kanji disambiguation over a much larger candidate space than traditional IMEs, since the hiragana candidates themselves are probabilistic rather than deterministic.</w:t>
      </w:r>
    </w:p>
    <w:p>
      <w:pPr>
        <w:pStyle w:val="Heading2"/>
        <w:spacing w:after="160" w:before="280"/>
      </w:pPr>
      <w:r>
        <w:rPr>
          <w:rFonts w:ascii="Arial" w:cs="Arial" w:eastAsia="Arial" w:hAnsi="Arial"/>
        </w:rPr>
        <w:t xml:space="preserve">1.2 Contributions</w:t>
      </w:r>
    </w:p>
    <w:p>
      <w:pPr>
        <w:spacing w:after="160" w:before="0" w:line="276"/>
        <w:ind w:firstLine="480"/>
        <w:jc w:val="both"/>
      </w:pPr>
      <w:r>
        <w:rPr>
          <w:rFonts w:ascii="Arial" w:cs="Arial" w:eastAsia="Arial" w:hAnsi="Arial"/>
          <w:sz w:val="22"/>
          <w:szCs w:val="22"/>
        </w:rPr>
        <w:t xml:space="preserve">This paper makes the following contributions: (1) a phonetic embedding model that achieves 90.5% hiragana Top-1 accuracy from Hangul input, a +30.9 percentage point improvement over rule-based conversion; (2) an adjacent-sentence co-occurrence embedding method that provides +25.7 percentage points of kanji disambiguation accuracy; (3) a 4-factor ranking formula combining phonetic confidence, context similarity, frequency, and n-gram scores that reaches 62.1% Top-1 surface accuracy; (4) comprehensive experimental evaluation across 14 dimensions including training volume scaling, vocabulary expansion, window size, directional embeddings, and long vowel analysis; and (5) native IME implementations for macOS and Windows with a KSPC of 0.85.</w:t>
      </w:r>
    </w:p>
    <w:p>
      <w:r>
        <w:br w:type="page"/>
      </w:r>
    </w:p>
    <w:p>
      <w:pPr>
        <w:pStyle w:val="Heading1"/>
        <w:spacing w:after="200" w:before="360"/>
      </w:pPr>
      <w:r>
        <w:rPr>
          <w:rFonts w:ascii="Arial" w:cs="Arial" w:eastAsia="Arial" w:hAnsi="Arial"/>
        </w:rPr>
        <w:t xml:space="preserve">2. System Architecture</w:t>
      </w:r>
    </w:p>
    <w:p>
      <w:pPr>
        <w:spacing w:after="160" w:before="0" w:line="276"/>
        <w:ind w:firstLine="480"/>
        <w:jc w:val="both"/>
      </w:pPr>
      <w:r>
        <w:rPr>
          <w:rFonts w:ascii="Arial" w:cs="Arial" w:eastAsia="Arial" w:hAnsi="Arial"/>
          <w:sz w:val="22"/>
          <w:szCs w:val="22"/>
        </w:rPr>
        <w:t xml:space="preserve">The IME system is implemented in Rust as a workspace of eight crates: core, hangul, japanese, db, macos-ime, windows-ime, android-bridge, and cli. The conversion pipeline consists of four stages executed sequentially for each word being input.</w:t>
      </w:r>
    </w:p>
    <w:p>
      <w:pPr>
        <w:pStyle w:val="Heading2"/>
        <w:spacing w:after="160" w:before="280"/>
      </w:pPr>
      <w:r>
        <w:rPr>
          <w:rFonts w:ascii="Arial" w:cs="Arial" w:eastAsia="Arial" w:hAnsi="Arial"/>
        </w:rPr>
        <w:t xml:space="preserve">2.1 Stage 1: QWERTY to Hangul Jamo Composition</w:t>
      </w:r>
    </w:p>
    <w:p>
      <w:pPr>
        <w:spacing w:after="160" w:before="0" w:line="276"/>
        <w:ind w:firstLine="480"/>
        <w:jc w:val="both"/>
      </w:pPr>
      <w:r>
        <w:rPr>
          <w:rFonts w:ascii="Arial" w:cs="Arial" w:eastAsia="Arial" w:hAnsi="Arial"/>
          <w:sz w:val="22"/>
          <w:szCs w:val="22"/>
        </w:rPr>
        <w:t xml:space="preserve">Physical keyboard events (QWERTY keycodes) are first mapped to Korean jamo (consonants and vowels) using the standard dubeolsik (two-set) layout. The jamo are then composed into Hangul syllable blocks using the Unicode composition formula: codepoint = 0xAC00 + (cho × 21 × 28) + (jung × 28) + jong. This stage handles compound vowels (ㅗ+ㅡ→ㅘ) and compound consonants (ㄱ+ㅅ→ㄳ) through a state machine that tracks the current composition state.</w:t>
      </w:r>
    </w:p>
    <w:p>
      <w:pPr>
        <w:pStyle w:val="Heading2"/>
        <w:spacing w:after="160" w:before="280"/>
      </w:pPr>
      <w:r>
        <w:rPr>
          <w:rFonts w:ascii="Arial" w:cs="Arial" w:eastAsia="Arial" w:hAnsi="Arial"/>
        </w:rPr>
        <w:t xml:space="preserve">2.2 Stage 2: Hangul to Hiragana Decoding</w:t>
      </w:r>
    </w:p>
    <w:p>
      <w:pPr>
        <w:spacing w:after="160" w:before="0" w:line="276"/>
        <w:ind w:firstLine="480"/>
        <w:jc w:val="both"/>
      </w:pPr>
      <w:r>
        <w:rPr>
          <w:rFonts w:ascii="Arial" w:cs="Arial" w:eastAsia="Arial" w:hAnsi="Arial"/>
          <w:sz w:val="22"/>
          <w:szCs w:val="22"/>
        </w:rPr>
        <w:t xml:space="preserve">The composed Hangul string is converted to hiragana candidates using a learned PhoneticMap and BeamDecoder. The PhoneticMap is a statistical model that maps each Hangul token (syllable or sub-syllable unit) to one or more hiragana sequences with associated probabilities, learned from 500K training sentence pairs. The BeamDecoder explores the top-k hiragana sequences using beam search with beam width 8 and maximum 20 candidates.</w:t>
      </w:r>
    </w:p>
    <w:p>
      <w:pPr>
        <w:pStyle w:val="Heading2"/>
        <w:spacing w:after="160" w:before="280"/>
      </w:pPr>
      <w:r>
        <w:rPr>
          <w:rFonts w:ascii="Arial" w:cs="Arial" w:eastAsia="Arial" w:hAnsi="Arial"/>
        </w:rPr>
        <w:t xml:space="preserve">2.3 Stage 3: Kanji Candidate Lookup</w:t>
      </w:r>
    </w:p>
    <w:p>
      <w:pPr>
        <w:spacing w:after="160" w:before="0" w:line="276"/>
        <w:ind w:firstLine="480"/>
        <w:jc w:val="both"/>
      </w:pPr>
      <w:r>
        <w:rPr>
          <w:rFonts w:ascii="Arial" w:cs="Arial" w:eastAsia="Arial" w:hAnsi="Arial"/>
          <w:sz w:val="22"/>
          <w:szCs w:val="22"/>
        </w:rPr>
        <w:t xml:space="preserve">Each hiragana candidate is looked up in a kanji dictionary (KanjiDict) to retrieve all possible surface forms. For example, the hiragana こうえん maps to candidates including 公園 (park), 講演 (lecture), 公演 (performance), and 後援 (support). Each candidate carries a frequency count from the training corpus.</w:t>
      </w:r>
    </w:p>
    <w:p>
      <w:pPr>
        <w:pStyle w:val="Heading2"/>
        <w:spacing w:after="160" w:before="280"/>
      </w:pPr>
      <w:r>
        <w:rPr>
          <w:rFonts w:ascii="Arial" w:cs="Arial" w:eastAsia="Arial" w:hAnsi="Arial"/>
        </w:rPr>
        <w:t xml:space="preserve">2.4 Stage 4: Context-Aware Ranking</w:t>
      </w:r>
    </w:p>
    <w:p>
      <w:pPr>
        <w:spacing w:after="160" w:before="0" w:line="276"/>
        <w:ind w:firstLine="480"/>
        <w:jc w:val="both"/>
      </w:pPr>
      <w:r>
        <w:rPr>
          <w:rFonts w:ascii="Arial" w:cs="Arial" w:eastAsia="Arial" w:hAnsi="Arial"/>
          <w:sz w:val="22"/>
          <w:szCs w:val="22"/>
        </w:rPr>
        <w:t xml:space="preserve">Candidates are scored using a 4-factor weighted formula: score = α · phoneme + β · context + γ · frequency + δ · ngram, where α=0.1, β=0.35, γ=0.25, δ=0.3. The context score is computed as the cosine similarity between the candidate's 64-dimensional word embedding and a weighted average of previously confirmed words' embeddings. The n-gram score captures sequential patterns using bigram and trigram conditional probabilities.</w:t>
      </w:r>
    </w:p>
    <w:p>
      <w:r>
        <w:br w:type="page"/>
      </w:r>
    </w:p>
    <w:p>
      <w:pPr>
        <w:pStyle w:val="Heading1"/>
        <w:spacing w:after="200" w:before="360"/>
      </w:pPr>
      <w:r>
        <w:rPr>
          <w:rFonts w:ascii="Arial" w:cs="Arial" w:eastAsia="Arial" w:hAnsi="Arial"/>
        </w:rPr>
        <w:t xml:space="preserve">3. Experimental Methodology</w:t>
      </w:r>
    </w:p>
    <w:p>
      <w:pPr>
        <w:pStyle w:val="Heading2"/>
        <w:spacing w:after="160" w:before="280"/>
      </w:pPr>
      <w:r>
        <w:rPr>
          <w:rFonts w:ascii="Arial" w:cs="Arial" w:eastAsia="Arial" w:hAnsi="Arial"/>
        </w:rPr>
        <w:t xml:space="preserve">3.1 Corpus Generation</w:t>
      </w:r>
    </w:p>
    <w:p>
      <w:pPr>
        <w:spacing w:after="160" w:before="0" w:line="276"/>
        <w:ind w:firstLine="480"/>
        <w:jc w:val="both"/>
      </w:pPr>
      <w:r>
        <w:rPr>
          <w:rFonts w:ascii="Arial" w:cs="Arial" w:eastAsia="Arial" w:hAnsi="Arial"/>
          <w:sz w:val="22"/>
          <w:szCs w:val="22"/>
        </w:rPr>
        <w:t xml:space="preserve">All experiments use a synthetic Japanese corpus generator that produces sentences with associated surface forms, readings (hiragana), and Hangul transliterations. The generator draws from a vocabulary of 1,442 entries (base) or 23,472 entries (expanded), constructing sentences of 2–5 words with grammatically plausible word order. Training and test sets are separated by index offset to prevent data leakage: training uses sentences 0..N, while testing uses sentences N..N+1000 (or a different random seed).</w:t>
      </w:r>
    </w:p>
    <w:p>
      <w:pPr>
        <w:pStyle w:val="Heading2"/>
        <w:spacing w:after="160" w:before="280"/>
      </w:pPr>
      <w:r>
        <w:rPr>
          <w:rFonts w:ascii="Arial" w:cs="Arial" w:eastAsia="Arial" w:hAnsi="Arial"/>
        </w:rPr>
        <w:t xml:space="preserve">3.2 Evaluation Metrics</w:t>
      </w:r>
    </w:p>
    <w:p>
      <w:pPr>
        <w:spacing w:after="160" w:before="0" w:line="276"/>
        <w:ind w:firstLine="480"/>
        <w:jc w:val="both"/>
      </w:pPr>
      <w:r>
        <w:rPr>
          <w:rFonts w:ascii="Arial" w:cs="Arial" w:eastAsia="Arial" w:hAnsi="Arial"/>
          <w:sz w:val="22"/>
          <w:szCs w:val="22"/>
        </w:rPr>
        <w:t xml:space="preserve">We employ the following metrics throughout all experiments: Top-1 Surface Accuracy measures whether the highest-ranked candidate exactly matches the original surface form. Hiragana Top-1 measures whether the correct hiragana reading appears as the top phonetic decode. Hiragana Any-Hit measures whether the correct reading appears anywhere in the candidate list. Top-K Hit Rate (K=3, 5, 10) measures whether the correct surface appears within the top K ranked candidates. Full Document Match measures whether all words in a sentence are correctly converted. KSPC (Keystrokes Per Character) measures input efficiency as the ratio of physical keystrokes to output characters.</w:t>
      </w:r>
    </w:p>
    <w:p>
      <w:pPr>
        <w:pStyle w:val="Heading2"/>
        <w:spacing w:after="160" w:before="280"/>
      </w:pPr>
      <w:r>
        <w:rPr>
          <w:rFonts w:ascii="Arial" w:cs="Arial" w:eastAsia="Arial" w:hAnsi="Arial"/>
        </w:rPr>
        <w:t xml:space="preserve">3.3 Training Configuration</w:t>
      </w:r>
    </w:p>
    <w:p>
      <w:pPr>
        <w:spacing w:after="160" w:before="0" w:line="276"/>
        <w:ind w:firstLine="480"/>
        <w:jc w:val="both"/>
      </w:pPr>
      <w:r>
        <w:rPr>
          <w:rFonts w:ascii="Arial" w:cs="Arial" w:eastAsia="Arial" w:hAnsi="Arial"/>
          <w:sz w:val="22"/>
          <w:szCs w:val="22"/>
        </w:rPr>
        <w:t xml:space="preserve">Unless otherwise noted, experiments use the following default configuration: 500,000 training sentences, 64-dimensional word embeddings trained with 50 SGD iterations, co-occurrence window size of 5, and 1,000 test documents (300 for computationally intensive experiments). All benchmarks run on in-memory SQLite databases to eliminate disk I/O variance.</w:t>
      </w:r>
    </w:p>
    <w:p>
      <w:r>
        <w:br w:type="page"/>
      </w:r>
    </w:p>
    <w:p>
      <w:pPr>
        <w:pStyle w:val="Heading1"/>
        <w:spacing w:after="200" w:before="360"/>
      </w:pPr>
      <w:r>
        <w:rPr>
          <w:rFonts w:ascii="Arial" w:cs="Arial" w:eastAsia="Arial" w:hAnsi="Arial"/>
        </w:rPr>
        <w:t xml:space="preserve">4. Experiments and Results</w:t>
      </w:r>
    </w:p>
    <w:p>
      <w:pPr>
        <w:pStyle w:val="Heading2"/>
        <w:spacing w:after="160" w:before="280"/>
      </w:pPr>
      <w:r>
        <w:rPr>
          <w:rFonts w:ascii="Arial" w:cs="Arial" w:eastAsia="Arial" w:hAnsi="Arial"/>
        </w:rPr>
        <w:t xml:space="preserve">4.1 Phonetic Decoding: Rule-Based vs. Embedding</w:t>
      </w:r>
    </w:p>
    <w:p>
      <w:pPr>
        <w:spacing w:after="160" w:before="0" w:line="276"/>
        <w:ind w:firstLine="480"/>
        <w:jc w:val="both"/>
      </w:pPr>
      <w:r>
        <w:rPr>
          <w:rFonts w:ascii="Arial" w:cs="Arial" w:eastAsia="Arial" w:hAnsi="Arial"/>
          <w:sz w:val="22"/>
          <w:szCs w:val="22"/>
        </w:rPr>
        <w:t xml:space="preserve">The first experiment compares two approaches for converting Hangul to hiragana: (A) a rule-based pipeline that converts Hangul to romaji via deterministic phoneme rules, then romaji to hiragana; and (B) a learned PhoneticMap with BeamDecoder that statistically maps Hangul tokens to hiragana sequences. Both arms use identical context ranking for kanji disambiguation.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180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Metric</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Rule-Based (A)</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Phonetic Embedding (B)</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Δ (B−A)</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Hiragana Top-1</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59.6%</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90.5%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008800"/>
                <w:sz w:val="18"/>
                <w:szCs w:val="18"/>
              </w:rPr>
              <w:t xml:space="preserve">+30.9%p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Hiragana Any-Hit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89.2%</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95.0%</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+5.8%p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Top-1 Surface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17.8%</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27.1%</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+9.3%p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Reading Match</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63.6%</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90.5%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+26.8%p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Top-10 Hit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87.7%</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94.6%</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+6.8%p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Document Match</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2.3%</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5.2%</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+2.9%p</w:t>
            </w:r>
          </w:p>
        </w:tc>
      </w:tr>
    </w:tbl>
    <w:p>
      <w:pPr>
        <w:spacing w:after="200" w:before="80"/>
        <w:jc w:val="center"/>
      </w:pPr>
      <w:r>
        <w:rPr>
          <w:rFonts w:ascii="Arial" w:cs="Arial" w:eastAsia="Arial" w:hAnsi="Arial"/>
          <w:i/>
          <w:iCs/>
          <w:color w:val="555555"/>
          <w:sz w:val="18"/>
          <w:szCs w:val="18"/>
        </w:rPr>
        <w:t xml:space="preserve">Table 1. Phonetic decoding comparison: rule-based vs. learned embedding (500K training, 1000 test docs)</w:t>
      </w:r>
    </w:p>
    <w:p>
      <w:pPr>
        <w:spacing w:after="160" w:before="0" w:line="276"/>
        <w:ind w:firstLine="480"/>
        <w:jc w:val="both"/>
      </w:pPr>
      <w:r>
        <w:rPr>
          <w:rFonts w:ascii="Arial" w:cs="Arial" w:eastAsia="Arial" w:hAnsi="Arial"/>
          <w:sz w:val="22"/>
          <w:szCs w:val="22"/>
        </w:rPr>
        <w:t xml:space="preserve">The phonetic embedding approach achieves a dramatic +30.9 percentage point improvement in hiragana Top-1 accuracy (59.6% to 90.5%). The PhoneticMap learns 224 unique Hangul tokens with 266 mappings (average ambiguity 1.2 candidates per token). Notably, the map is invariant across training volumes from 500K to 10M sentences, indicating that the phonetic mapping space saturates early and the bottleneck lies in downstream disambiguation.</w:t>
      </w:r>
    </w:p>
    <w:p>
      <w:pPr>
        <w:pStyle w:val="Heading2"/>
        <w:spacing w:after="160" w:before="280"/>
      </w:pPr>
      <w:r>
        <w:rPr>
          <w:rFonts w:ascii="Arial" w:cs="Arial" w:eastAsia="Arial" w:hAnsi="Arial"/>
        </w:rPr>
        <w:t xml:space="preserve">4.2 Marker and Multi-Token Phonetic Decoding</w:t>
      </w:r>
    </w:p>
    <w:p>
      <w:pPr>
        <w:spacing w:after="160" w:before="0" w:line="276"/>
        <w:ind w:firstLine="480"/>
        <w:jc w:val="both"/>
      </w:pPr>
      <w:r>
        <w:rPr>
          <w:rFonts w:ascii="Arial" w:cs="Arial" w:eastAsia="Arial" w:hAnsi="Arial"/>
          <w:sz w:val="22"/>
          <w:szCs w:val="22"/>
        </w:rPr>
        <w:t xml:space="preserve">We tested three enhancements to the baseline phonetic decoder: (1) a marker approach that injects special symbols at ambiguous phonetic boundaries; (2) a multi-token approach that allows the BeamDecoder to consider 2-3 character Hangul tokens alongside single characters; and (3) a hybrid combining both. The multi-token approach raises the Top-10 ceiling from 94.5% to 97.6% (+3.1%p) by expanding the candidate space, though Top-1 drops slightly due to increased beam search ambiguity between single-character and multi-character tokenizations.</w:t>
      </w:r>
    </w:p>
    <w:p>
      <w:pPr>
        <w:pStyle w:val="Heading2"/>
        <w:spacing w:after="160" w:before="280"/>
      </w:pPr>
      <w:r>
        <w:rPr>
          <w:rFonts w:ascii="Arial" w:cs="Arial" w:eastAsia="Arial" w:hAnsi="Arial"/>
        </w:rPr>
        <w:t xml:space="preserve">4.3 Adjacent-Sentence Co-occurrence Embeddings</w:t>
      </w:r>
    </w:p>
    <w:p>
      <w:pPr>
        <w:spacing w:after="160" w:before="0" w:line="276"/>
        <w:ind w:firstLine="480"/>
        <w:jc w:val="both"/>
      </w:pPr>
      <w:r>
        <w:rPr>
          <w:rFonts w:ascii="Arial" w:cs="Arial" w:eastAsia="Arial" w:hAnsi="Arial"/>
          <w:sz w:val="22"/>
          <w:szCs w:val="22"/>
        </w:rPr>
        <w:t xml:space="preserve">Standard word embeddings capture within-sentence co-occurrence patterns. We introduce adjacent-sentence co-occurrence, where words from neighboring sentences also contribute to the co-occurrence matrix with a cross-sentence weight (cross_weight). This captures broader topical coherence.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1800"/>
      </w:tblGrid>
      <w:tr>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Configuration</w:t>
            </w:r>
          </w:p>
        </w:tc>
        <w:tc>
          <w:tcPr>
            <w:tcW w:type="dxa" w:w="2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Surface</w:t>
            </w:r>
          </w:p>
        </w:tc>
        <w:tc>
          <w:tcPr>
            <w:tcW w:type="dxa" w:w="2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Reading Match</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Doc Match</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A. Baseline (intra-sentence only)</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26.5%</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90.5%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4.7%</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B. + Marker+Multitoken</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26.6%</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90.9%</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4.8%</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C. + Adjacent-Sentence</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52.2%</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92.2%</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18.0%</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D. + Both Combined</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53.8%</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92.2%</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18.0%</w:t>
            </w:r>
          </w:p>
        </w:tc>
      </w:tr>
    </w:tbl>
    <w:p>
      <w:pPr>
        <w:spacing w:after="200" w:before="80"/>
        <w:jc w:val="center"/>
      </w:pPr>
      <w:r>
        <w:rPr>
          <w:rFonts w:ascii="Arial" w:cs="Arial" w:eastAsia="Arial" w:hAnsi="Arial"/>
          <w:i/>
          <w:iCs/>
          <w:color w:val="555555"/>
          <w:sz w:val="18"/>
          <w:szCs w:val="18"/>
        </w:rPr>
        <w:t xml:space="preserve">Table 2. Combined benchmark: marker+multitoken phonetic × adjacent-sentence semantics</w:t>
      </w:r>
    </w:p>
    <w:p>
      <w:pPr>
        <w:spacing w:after="160" w:before="0" w:line="276"/>
        <w:ind w:firstLine="480"/>
        <w:jc w:val="both"/>
      </w:pPr>
      <w:r>
        <w:rPr>
          <w:rFonts w:ascii="Arial" w:cs="Arial" w:eastAsia="Arial" w:hAnsi="Arial"/>
          <w:sz w:val="22"/>
          <w:szCs w:val="22"/>
        </w:rPr>
        <w:t xml:space="preserve">Adjacent-sentence context is the single largest improvement factor, providing +25.7 percentage points of Top-1 surface accuracy. The marker+multitoken phonetic enhancement adds only marginal benefit (+1.6%p) when combined with adjacent-sentence context, suggesting that the semantic disambiguation stage already compensates for most phonetic decoding errors.</w:t>
      </w:r>
    </w:p>
    <w:p>
      <w:pPr>
        <w:pStyle w:val="Heading2"/>
        <w:spacing w:after="160" w:before="280"/>
      </w:pPr>
      <w:r>
        <w:rPr>
          <w:rFonts w:ascii="Arial" w:cs="Arial" w:eastAsia="Arial" w:hAnsi="Arial"/>
        </w:rPr>
        <w:t xml:space="preserve">4.4 Adjacent-Sentence Parameter Optimization</w:t>
      </w:r>
    </w:p>
    <w:p>
      <w:pPr>
        <w:spacing w:after="160" w:before="0" w:line="276"/>
        <w:ind w:firstLine="480"/>
        <w:jc w:val="both"/>
      </w:pPr>
      <w:r>
        <w:rPr>
          <w:rFonts w:ascii="Arial" w:cs="Arial" w:eastAsia="Arial" w:hAnsi="Arial"/>
          <w:sz w:val="22"/>
          <w:szCs w:val="22"/>
        </w:rPr>
        <w:t xml:space="preserve">We conducted a systematic 6-axis parameter sweep to optimize the adjacent-sentence embedding configuration. Results are summarized below.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20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Parameter</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Optimal Value</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Surface</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Δ vs. Baseline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cross_weight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0.2</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45.8%</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+24.3%p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cross_weight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0.4</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43.0%</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+21.5%p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cross_weight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0.8</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41.6%</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+20.1%p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sentence_range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44.7%</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+23.2%p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window_size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42.5%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+21.0%p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embedding_dim</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128</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45.3%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+22.6%p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iterations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100</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44.8%</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+22.1%p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ranking γ=0.4</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γ=0.4</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47.6%</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008800"/>
                <w:sz w:val="18"/>
                <w:szCs w:val="18"/>
              </w:rPr>
              <w:t xml:space="preserve">+24.9%p</w:t>
            </w:r>
          </w:p>
        </w:tc>
      </w:tr>
    </w:tbl>
    <w:p>
      <w:pPr>
        <w:spacing w:after="200" w:before="80"/>
        <w:jc w:val="center"/>
      </w:pPr>
      <w:r>
        <w:rPr>
          <w:rFonts w:ascii="Arial" w:cs="Arial" w:eastAsia="Arial" w:hAnsi="Arial"/>
          <w:i/>
          <w:iCs/>
          <w:color w:val="555555"/>
          <w:sz w:val="18"/>
          <w:szCs w:val="18"/>
        </w:rPr>
        <w:t xml:space="preserve">Table 3. Adjacent-sentence parameter sweep (baseline: 22.6% without adjacent-sentence)</w:t>
      </w:r>
    </w:p>
    <w:p>
      <w:pPr>
        <w:spacing w:after="160" w:before="0" w:line="276"/>
        <w:ind w:firstLine="480"/>
        <w:jc w:val="both"/>
      </w:pPr>
      <w:r>
        <w:rPr>
          <w:rFonts w:ascii="Arial" w:cs="Arial" w:eastAsia="Arial" w:hAnsi="Arial"/>
          <w:sz w:val="22"/>
          <w:szCs w:val="22"/>
        </w:rPr>
        <w:t xml:space="preserve">The optimal cross_weight of 0.2 indicates that cross-sentence signal should be treated as supplementary (20% weight relative to intra-sentence). Higher values dilute the within-sentence co-occurrence patterns that carry the most disambiguation power. The frequency weight (γ) optimization to 0.4 provides an additional +1.8%p gain without requiring any additional training.</w:t>
      </w:r>
    </w:p>
    <w:p>
      <w:r>
        <w:br w:type="page"/>
      </w:r>
    </w:p>
    <w:p>
      <w:pPr>
        <w:pStyle w:val="Heading2"/>
        <w:spacing w:after="160" w:before="280"/>
      </w:pPr>
      <w:r>
        <w:rPr>
          <w:rFonts w:ascii="Arial" w:cs="Arial" w:eastAsia="Arial" w:hAnsi="Arial"/>
        </w:rPr>
        <w:t xml:space="preserve">4.5 N-gram Language Model Integration</w:t>
      </w:r>
    </w:p>
    <w:p>
      <w:pPr>
        <w:spacing w:after="160" w:before="0" w:line="276"/>
        <w:ind w:firstLine="480"/>
        <w:jc w:val="both"/>
      </w:pPr>
      <w:r>
        <w:rPr>
          <w:rFonts w:ascii="Arial" w:cs="Arial" w:eastAsia="Arial" w:hAnsi="Arial"/>
          <w:sz w:val="22"/>
          <w:szCs w:val="22"/>
        </w:rPr>
        <w:t xml:space="preserve">We augmented the ranking formula with bigram/trigram conditional probabilities. The n-gram model captures sequential patterns (e.g., P(天気 | 今日,の) is high, biasing toward weather-related completions after “today's”). A weight sweep across δ values reveals the optimal balance.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600"/>
        <w:gridCol w:w="600"/>
        <w:gridCol w:w="600"/>
        <w:gridCol w:w="1800"/>
        <w:gridCol w:w="140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Configuration</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α</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β</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γ</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δ</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Surface</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Δ</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Baseline (no n-gram)</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0.1</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0.5</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0.4</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0.0</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49.4%</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δ=0.1</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0.1</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0.5</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0.4</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0.1</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52.8%</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+3.4%p</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δ=0.2 (-β)</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0.1</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0.3</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0.4</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0.2</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55.5%</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+6.1%p</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δ=0.3 (-βγ) OPTIMAL</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0.1</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0.35</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0.25</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0.3</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56.1%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008800"/>
                <w:sz w:val="18"/>
                <w:szCs w:val="18"/>
              </w:rPr>
              <w:t xml:space="preserve">+6.7%p</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δ=0.4 (-βγ)</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0.1</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0.25</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0.25</w:t>
            </w:r>
          </w:p>
        </w:tc>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0.4</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55.1%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+5.7%p</w:t>
            </w:r>
          </w:p>
        </w:tc>
      </w:tr>
    </w:tbl>
    <w:p>
      <w:pPr>
        <w:spacing w:after="200" w:before="80"/>
        <w:jc w:val="center"/>
      </w:pPr>
      <w:r>
        <w:rPr>
          <w:rFonts w:ascii="Arial" w:cs="Arial" w:eastAsia="Arial" w:hAnsi="Arial"/>
          <w:i/>
          <w:iCs/>
          <w:color w:val="555555"/>
          <w:sz w:val="18"/>
          <w:szCs w:val="18"/>
        </w:rPr>
        <w:t xml:space="preserve">Table 4. N-gram language model weight sweep (300 test documents)</w:t>
      </w:r>
    </w:p>
    <w:p>
      <w:pPr>
        <w:spacing w:after="160" w:before="0" w:line="276"/>
        <w:ind w:firstLine="480"/>
        <w:jc w:val="both"/>
      </w:pPr>
      <w:r>
        <w:rPr>
          <w:rFonts w:ascii="Arial" w:cs="Arial" w:eastAsia="Arial" w:hAnsi="Arial"/>
          <w:sz w:val="22"/>
          <w:szCs w:val="22"/>
        </w:rPr>
        <w:t xml:space="preserve">The n-gram model provides a net +6.7 percentage point gain. The optimal weight distribution (α=0.1, β=0.35, γ=0.25, δ=0.3) takes weight equally from both context embedding (β) and frequency (γ), recognizing that n-grams partially subsume both signals. Increasing δ beyond 0.3 shows diminishing returns as n-gram predictions become overconfident and override legitimate context signals.</w:t>
      </w:r>
    </w:p>
    <w:p>
      <w:pPr>
        <w:pStyle w:val="Heading2"/>
        <w:spacing w:after="160" w:before="280"/>
      </w:pPr>
      <w:r>
        <w:rPr>
          <w:rFonts w:ascii="Arial" w:cs="Arial" w:eastAsia="Arial" w:hAnsi="Arial"/>
        </w:rPr>
        <w:t xml:space="preserve">4.6 Training Volume Scaling</w:t>
      </w:r>
    </w:p>
    <w:p>
      <w:pPr>
        <w:spacing w:after="160" w:before="0" w:line="276"/>
        <w:ind w:firstLine="480"/>
        <w:jc w:val="both"/>
      </w:pPr>
      <w:r>
        <w:rPr>
          <w:rFonts w:ascii="Arial" w:cs="Arial" w:eastAsia="Arial" w:hAnsi="Arial"/>
          <w:sz w:val="22"/>
          <w:szCs w:val="22"/>
        </w:rPr>
        <w:t xml:space="preserve">We measured accuracy across five training volume levels (100K to 500K sentences in 100K increments) using the baseline configuration, and additionally tested 200K, 500K, and 2M volumes with the fully optimized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0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Training Volume</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Original Method</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Optimal Config</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Improvement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200K</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23.4%</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55.5%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+32.1%p</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500K</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27.7%</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61.7%</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+34.0%p</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2M</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43.1%</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62.7%</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+19.6%p</w:t>
            </w:r>
          </w:p>
        </w:tc>
      </w:tr>
    </w:tbl>
    <w:p>
      <w:pPr>
        <w:spacing w:after="200" w:before="80"/>
        <w:jc w:val="center"/>
      </w:pPr>
      <w:r>
        <w:rPr>
          <w:rFonts w:ascii="Arial" w:cs="Arial" w:eastAsia="Arial" w:hAnsi="Arial"/>
          <w:i/>
          <w:iCs/>
          <w:color w:val="555555"/>
          <w:sz w:val="18"/>
          <w:szCs w:val="18"/>
        </w:rPr>
        <w:t xml:space="preserve">Table 5. Training volume scaling: original vs. optimized pipeline</w:t>
      </w:r>
    </w:p>
    <w:p>
      <w:pPr>
        <w:spacing w:after="160" w:before="0" w:line="276"/>
        <w:ind w:firstLine="480"/>
        <w:jc w:val="both"/>
      </w:pPr>
      <w:r>
        <w:rPr>
          <w:rFonts w:ascii="Arial" w:cs="Arial" w:eastAsia="Arial" w:hAnsi="Arial"/>
          <w:sz w:val="22"/>
          <w:szCs w:val="22"/>
        </w:rPr>
        <w:t xml:space="preserve">A critical finding is that the optimized configuration at 500K training sentences (61.7%) surpasses the original method at 2M sentences (43.1%) by 18.6 percentage points, achieving superior accuracy with 75% less training data. The diminishing returns from 500K to 2M (+1.0%p) confirm that 500K is the practical sweet spot: further scaling yields minimal accuracy gains while quadrupling training cost.</w:t>
      </w:r>
    </w:p>
    <w:p>
      <w:pPr>
        <w:pStyle w:val="Heading2"/>
        <w:spacing w:after="160" w:before="280"/>
      </w:pPr>
      <w:r>
        <w:rPr>
          <w:rFonts w:ascii="Arial" w:cs="Arial" w:eastAsia="Arial" w:hAnsi="Arial"/>
        </w:rPr>
        <w:t xml:space="preserve">4.7 Vocabulary Expansion Impact</w:t>
      </w:r>
    </w:p>
    <w:p>
      <w:pPr>
        <w:spacing w:after="160" w:before="0" w:line="276"/>
        <w:ind w:firstLine="480"/>
        <w:jc w:val="both"/>
      </w:pPr>
      <w:r>
        <w:rPr>
          <w:rFonts w:ascii="Arial" w:cs="Arial" w:eastAsia="Arial" w:hAnsi="Arial"/>
          <w:sz w:val="22"/>
          <w:szCs w:val="22"/>
        </w:rPr>
        <w:t xml:space="preserve">We tested the impact of expanding the vocabulary from 1,442 to 23,472 entries (a 16.3× increase). This experiment reveals a counterintuitive result.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000"/>
        <w:gridCol w:w="2000"/>
      </w:tblGrid>
      <w:tr>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Configuration</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Vocab Size</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Surface</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Top-10 Hit</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Original vocab + original weights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1,442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26.5%</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95.9%</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Original vocab + optimal config</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1,442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62.0%</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96.3%</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Expanded vocab + original weights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23,472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28.2%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Expanded vocab + optimal config</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23,472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39.8%</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81.7%</w:t>
            </w:r>
          </w:p>
        </w:tc>
      </w:tr>
    </w:tbl>
    <w:p>
      <w:pPr>
        <w:spacing w:after="200" w:before="80"/>
        <w:jc w:val="center"/>
      </w:pPr>
      <w:r>
        <w:rPr>
          <w:rFonts w:ascii="Arial" w:cs="Arial" w:eastAsia="Arial" w:hAnsi="Arial"/>
          <w:i/>
          <w:iCs/>
          <w:color w:val="555555"/>
          <w:sz w:val="18"/>
          <w:szCs w:val="18"/>
        </w:rPr>
        <w:t xml:space="preserve">Table 6. Vocabulary expansion A/B test (500K training, 1000 test docs)</w:t>
      </w:r>
    </w:p>
    <w:p>
      <w:pPr>
        <w:spacing w:after="160" w:before="0" w:line="276"/>
        <w:ind w:firstLine="480"/>
        <w:jc w:val="both"/>
      </w:pPr>
      <w:r>
        <w:rPr>
          <w:rFonts w:ascii="Arial" w:cs="Arial" w:eastAsia="Arial" w:hAnsi="Arial"/>
          <w:sz w:val="22"/>
          <w:szCs w:val="22"/>
        </w:rPr>
        <w:t xml:space="preserve">Vocabulary expansion dramatically hurts Top-1 accuracy, dropping from 62.0% to 39.8% (−22.2%p). The root cause is homonym explosion: expanding the vocabulary introduces many more kanji candidates per hiragana reading without proportionally scaling the training data. The hiragana decoding actually improves (92.6% to 94.4%), but the downstream kanji selection stage fails due to insufficient co-occurrence data density for the expanded candidate space. This finding suggests that vocabulary expansion requires proportionally scaled training data (estimated 5M+ sentences for 23K vocabulary).</w:t>
      </w:r>
    </w:p>
    <w:p>
      <w:pPr>
        <w:pStyle w:val="Heading2"/>
        <w:spacing w:after="160" w:before="280"/>
      </w:pPr>
      <w:r>
        <w:rPr>
          <w:rFonts w:ascii="Arial" w:cs="Arial" w:eastAsia="Arial" w:hAnsi="Arial"/>
        </w:rPr>
        <w:t xml:space="preserve">4.8 Co-occurrence Window Size</w:t>
      </w:r>
    </w:p>
    <w:p>
      <w:pPr>
        <w:spacing w:after="160" w:before="0" w:line="276"/>
        <w:ind w:firstLine="480"/>
        <w:jc w:val="both"/>
      </w:pPr>
      <w:r>
        <w:rPr>
          <w:rFonts w:ascii="Arial" w:cs="Arial" w:eastAsia="Arial" w:hAnsi="Arial"/>
          <w:sz w:val="22"/>
          <w:szCs w:val="22"/>
        </w:rPr>
        <w:t xml:space="preserve">We tested window sizes of 3, 5, and 10 with fixed 500K training sentences.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400"/>
        <w:gridCol w:w="1400"/>
        <w:gridCol w:w="160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Window Size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Surface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Reading</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Top-5</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Top-10</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Doc Match</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w=3</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24.0%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72.9%</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69.6%</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88.8%</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2.4%</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w=5 (baseline)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24.0%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72.7%</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70.0%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89.0%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2.0%</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w=10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23.8%</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72.2%</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70.1%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89.0%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2.0%</w:t>
            </w:r>
          </w:p>
        </w:tc>
      </w:tr>
    </w:tbl>
    <w:p>
      <w:pPr>
        <w:spacing w:after="200" w:before="80"/>
        <w:jc w:val="center"/>
      </w:pPr>
      <w:r>
        <w:rPr>
          <w:rFonts w:ascii="Arial" w:cs="Arial" w:eastAsia="Arial" w:hAnsi="Arial"/>
          <w:i/>
          <w:iCs/>
          <w:color w:val="555555"/>
          <w:sz w:val="18"/>
          <w:szCs w:val="18"/>
        </w:rPr>
        <w:t xml:space="preserve">Table 7. Co-occurrence window size comparison (500K training)</w:t>
      </w:r>
    </w:p>
    <w:p>
      <w:pPr>
        <w:spacing w:after="160" w:before="0" w:line="276"/>
        <w:ind w:firstLine="480"/>
        <w:jc w:val="both"/>
      </w:pPr>
      <w:r>
        <w:rPr>
          <w:rFonts w:ascii="Arial" w:cs="Arial" w:eastAsia="Arial" w:hAnsi="Arial"/>
          <w:sz w:val="22"/>
          <w:szCs w:val="22"/>
        </w:rPr>
        <w:t xml:space="preserve">Window size has negligible impact on accuracy (all variations within ±0.5%p). This is expected given that the synthetic training sentences average 2–3 words in length, making larger windows redundant. For real-world Japanese text with longer sentences, larger windows may provide meaningful improvement.</w:t>
      </w:r>
    </w:p>
    <w:p>
      <w:pPr>
        <w:pStyle w:val="Heading2"/>
        <w:spacing w:after="160" w:before="280"/>
      </w:pPr>
      <w:r>
        <w:rPr>
          <w:rFonts w:ascii="Arial" w:cs="Arial" w:eastAsia="Arial" w:hAnsi="Arial"/>
        </w:rPr>
        <w:t xml:space="preserve">4.9 Directional vs. Non-directional Embeddings</w:t>
      </w:r>
    </w:p>
    <w:p>
      <w:pPr>
        <w:spacing w:after="160" w:before="0" w:line="276"/>
        <w:ind w:firstLine="480"/>
        <w:jc w:val="both"/>
      </w:pPr>
      <w:r>
        <w:rPr>
          <w:rFonts w:ascii="Arial" w:cs="Arial" w:eastAsia="Arial" w:hAnsi="Arial"/>
          <w:sz w:val="22"/>
          <w:szCs w:val="22"/>
        </w:rPr>
        <w:t xml:space="preserve">We compared symmetric (non-directional) co-occurrence embeddings against directional forward/backward embeddings that maintain separate vectors for left and right context profiles (requiring 2× storage). The directional approach was tested with the hypothesis that word order information would improve disambiguation for Japanese, where particle placement carries grammatical meaning.</w:t>
      </w:r>
    </w:p>
    <w:p>
      <w:pPr>
        <w:spacing w:after="160" w:before="0" w:line="276"/>
        <w:ind w:firstLine="480"/>
        <w:jc w:val="both"/>
      </w:pPr>
      <w:r>
        <w:rPr>
          <w:rFonts w:ascii="Arial" w:cs="Arial" w:eastAsia="Arial" w:hAnsi="Arial"/>
          <w:sz w:val="22"/>
          <w:szCs w:val="22"/>
        </w:rPr>
        <w:t xml:space="preserve">Results showed negligible differences between the two approaches. The symmetric embedding achieves equivalent accuracy while requiring half the storage. This confirms that for our sentence-level disambiguation task, distance-weighted co-occurrence (1/d) captures sufficient positional information without explicit directionality.</w:t>
      </w:r>
    </w:p>
    <w:p>
      <w:r>
        <w:br w:type="page"/>
      </w:r>
    </w:p>
    <w:p>
      <w:pPr>
        <w:pStyle w:val="Heading2"/>
        <w:spacing w:after="160" w:before="280"/>
      </w:pPr>
      <w:r>
        <w:rPr>
          <w:rFonts w:ascii="Arial" w:cs="Arial" w:eastAsia="Arial" w:hAnsi="Arial"/>
        </w:rPr>
        <w:t xml:space="preserve">4.10 Long Vowel Marker Analysis</w:t>
      </w:r>
    </w:p>
    <w:p>
      <w:pPr>
        <w:spacing w:after="160" w:before="0" w:line="276"/>
        <w:ind w:firstLine="480"/>
        <w:jc w:val="both"/>
      </w:pPr>
      <w:r>
        <w:rPr>
          <w:rFonts w:ascii="Arial" w:cs="Arial" w:eastAsia="Arial" w:hAnsi="Arial"/>
          <w:sz w:val="22"/>
          <w:szCs w:val="22"/>
        </w:rPr>
        <w:t xml:space="preserve">Japanese long vowels (e.g., こう /kou/, せい /sei/) create significant ambiguity in Hangul representation because the second vowel (う or い) maps to separate Hangul characters. We tested injecting a tilde (~) marker to explicitly denote long vowels in the Hangul input stream.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0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Metric</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Standard Hangul</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With ~ Marker</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Change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Hiragana Hit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96.3%</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74.0%</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CC0000"/>
                <w:sz w:val="18"/>
                <w:szCs w:val="18"/>
              </w:rPr>
              <w:t xml:space="preserve">−22.3%p</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Top-1 Surface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61.6%</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48.7%</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CC0000"/>
                <w:sz w:val="18"/>
                <w:szCs w:val="18"/>
              </w:rPr>
              <w:t xml:space="preserve">−12.8%p</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Top-3 Surface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85.2%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66.2%</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CC0000"/>
                <w:sz w:val="18"/>
                <w:szCs w:val="18"/>
              </w:rPr>
              <w:t xml:space="preserve">−19.1%p</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Long-Vowel Words (Hira Hit)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97.8%</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51.7%</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CC0000"/>
                <w:sz w:val="18"/>
                <w:szCs w:val="18"/>
              </w:rPr>
              <w:t xml:space="preserve">−46.1%p</w:t>
            </w:r>
          </w:p>
        </w:tc>
      </w:tr>
    </w:tbl>
    <w:p>
      <w:pPr>
        <w:spacing w:after="200" w:before="80"/>
        <w:jc w:val="center"/>
      </w:pPr>
      <w:r>
        <w:rPr>
          <w:rFonts w:ascii="Arial" w:cs="Arial" w:eastAsia="Arial" w:hAnsi="Arial"/>
          <w:i/>
          <w:iCs/>
          <w:color w:val="555555"/>
          <w:sz w:val="18"/>
          <w:szCs w:val="18"/>
        </w:rPr>
        <w:t xml:space="preserve">Table 8. Long vowel marker (~) impact analysis (300 test docs, optimal config)</w:t>
      </w:r>
    </w:p>
    <w:p>
      <w:pPr>
        <w:spacing w:after="160" w:before="0" w:line="276"/>
        <w:ind w:firstLine="480"/>
        <w:jc w:val="both"/>
      </w:pPr>
      <w:r>
        <w:rPr>
          <w:rFonts w:ascii="Arial" w:cs="Arial" w:eastAsia="Arial" w:hAnsi="Arial"/>
          <w:sz w:val="22"/>
          <w:szCs w:val="22"/>
        </w:rPr>
        <w:t xml:space="preserve">The long vowel marker dramatically hurts accuracy across all metrics. The hiragana hit rate drops by 22.3 percentage points, and for words specifically containing long vowels, the drop is a catastrophic 46.1 percentage points. The root causes are: (1) the ~ token was absent from the PhoneticMap training corpus, causing decoding failures; (2) katakana long vowel mark (ー) conversion failures; and (3) the additional input burden outweighs any theoretical disambiguation benefit. We recommend against using explicit long vowel markers and instead advocate context-based post-processing for long vowel inference.</w:t>
      </w:r>
    </w:p>
    <w:p>
      <w:pPr>
        <w:pStyle w:val="Heading2"/>
        <w:spacing w:after="160" w:before="280"/>
      </w:pPr>
      <w:r>
        <w:rPr>
          <w:rFonts w:ascii="Arial" w:cs="Arial" w:eastAsia="Arial" w:hAnsi="Arial"/>
        </w:rPr>
        <w:t xml:space="preserve">4.11 Auto-Completion Efficiency</w:t>
      </w:r>
    </w:p>
    <w:p>
      <w:pPr>
        <w:spacing w:after="160" w:before="0" w:line="276"/>
        <w:ind w:firstLine="480"/>
        <w:jc w:val="both"/>
      </w:pPr>
      <w:r>
        <w:rPr>
          <w:rFonts w:ascii="Arial" w:cs="Arial" w:eastAsia="Arial" w:hAnsi="Arial"/>
          <w:sz w:val="22"/>
          <w:szCs w:val="22"/>
        </w:rPr>
        <w:t xml:space="preserve">We evaluated prefix-based auto-completion and next-word prediction to measure potential keystroke savings.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600"/>
        <w:gridCol w:w="160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Setting</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Keystrokes</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Saved</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Reduction Rate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Avg Keys/Word</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 auto-completion</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2,229</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4.29</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threshold=1</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1,810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419</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18.8%</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3.48</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threshold=2</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1,920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309</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13.9%</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3.69</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threshold=3</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2,052</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177</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7.9%</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3.95</w:t>
            </w:r>
          </w:p>
        </w:tc>
      </w:tr>
    </w:tbl>
    <w:p>
      <w:pPr>
        <w:spacing w:after="200" w:before="80"/>
        <w:jc w:val="center"/>
      </w:pPr>
      <w:r>
        <w:rPr>
          <w:rFonts w:ascii="Arial" w:cs="Arial" w:eastAsia="Arial" w:hAnsi="Arial"/>
          <w:i/>
          <w:iCs/>
          <w:color w:val="555555"/>
          <w:sz w:val="18"/>
          <w:szCs w:val="18"/>
        </w:rPr>
        <w:t xml:space="preserve">Table 9. Auto-completion keystroke savings by threshold</w:t>
      </w:r>
    </w:p>
    <w:p>
      <w:pPr>
        <w:spacing w:after="160" w:before="0" w:line="276"/>
        <w:ind w:firstLine="480"/>
        <w:jc w:val="both"/>
      </w:pPr>
      <w:r>
        <w:rPr>
          <w:rFonts w:ascii="Arial" w:cs="Arial" w:eastAsia="Arial" w:hAnsi="Arial"/>
          <w:sz w:val="22"/>
          <w:szCs w:val="22"/>
        </w:rPr>
        <w:t xml:space="preserve">Prefix completion achieves a 42.5% hit rate, driving 18.8% keystroke reduction at threshold=1. Next-word prediction performs poorly (0.6% hit rate) due to surface-form matching limitations. The system achieves an overall KSPC of 0.85, which is detailed in the following section.</w:t>
      </w:r>
    </w:p>
    <w:p>
      <w:pPr>
        <w:pStyle w:val="Heading2"/>
        <w:spacing w:after="160" w:before="280"/>
      </w:pPr>
      <w:r>
        <w:rPr>
          <w:rFonts w:ascii="Arial" w:cs="Arial" w:eastAsia="Arial" w:hAnsi="Arial"/>
        </w:rPr>
        <w:t xml:space="preserve">4.12 Commercial IME Comparison and Input Efficiency</w:t>
      </w:r>
    </w:p>
    <w:p>
      <w:pPr>
        <w:spacing w:after="160" w:before="0" w:line="276"/>
        <w:ind w:firstLine="480"/>
        <w:jc w:val="both"/>
      </w:pPr>
      <w:r>
        <w:rPr>
          <w:rFonts w:ascii="Arial" w:cs="Arial" w:eastAsia="Arial" w:hAnsi="Arial"/>
          <w:sz w:val="22"/>
          <w:szCs w:val="22"/>
        </w:rPr>
        <w:t xml:space="preserve">We benchmarked our system against commercial Japanese IMEs to establish performance context.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180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Metric</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Our IME (Hangul)</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Commercial IMEs*</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Gap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Top-1 Accuracy</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62.1%</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CC0000"/>
                <w:sz w:val="18"/>
                <w:szCs w:val="18"/>
              </w:rPr>
              <w:t xml:space="preserve">−32.9%p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Top-3 Hit Rate</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84.9%</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~99%</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−14.1%p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Top-5 Hit Rate</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91.6%</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~99%+</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−7.4%p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Full Sentence Match</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24.7%</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~80%</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−55.3%p</w:t>
            </w:r>
          </w:p>
        </w:tc>
      </w:tr>
    </w:tbl>
    <w:p>
      <w:pPr>
        <w:spacing w:after="200" w:before="80"/>
        <w:jc w:val="center"/>
      </w:pPr>
      <w:r>
        <w:rPr>
          <w:rFonts w:ascii="Arial" w:cs="Arial" w:eastAsia="Arial" w:hAnsi="Arial"/>
          <w:i/>
          <w:iCs/>
          <w:color w:val="555555"/>
          <w:sz w:val="18"/>
          <w:szCs w:val="18"/>
        </w:rPr>
        <w:t xml:space="preserve">Table 10. Conversion accuracy comparison (*Google Japanese Input, ATOK, MS-IME reference)</w:t>
      </w:r>
    </w:p>
    <w:p>
      <w:pPr>
        <w:spacing w:after="160" w:before="0" w:line="276"/>
        <w:ind w:firstLine="480"/>
        <w:jc w:val="both"/>
      </w:pPr>
      <w:r>
        <w:rPr>
          <w:rFonts w:ascii="Arial" w:cs="Arial" w:eastAsia="Arial" w:hAnsi="Arial"/>
          <w:sz w:val="22"/>
          <w:szCs w:val="22"/>
        </w:rPr>
        <w:t xml:space="preserve">The 32.9 percentage point gap in Top-1 accuracy is primarily attributable to the additional probabilistic step in our pipeline: commercial IMEs receive deterministic hiragana input, while our system must first decode Hangul to hiragana with 3.7% error that propagates and amplifies downstream. However, our system demonstrates a significant advantage in input efficiency.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00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Input Method</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KSPC</w:t>
            </w:r>
          </w:p>
        </w:tc>
        <w:tc>
          <w:tcPr>
            <w:tcW w:type="dxa" w:w="5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Romaji (standard)</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~2.0</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"ka"→か, "shi"→し</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Kana Direct Input</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~1.0</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JIS kana layout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Flick (smartphone)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~1.15</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Swipe input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Romaji + Prediction</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~1.2</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40% reduction via prediction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Hangul Input (Ours)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0.85</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Hangul is intrinsically compact</w:t>
            </w:r>
          </w:p>
        </w:tc>
      </w:tr>
    </w:tbl>
    <w:p>
      <w:pPr>
        <w:spacing w:after="200" w:before="80"/>
        <w:jc w:val="center"/>
      </w:pPr>
      <w:r>
        <w:rPr>
          <w:rFonts w:ascii="Arial" w:cs="Arial" w:eastAsia="Arial" w:hAnsi="Arial"/>
          <w:i/>
          <w:iCs/>
          <w:color w:val="555555"/>
          <w:sz w:val="18"/>
          <w:szCs w:val="18"/>
        </w:rPr>
        <w:t xml:space="preserve">Table 11. Keystroke-per-character (KSPC) comparison across input methods</w:t>
      </w:r>
    </w:p>
    <w:p>
      <w:pPr>
        <w:spacing w:after="160" w:before="0" w:line="276"/>
        <w:ind w:firstLine="480"/>
        <w:jc w:val="both"/>
      </w:pPr>
      <w:r>
        <w:rPr>
          <w:rFonts w:ascii="Arial" w:cs="Arial" w:eastAsia="Arial" w:hAnsi="Arial"/>
          <w:sz w:val="22"/>
          <w:szCs w:val="22"/>
        </w:rPr>
        <w:t xml:space="preserve">Our KSPC of 0.85 represents a 57.5% reduction compared to romaji (2.0) and a 15% improvement over direct kana input (1.0). This efficiency stems from Hangul's phonetic encoding: a single Hangul syllable block compactly represents a complete Japanese mora, often in fewer keystrokes than any Japanese-native input method.</w:t>
      </w:r>
    </w:p>
    <w:p>
      <w:pPr>
        <w:pStyle w:val="Heading2"/>
        <w:spacing w:after="160" w:before="280"/>
      </w:pPr>
      <w:r>
        <w:rPr>
          <w:rFonts w:ascii="Arial" w:cs="Arial" w:eastAsia="Arial" w:hAnsi="Arial"/>
        </w:rPr>
        <w:t xml:space="preserve">4.13 Part-of-Speech Accuracy Analysis</w:t>
      </w:r>
    </w:p>
    <w:p>
      <w:pPr>
        <w:spacing w:after="160" w:before="0" w:line="276"/>
        <w:ind w:firstLine="480"/>
        <w:jc w:val="both"/>
      </w:pPr>
      <w:r>
        <w:rPr>
          <w:rFonts w:ascii="Arial" w:cs="Arial" w:eastAsia="Arial" w:hAnsi="Arial"/>
          <w:sz w:val="22"/>
          <w:szCs w:val="22"/>
        </w:rPr>
        <w:t xml:space="preserve">We analyzed accuracy by part of speech to identify the primary bottleneck in kanji conversion.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80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Part of Speech</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Accuracy</w:t>
            </w:r>
          </w:p>
        </w:tc>
        <w:tc>
          <w:tcPr>
            <w:tcW w:type="dxa" w:w="4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Characteristics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Adjectives (形容詞)</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008800"/>
                <w:sz w:val="18"/>
                <w:szCs w:val="18"/>
              </w:rPr>
              <w:t xml:space="preserve">90.9%</w:t>
            </w:r>
          </w:p>
        </w:tc>
        <w:tc>
          <w:tcPr>
            <w:tcW w:type="dxa" w:w="4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Regular conjugation patterns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Auxiliary verbs (~です)</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86.4%</w:t>
            </w:r>
          </w:p>
        </w:tc>
        <w:tc>
          <w:tcPr>
            <w:tcW w:type="dxa" w:w="4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High context dependency, stable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Verbs (動詞)</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79.7%</w:t>
            </w:r>
          </w:p>
        </w:tc>
        <w:tc>
          <w:tcPr>
            <w:tcW w:type="dxa" w:w="4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Diverse inflections, n-gram helps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CC0000"/>
                <w:sz w:val="18"/>
                <w:szCs w:val="18"/>
              </w:rPr>
              <w:t xml:space="preserve">Nouns (名詞)</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CC0000"/>
                <w:sz w:val="18"/>
                <w:szCs w:val="18"/>
              </w:rPr>
              <w:t xml:space="preserve">48.4%</w:t>
            </w:r>
          </w:p>
        </w:tc>
        <w:tc>
          <w:tcPr>
            <w:tcW w:type="dxa" w:w="4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Homonym explosion is the bottleneck</w:t>
            </w:r>
          </w:p>
        </w:tc>
      </w:tr>
    </w:tbl>
    <w:p>
      <w:pPr>
        <w:spacing w:after="200" w:before="80"/>
        <w:jc w:val="center"/>
      </w:pPr>
      <w:r>
        <w:rPr>
          <w:rFonts w:ascii="Arial" w:cs="Arial" w:eastAsia="Arial" w:hAnsi="Arial"/>
          <w:i/>
          <w:iCs/>
          <w:color w:val="555555"/>
          <w:sz w:val="18"/>
          <w:szCs w:val="18"/>
        </w:rPr>
        <w:t xml:space="preserve">Table 12. Part-of-speech accuracy breakdown</w:t>
      </w:r>
    </w:p>
    <w:p>
      <w:pPr>
        <w:spacing w:after="160" w:before="0" w:line="276"/>
        <w:ind w:firstLine="480"/>
        <w:jc w:val="both"/>
      </w:pPr>
      <w:r>
        <w:rPr>
          <w:rFonts w:ascii="Arial" w:cs="Arial" w:eastAsia="Arial" w:hAnsi="Arial"/>
          <w:sz w:val="22"/>
          <w:szCs w:val="22"/>
        </w:rPr>
        <w:t xml:space="preserve">Nouns are the critical bottleneck at 48.4% accuracy. Japanese has extensive homophony in nouns: for example, こうえん maps to 公園/講演/公演/後援, and きしゃ maps to 記者/貴社/帰社/騎射. Frequency and context alone are insufficient for reliable noun disambiguation; future work should explore semantic category constraints and domain-specific dictionaries.</w:t>
      </w:r>
    </w:p>
    <w:p>
      <w:r>
        <w:br w:type="page"/>
      </w:r>
    </w:p>
    <w:p>
      <w:pPr>
        <w:pStyle w:val="Heading1"/>
        <w:spacing w:after="200" w:before="360"/>
      </w:pPr>
      <w:r>
        <w:rPr>
          <w:rFonts w:ascii="Arial" w:cs="Arial" w:eastAsia="Arial" w:hAnsi="Arial"/>
        </w:rPr>
        <w:t xml:space="preserve">5. Cumulative Improvement Analysis</w:t>
      </w:r>
    </w:p>
    <w:p>
      <w:pPr>
        <w:spacing w:after="160" w:before="0" w:line="276"/>
        <w:ind w:firstLine="480"/>
        <w:jc w:val="both"/>
      </w:pPr>
      <w:r>
        <w:rPr>
          <w:rFonts w:ascii="Arial" w:cs="Arial" w:eastAsia="Arial" w:hAnsi="Arial"/>
          <w:sz w:val="22"/>
          <w:szCs w:val="22"/>
        </w:rPr>
        <w:t xml:space="preserve">The following table traces the cumulative accuracy improvement as each optimization was added to the pipeline, demonstrating the relative contribution of each component.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400"/>
      </w:tblGrid>
      <w:tr>
        <w:tc>
          <w:tcPr>
            <w:tcW w:type="dxa" w:w="4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Stage</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Top-1 Surface</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Δ from Previous</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Initial (rule-based phonetic only)</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17.9%</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 Phonetic Embedding</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27.1%</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+9.2%p</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 Adjacent-Sentence Embeddings</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52.2%</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+25.1%p</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 Frequency Weight Optimization (γ=0.4)</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53.8%</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+1.6%p</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 N-gram Language Model (δ=0.3)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56.1%</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+2.3%p</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 Training Volume Scaling (500K)</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bCs/>
                <w:color w:val="333333"/>
                <w:sz w:val="18"/>
                <w:szCs w:val="18"/>
              </w:rPr>
              <w:t xml:space="preserve">62.1%</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008800"/>
                <w:sz w:val="18"/>
                <w:szCs w:val="18"/>
              </w:rPr>
              <w:t xml:space="preserve">+6.0%p</w:t>
            </w:r>
          </w:p>
        </w:tc>
      </w:tr>
    </w:tbl>
    <w:p>
      <w:pPr>
        <w:spacing w:after="200" w:before="80"/>
        <w:jc w:val="center"/>
      </w:pPr>
      <w:r>
        <w:rPr>
          <w:rFonts w:ascii="Arial" w:cs="Arial" w:eastAsia="Arial" w:hAnsi="Arial"/>
          <w:i/>
          <w:iCs/>
          <w:color w:val="555555"/>
          <w:sz w:val="18"/>
          <w:szCs w:val="18"/>
        </w:rPr>
        <w:t xml:space="preserve">Table 13. Cumulative accuracy progression through optimization stages</w:t>
      </w:r>
    </w:p>
    <w:p>
      <w:pPr>
        <w:spacing w:after="160" w:before="0" w:line="276"/>
        <w:ind w:firstLine="480"/>
        <w:jc w:val="both"/>
      </w:pPr>
      <w:r>
        <w:rPr>
          <w:rFonts w:ascii="Arial" w:cs="Arial" w:eastAsia="Arial" w:hAnsi="Arial"/>
          <w:sz w:val="22"/>
          <w:szCs w:val="22"/>
        </w:rPr>
        <w:t xml:space="preserve">The two largest contributors are adjacent-sentence embeddings (+25.1%p) and the phonetic embedding upgrade (+9.2%p). Together, these two innovations account for 77.8% of the total improvement from baseline to final system. The remaining optimizations (frequency tuning, n-gram, and training volume) collectively contribute 9.9 percentage points, demonstrating the importance of the core architectural decisions over parameter tuning.</w:t>
      </w:r>
    </w:p>
    <w:p>
      <w:r>
        <w:br w:type="page"/>
      </w:r>
    </w:p>
    <w:p>
      <w:pPr>
        <w:pStyle w:val="Heading1"/>
        <w:spacing w:after="200" w:before="360"/>
      </w:pPr>
      <w:r>
        <w:rPr>
          <w:rFonts w:ascii="Arial" w:cs="Arial" w:eastAsia="Arial" w:hAnsi="Arial"/>
        </w:rPr>
        <w:t xml:space="preserve">6. Platform Implementation</w:t>
      </w:r>
    </w:p>
    <w:p>
      <w:pPr>
        <w:pStyle w:val="Heading2"/>
        <w:spacing w:after="160" w:before="280"/>
      </w:pPr>
      <w:r>
        <w:rPr>
          <w:rFonts w:ascii="Arial" w:cs="Arial" w:eastAsia="Arial" w:hAnsi="Arial"/>
        </w:rPr>
        <w:t xml:space="preserve">6.1 macOS (InputMethodKit)</w:t>
      </w:r>
    </w:p>
    <w:p>
      <w:pPr>
        <w:spacing w:after="160" w:before="0" w:line="276"/>
        <w:ind w:firstLine="480"/>
        <w:jc w:val="both"/>
      </w:pPr>
      <w:r>
        <w:rPr>
          <w:rFonts w:ascii="Arial" w:cs="Arial" w:eastAsia="Arial" w:hAnsi="Arial"/>
          <w:sz w:val="22"/>
          <w:szCs w:val="22"/>
        </w:rPr>
        <w:t xml:space="preserve">The macOS implementation uses Apple's InputMethodKit framework with a Rust core library compiled as a static library (libhj_engine.a) and bridged to Swift via a C FFI layer. The IME registers as a system input source using the TIS (Text Input Source) API and renders inline composition via the IMKTextInput protocol. Key implementation challenges included proper Info.plist configuration for modeless input method registration, the requirement for users to log out and log back in after installation for macOS to recognize new input sources, and generating a menu bar badge icon (韓あ) to visually distinguish the IME from standard input sources.</w:t>
      </w:r>
    </w:p>
    <w:p>
      <w:pPr>
        <w:pStyle w:val="Heading2"/>
        <w:spacing w:after="160" w:before="280"/>
      </w:pPr>
      <w:r>
        <w:rPr>
          <w:rFonts w:ascii="Arial" w:cs="Arial" w:eastAsia="Arial" w:hAnsi="Arial"/>
        </w:rPr>
        <w:t xml:space="preserve">6.2 Windows (Keyboard Hook)</w:t>
      </w:r>
    </w:p>
    <w:p>
      <w:pPr>
        <w:spacing w:after="160" w:before="0" w:line="276"/>
        <w:ind w:firstLine="480"/>
        <w:jc w:val="both"/>
      </w:pPr>
      <w:r>
        <w:rPr>
          <w:rFonts w:ascii="Arial" w:cs="Arial" w:eastAsia="Arial" w:hAnsi="Arial"/>
          <w:sz w:val="22"/>
          <w:szCs w:val="22"/>
        </w:rPr>
        <w:t xml:space="preserve">The Windows implementation uses the WH_KEYBOARD_LL low-level keyboard hook to intercept keystrokes and SendInput with KEYEVENTF_UNICODE to inject converted characters. The IME toggles with Ctrl+Space and includes pure-Rust Hangul jamo composition without platform dependencies. The keyboard hook approach was chosen over the more complex Text Services Framework (TSF) for implementation simplicity and broad Windows 10/11 compatibility.</w:t>
      </w:r>
    </w:p>
    <w:p>
      <w:r>
        <w:br w:type="page"/>
      </w:r>
    </w:p>
    <w:p>
      <w:pPr>
        <w:pStyle w:val="Heading1"/>
        <w:spacing w:after="200" w:before="360"/>
      </w:pPr>
      <w:r>
        <w:rPr>
          <w:rFonts w:ascii="Arial" w:cs="Arial" w:eastAsia="Arial" w:hAnsi="Arial"/>
        </w:rPr>
        <w:t xml:space="preserve">7. Discussion</w:t>
      </w:r>
    </w:p>
    <w:p>
      <w:pPr>
        <w:pStyle w:val="Heading2"/>
        <w:spacing w:after="160" w:before="280"/>
      </w:pPr>
      <w:r>
        <w:rPr>
          <w:rFonts w:ascii="Arial" w:cs="Arial" w:eastAsia="Arial" w:hAnsi="Arial"/>
        </w:rPr>
        <w:t xml:space="preserve">7.1 Key Findings</w:t>
      </w:r>
    </w:p>
    <w:p>
      <w:pPr>
        <w:spacing w:after="160" w:before="0" w:line="276"/>
        <w:ind w:firstLine="480"/>
        <w:jc w:val="both"/>
      </w:pPr>
      <w:r>
        <w:rPr>
          <w:rFonts w:ascii="Arial" w:cs="Arial" w:eastAsia="Arial" w:hAnsi="Arial"/>
          <w:sz w:val="22"/>
          <w:szCs w:val="22"/>
        </w:rPr>
        <w:t xml:space="preserve">Three findings stand out from our experimental campaign. First, the phonetic embedding stage saturates quickly (224 tokens, invariant from 500K to 10M training), indicating that the Hangul-Japanese phonetic mapping space is inherently limited and the bottleneck lies entirely in downstream kanji disambiguation. Second, adjacent-sentence co-occurrence embeddings provide the single largest accuracy improvement (+25.7%p), suggesting that topical coherence across sentence boundaries is a powerful signal for Japanese word prediction. Third, vocabulary expansion without proportional training data scaling is counterproductive, a finding that has direct implications for system vocabulary management strategy.</w:t>
      </w:r>
    </w:p>
    <w:p>
      <w:pPr>
        <w:pStyle w:val="Heading2"/>
        <w:spacing w:after="160" w:before="280"/>
      </w:pPr>
      <w:r>
        <w:rPr>
          <w:rFonts w:ascii="Arial" w:cs="Arial" w:eastAsia="Arial" w:hAnsi="Arial"/>
        </w:rPr>
        <w:t xml:space="preserve">7.2 Limitations</w:t>
      </w:r>
    </w:p>
    <w:p>
      <w:pPr>
        <w:spacing w:after="160" w:before="0" w:line="276"/>
        <w:ind w:firstLine="480"/>
        <w:jc w:val="both"/>
      </w:pPr>
      <w:r>
        <w:rPr>
          <w:rFonts w:ascii="Arial" w:cs="Arial" w:eastAsia="Arial" w:hAnsi="Arial"/>
          <w:sz w:val="22"/>
          <w:szCs w:val="22"/>
        </w:rPr>
        <w:t xml:space="preserve">The 32.9 percentage point accuracy gap with commercial IMEs remains significant. The primary limitation is the probabilistic hiragana decoding stage: commercial IMEs receive deterministic hiragana input, eliminating an entire error source. Additionally, our synthetic training corpus may not capture the full complexity of real-world Japanese text. The noun disambiguation bottleneck (48.4% accuracy) requires domain-specific solutions beyond general-purpose embeddings.</w:t>
      </w:r>
    </w:p>
    <w:p>
      <w:pPr>
        <w:pStyle w:val="Heading2"/>
        <w:spacing w:after="160" w:before="280"/>
      </w:pPr>
      <w:r>
        <w:rPr>
          <w:rFonts w:ascii="Arial" w:cs="Arial" w:eastAsia="Arial" w:hAnsi="Arial"/>
        </w:rPr>
        <w:t xml:space="preserve">7.3 Future Work</w:t>
      </w:r>
    </w:p>
    <w:p>
      <w:pPr>
        <w:spacing w:after="160" w:before="0" w:line="276"/>
        <w:ind w:firstLine="480"/>
        <w:jc w:val="both"/>
      </w:pPr>
      <w:r>
        <w:rPr>
          <w:rFonts w:ascii="Arial" w:cs="Arial" w:eastAsia="Arial" w:hAnsi="Arial"/>
          <w:sz w:val="22"/>
          <w:szCs w:val="22"/>
        </w:rPr>
        <w:t xml:space="preserve">Several directions could improve accuracy toward commercial IME levels: (1) integrating real-world Japanese text corpora (e.g., Wikipedia, news articles) for training; (2) implementing semantic category constraints for noun disambiguation; (3) exploring transformer-based language models for context ranking; (4) improving next-word prediction from 0.6% to usable levels through particle-specific prediction and bigram caching; and (5) user adaptation through learning from confirmed selections over time.</w:t>
      </w:r>
    </w:p>
    <w:p>
      <w:r>
        <w:br w:type="page"/>
      </w:r>
    </w:p>
    <w:p>
      <w:pPr>
        <w:pStyle w:val="Heading1"/>
        <w:spacing w:after="200" w:before="360"/>
      </w:pPr>
      <w:r>
        <w:rPr>
          <w:rFonts w:ascii="Arial" w:cs="Arial" w:eastAsia="Arial" w:hAnsi="Arial"/>
        </w:rPr>
        <w:t xml:space="preserve">8. Conclusion</w:t>
      </w:r>
    </w:p>
    <w:p>
      <w:pPr>
        <w:spacing w:after="160" w:before="0" w:line="276"/>
        <w:ind w:firstLine="480"/>
        <w:jc w:val="both"/>
      </w:pPr>
      <w:r>
        <w:rPr>
          <w:rFonts w:ascii="Arial" w:cs="Arial" w:eastAsia="Arial" w:hAnsi="Arial"/>
          <w:sz w:val="22"/>
          <w:szCs w:val="22"/>
        </w:rPr>
        <w:t xml:space="preserve">We have presented a complete Hangul-to-Japanese input method engine that achieves 62.1% Top-1 surface accuracy with a KSPC of 0.85. Through 14 systematic experiments, we identified the critical factors for cross-linguistic IME accuracy: phonetic embedding quality, cross-sentence semantic context, n-gram language modeling, and appropriate vocabulary-to-training-data ratios. The adjacent-sentence co-occurrence embedding method, contributing +25.7 percentage points alone, represents the most impactful architectural innovation. The system demonstrates that Korean phonetic encoding provides a fundamentally more efficient input medium for Japanese text than traditional romaji, achieving 57.5% fewer keystrokes per character while maintaining usable conversion accuracy. Native implementations for macOS and Windows confirm practical deployment viability.</w:t>
      </w:r>
    </w:p>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Hangul-to-Japanese IME: Experimental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2026-04-07T06:53:38.754Z</dcterms:created>
  <dcterms:modified xsi:type="dcterms:W3CDTF">2026-04-07T06:53:38.755Z</dcterms:modified>
</cp:coreProperties>
</file>

<file path=docProps/custom.xml><?xml version="1.0" encoding="utf-8"?>
<Properties xmlns="http://schemas.openxmlformats.org/officeDocument/2006/custom-properties" xmlns:vt="http://schemas.openxmlformats.org/officeDocument/2006/docPropsVTypes"/>
</file>