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4009725"/>
        <w:docPartObj>
          <w:docPartGallery w:val="Cover Pages"/>
          <w:docPartUnique/>
        </w:docPartObj>
      </w:sdtPr>
      <w:sdtEndPr>
        <w:rPr>
          <w:bCs/>
          <w:szCs w:val="20"/>
        </w:rPr>
      </w:sdtEndPr>
      <w:sdtContent>
        <w:p w14:paraId="404C70B7" w14:textId="77777777" w:rsidR="00FC67E9" w:rsidRDefault="00FC67E9"/>
        <w:p w14:paraId="4F8D02C2" w14:textId="77777777" w:rsidR="00FC67E9" w:rsidRDefault="00FC67E9"/>
        <w:p w14:paraId="6FAFA3FD" w14:textId="77777777" w:rsidR="00FC67E9" w:rsidRDefault="00FC67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8"/>
            <w:gridCol w:w="6562"/>
          </w:tblGrid>
          <w:tr w:rsidR="002949DD" w14:paraId="3912ECC5" w14:textId="77777777" w:rsidTr="002949DD">
            <w:tc>
              <w:tcPr>
                <w:tcW w:w="2808" w:type="dxa"/>
              </w:tcPr>
              <w:p w14:paraId="4033271B" w14:textId="77777777" w:rsidR="002949DD" w:rsidRDefault="002949DD">
                <w:r>
                  <w:rPr>
                    <w:noProof/>
                    <w:lang w:val="en-US" w:eastAsia="zh-CN"/>
                  </w:rPr>
                  <w:drawing>
                    <wp:inline distT="0" distB="0" distL="0" distR="0" wp14:anchorId="725A7DE8" wp14:editId="149D1895">
                      <wp:extent cx="1524000" cy="1590675"/>
                      <wp:effectExtent l="0" t="0" r="0" b="0"/>
                      <wp:docPr id="6" name="Picture 5" descr="CANUE-logo-monichromatic-sm-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UE-logo-monichromatic-sm-wt.png"/>
                              <pic:cNvPicPr/>
                            </pic:nvPicPr>
                            <pic:blipFill>
                              <a:blip r:embed="rId8" cstate="print"/>
                              <a:stretch>
                                <a:fillRect/>
                              </a:stretch>
                            </pic:blipFill>
                            <pic:spPr>
                              <a:xfrm>
                                <a:off x="0" y="0"/>
                                <a:ext cx="1524000" cy="1590675"/>
                              </a:xfrm>
                              <a:prstGeom prst="rect">
                                <a:avLst/>
                              </a:prstGeom>
                            </pic:spPr>
                          </pic:pic>
                        </a:graphicData>
                      </a:graphic>
                    </wp:inline>
                  </w:drawing>
                </w:r>
              </w:p>
            </w:tc>
            <w:tc>
              <w:tcPr>
                <w:tcW w:w="6768" w:type="dxa"/>
                <w:vAlign w:val="center"/>
              </w:tcPr>
              <w:p w14:paraId="05701CF1" w14:textId="77777777" w:rsidR="002949DD" w:rsidRPr="0085494B" w:rsidRDefault="002949DD" w:rsidP="002949DD">
                <w:pPr>
                  <w:jc w:val="center"/>
                  <w:rPr>
                    <w:rFonts w:ascii="Montserrat" w:hAnsi="Montserrat"/>
                  </w:rPr>
                </w:pPr>
                <w:r w:rsidRPr="0085494B">
                  <w:rPr>
                    <w:rFonts w:ascii="Montserrat" w:hAnsi="Montserrat"/>
                    <w:sz w:val="32"/>
                  </w:rPr>
                  <w:t>CANADIAN URBAN ENVIRONMENTAL HEALTH RESEARCH CONSORTIUM</w:t>
                </w:r>
              </w:p>
            </w:tc>
          </w:tr>
        </w:tbl>
        <w:p w14:paraId="26120348" w14:textId="77777777" w:rsidR="00FC67E9" w:rsidRDefault="00FC67E9"/>
        <w:p w14:paraId="1C14A019" w14:textId="77777777" w:rsidR="00FC67E9" w:rsidRDefault="00FC67E9"/>
        <w:p w14:paraId="5E4EA8BC" w14:textId="77777777" w:rsidR="002949DD" w:rsidRDefault="002949DD" w:rsidP="002949DD">
          <w:pPr>
            <w:jc w:val="center"/>
            <w:rPr>
              <w:b/>
              <w:sz w:val="36"/>
            </w:rPr>
          </w:pPr>
        </w:p>
        <w:p w14:paraId="604F8C69" w14:textId="4141217B" w:rsidR="006662B3" w:rsidRDefault="006662B3" w:rsidP="004759DC">
          <w:pPr>
            <w:jc w:val="center"/>
            <w:rPr>
              <w:b/>
              <w:sz w:val="36"/>
            </w:rPr>
          </w:pPr>
          <w:r>
            <w:rPr>
              <w:b/>
              <w:sz w:val="36"/>
            </w:rPr>
            <w:t xml:space="preserve">Measuring </w:t>
          </w:r>
          <w:r w:rsidR="004759DC">
            <w:rPr>
              <w:b/>
              <w:sz w:val="36"/>
            </w:rPr>
            <w:t xml:space="preserve">urban </w:t>
          </w:r>
          <w:r>
            <w:rPr>
              <w:b/>
              <w:sz w:val="36"/>
            </w:rPr>
            <w:t>sprawl across Canada</w:t>
          </w:r>
          <w:r w:rsidR="004759DC">
            <w:rPr>
              <w:b/>
              <w:sz w:val="36"/>
            </w:rPr>
            <w:t xml:space="preserve"> at a small-area level</w:t>
          </w:r>
        </w:p>
        <w:p w14:paraId="56F970C2" w14:textId="10464C91" w:rsidR="00E757AF" w:rsidRPr="00E757AF" w:rsidRDefault="00E757AF" w:rsidP="004759DC">
          <w:pPr>
            <w:jc w:val="center"/>
            <w:rPr>
              <w:sz w:val="28"/>
              <w:szCs w:val="28"/>
            </w:rPr>
          </w:pPr>
          <w:r w:rsidRPr="00E757AF">
            <w:rPr>
              <w:sz w:val="28"/>
              <w:szCs w:val="28"/>
            </w:rPr>
            <w:t>-- A Bayesian spatial statistical approach</w:t>
          </w:r>
        </w:p>
        <w:p w14:paraId="66CA83AA" w14:textId="77777777" w:rsidR="006662B3" w:rsidRDefault="006662B3" w:rsidP="006662B3">
          <w:pPr>
            <w:pStyle w:val="ListParagraph"/>
          </w:pPr>
        </w:p>
        <w:p w14:paraId="022A03B4" w14:textId="4F47E7C0" w:rsidR="006662B3" w:rsidRDefault="006662B3" w:rsidP="006662B3">
          <w:pPr>
            <w:pStyle w:val="ListParagraph"/>
            <w:jc w:val="center"/>
          </w:pPr>
          <w:r>
            <w:t>Hui Luan and Daniel Fuller</w:t>
          </w:r>
        </w:p>
        <w:p w14:paraId="20DCB5EF" w14:textId="77777777" w:rsidR="002949DD" w:rsidRDefault="002949DD" w:rsidP="002949DD">
          <w:pPr>
            <w:jc w:val="center"/>
          </w:pPr>
        </w:p>
        <w:p w14:paraId="4E3C4560" w14:textId="722CD8AA" w:rsidR="002949DD" w:rsidRPr="002949DD" w:rsidRDefault="006662B3" w:rsidP="002949DD">
          <w:pPr>
            <w:jc w:val="center"/>
            <w:rPr>
              <w:b/>
            </w:rPr>
          </w:pPr>
          <w:r>
            <w:rPr>
              <w:b/>
            </w:rPr>
            <w:t>March</w:t>
          </w:r>
          <w:r w:rsidR="002C01B3">
            <w:rPr>
              <w:b/>
            </w:rPr>
            <w:t xml:space="preserve"> </w:t>
          </w:r>
          <w:r w:rsidR="00EB7B7E">
            <w:rPr>
              <w:b/>
            </w:rPr>
            <w:t>23</w:t>
          </w:r>
          <w:r w:rsidR="002949DD" w:rsidRPr="002949DD">
            <w:rPr>
              <w:b/>
            </w:rPr>
            <w:t>, 20</w:t>
          </w:r>
          <w:r w:rsidR="00EB7B7E">
            <w:rPr>
              <w:b/>
            </w:rPr>
            <w:t>20</w:t>
          </w:r>
          <w:bookmarkStart w:id="0" w:name="_GoBack"/>
          <w:bookmarkEnd w:id="0"/>
        </w:p>
        <w:p w14:paraId="793E6384" w14:textId="77777777" w:rsidR="00FC67E9" w:rsidRDefault="00FC67E9" w:rsidP="002949DD">
          <w:pPr>
            <w:jc w:val="center"/>
          </w:pPr>
        </w:p>
        <w:p w14:paraId="697CB184" w14:textId="77777777" w:rsidR="00FC67E9" w:rsidRDefault="00FC67E9"/>
        <w:p w14:paraId="6FB30AD0" w14:textId="77777777" w:rsidR="002949DD" w:rsidRDefault="002949DD"/>
        <w:p w14:paraId="42B2C30D" w14:textId="77777777" w:rsidR="002949DD" w:rsidRDefault="002949DD"/>
        <w:p w14:paraId="5EF19C5E" w14:textId="77777777" w:rsidR="002949DD" w:rsidRDefault="002949DD"/>
        <w:p w14:paraId="7608A966" w14:textId="77777777" w:rsidR="002949DD" w:rsidRDefault="002949DD"/>
        <w:p w14:paraId="4557936F" w14:textId="77777777" w:rsidR="002949DD" w:rsidRDefault="002949DD"/>
        <w:p w14:paraId="4BBFDA06" w14:textId="77777777" w:rsidR="002949DD" w:rsidRDefault="002949DD"/>
        <w:p w14:paraId="1A1BE3B6" w14:textId="77777777" w:rsidR="002949DD" w:rsidRDefault="002949DD"/>
        <w:p w14:paraId="3AFB7431" w14:textId="77777777" w:rsidR="00FC67E9" w:rsidRDefault="002949DD">
          <w:r>
            <w:rPr>
              <w:noProof/>
              <w:lang w:val="en-US" w:eastAsia="zh-CN"/>
            </w:rPr>
            <w:lastRenderedPageBreak/>
            <w:drawing>
              <wp:inline distT="0" distB="0" distL="0" distR="0" wp14:anchorId="69C4C3CC" wp14:editId="3C9867BD">
                <wp:extent cx="5943600" cy="120287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202871"/>
                        </a:xfrm>
                        <a:prstGeom prst="rect">
                          <a:avLst/>
                        </a:prstGeom>
                        <a:noFill/>
                        <a:ln w="9525">
                          <a:noFill/>
                          <a:miter lim="800000"/>
                          <a:headEnd/>
                          <a:tailEnd/>
                        </a:ln>
                      </pic:spPr>
                    </pic:pic>
                  </a:graphicData>
                </a:graphic>
              </wp:inline>
            </w:drawing>
          </w:r>
        </w:p>
        <w:p w14:paraId="5BA542AE" w14:textId="77777777" w:rsidR="00FC67E9" w:rsidRDefault="00FC67E9"/>
        <w:p w14:paraId="6DFC06F8" w14:textId="77777777" w:rsidR="006662B3" w:rsidRDefault="006662B3">
          <w:pPr>
            <w:sectPr w:rsidR="006662B3" w:rsidSect="00FC67E9">
              <w:pgSz w:w="12240" w:h="15840"/>
              <w:pgMar w:top="1440" w:right="1440" w:bottom="1440" w:left="1440" w:header="708" w:footer="708" w:gutter="0"/>
              <w:pgNumType w:fmt="lowerRoman" w:start="1"/>
              <w:cols w:space="708"/>
              <w:docGrid w:linePitch="360"/>
            </w:sectPr>
          </w:pPr>
        </w:p>
        <w:p w14:paraId="78A4384C" w14:textId="77777777" w:rsidR="00FC67E9" w:rsidRDefault="00BE233A">
          <w:pPr>
            <w:rPr>
              <w:b/>
              <w:szCs w:val="20"/>
            </w:rPr>
          </w:pPr>
        </w:p>
      </w:sdtContent>
    </w:sdt>
    <w:sdt>
      <w:sdtPr>
        <w:rPr>
          <w:rFonts w:asciiTheme="minorHAnsi" w:eastAsiaTheme="minorHAnsi" w:hAnsiTheme="minorHAnsi" w:cstheme="minorBidi"/>
          <w:b w:val="0"/>
          <w:bCs w:val="0"/>
          <w:color w:val="auto"/>
          <w:sz w:val="22"/>
          <w:szCs w:val="22"/>
          <w:lang w:val="en-CA"/>
        </w:rPr>
        <w:id w:val="1554009718"/>
        <w:docPartObj>
          <w:docPartGallery w:val="Table of Contents"/>
          <w:docPartUnique/>
        </w:docPartObj>
      </w:sdtPr>
      <w:sdtEndPr/>
      <w:sdtContent>
        <w:p w14:paraId="4F10C481" w14:textId="77777777" w:rsidR="00FC67E9" w:rsidRDefault="00FC67E9">
          <w:pPr>
            <w:pStyle w:val="TOCHeading"/>
            <w:rPr>
              <w:rFonts w:asciiTheme="minorHAnsi" w:hAnsiTheme="minorHAnsi"/>
              <w:color w:val="708D6E"/>
            </w:rPr>
          </w:pPr>
          <w:r w:rsidRPr="00FC67E9">
            <w:rPr>
              <w:rFonts w:asciiTheme="minorHAnsi" w:hAnsiTheme="minorHAnsi"/>
              <w:color w:val="708D6E"/>
              <w:sz w:val="32"/>
            </w:rPr>
            <w:t>Contents</w:t>
          </w:r>
        </w:p>
        <w:p w14:paraId="514F5D4F" w14:textId="77777777" w:rsidR="00FC67E9" w:rsidRPr="00FC67E9" w:rsidRDefault="00FC67E9" w:rsidP="00FC67E9">
          <w:pPr>
            <w:rPr>
              <w:lang w:val="en-US"/>
            </w:rPr>
          </w:pPr>
        </w:p>
        <w:p w14:paraId="300A130A" w14:textId="77777777" w:rsidR="00415528" w:rsidRDefault="0018478E">
          <w:pPr>
            <w:pStyle w:val="TOC1"/>
            <w:tabs>
              <w:tab w:val="right" w:leader="dot" w:pos="9350"/>
            </w:tabs>
            <w:rPr>
              <w:rFonts w:eastAsiaTheme="minorEastAsia"/>
              <w:noProof/>
              <w:lang w:eastAsia="zh-CN"/>
            </w:rPr>
          </w:pPr>
          <w:r>
            <w:fldChar w:fldCharType="begin"/>
          </w:r>
          <w:r w:rsidR="00FC67E9">
            <w:instrText xml:space="preserve"> TOC \o "1-3" \h \z \u </w:instrText>
          </w:r>
          <w:r>
            <w:fldChar w:fldCharType="separate"/>
          </w:r>
          <w:hyperlink w:anchor="_Toc517700804" w:history="1">
            <w:r w:rsidR="00415528" w:rsidRPr="00DC6FDA">
              <w:rPr>
                <w:rStyle w:val="Hyperlink"/>
                <w:noProof/>
              </w:rPr>
              <w:t>Abstract</w:t>
            </w:r>
            <w:r w:rsidR="00415528">
              <w:rPr>
                <w:noProof/>
                <w:webHidden/>
              </w:rPr>
              <w:tab/>
            </w:r>
            <w:r w:rsidR="00415528">
              <w:rPr>
                <w:noProof/>
                <w:webHidden/>
              </w:rPr>
              <w:fldChar w:fldCharType="begin"/>
            </w:r>
            <w:r w:rsidR="00415528">
              <w:rPr>
                <w:noProof/>
                <w:webHidden/>
              </w:rPr>
              <w:instrText xml:space="preserve"> PAGEREF _Toc517700804 \h </w:instrText>
            </w:r>
            <w:r w:rsidR="00415528">
              <w:rPr>
                <w:noProof/>
                <w:webHidden/>
              </w:rPr>
            </w:r>
            <w:r w:rsidR="00415528">
              <w:rPr>
                <w:noProof/>
                <w:webHidden/>
              </w:rPr>
              <w:fldChar w:fldCharType="separate"/>
            </w:r>
            <w:r w:rsidR="00415528">
              <w:rPr>
                <w:noProof/>
                <w:webHidden/>
              </w:rPr>
              <w:t>1</w:t>
            </w:r>
            <w:r w:rsidR="00415528">
              <w:rPr>
                <w:noProof/>
                <w:webHidden/>
              </w:rPr>
              <w:fldChar w:fldCharType="end"/>
            </w:r>
          </w:hyperlink>
        </w:p>
        <w:p w14:paraId="0D8939F5" w14:textId="77777777" w:rsidR="00415528" w:rsidRDefault="00BE233A">
          <w:pPr>
            <w:pStyle w:val="TOC1"/>
            <w:tabs>
              <w:tab w:val="right" w:leader="dot" w:pos="9350"/>
            </w:tabs>
            <w:rPr>
              <w:rFonts w:eastAsiaTheme="minorEastAsia"/>
              <w:noProof/>
              <w:lang w:eastAsia="zh-CN"/>
            </w:rPr>
          </w:pPr>
          <w:hyperlink w:anchor="_Toc517700805" w:history="1">
            <w:r w:rsidR="00415528" w:rsidRPr="00DC6FDA">
              <w:rPr>
                <w:rStyle w:val="Hyperlink"/>
                <w:noProof/>
              </w:rPr>
              <w:t>Chapter 1: Background</w:t>
            </w:r>
            <w:r w:rsidR="00415528">
              <w:rPr>
                <w:noProof/>
                <w:webHidden/>
              </w:rPr>
              <w:tab/>
            </w:r>
            <w:r w:rsidR="00415528">
              <w:rPr>
                <w:noProof/>
                <w:webHidden/>
              </w:rPr>
              <w:fldChar w:fldCharType="begin"/>
            </w:r>
            <w:r w:rsidR="00415528">
              <w:rPr>
                <w:noProof/>
                <w:webHidden/>
              </w:rPr>
              <w:instrText xml:space="preserve"> PAGEREF _Toc517700805 \h </w:instrText>
            </w:r>
            <w:r w:rsidR="00415528">
              <w:rPr>
                <w:noProof/>
                <w:webHidden/>
              </w:rPr>
            </w:r>
            <w:r w:rsidR="00415528">
              <w:rPr>
                <w:noProof/>
                <w:webHidden/>
              </w:rPr>
              <w:fldChar w:fldCharType="separate"/>
            </w:r>
            <w:r w:rsidR="00415528">
              <w:rPr>
                <w:noProof/>
                <w:webHidden/>
              </w:rPr>
              <w:t>2</w:t>
            </w:r>
            <w:r w:rsidR="00415528">
              <w:rPr>
                <w:noProof/>
                <w:webHidden/>
              </w:rPr>
              <w:fldChar w:fldCharType="end"/>
            </w:r>
          </w:hyperlink>
        </w:p>
        <w:p w14:paraId="64811EE1" w14:textId="77777777" w:rsidR="00415528" w:rsidRDefault="00BE233A">
          <w:pPr>
            <w:pStyle w:val="TOC1"/>
            <w:tabs>
              <w:tab w:val="right" w:leader="dot" w:pos="9350"/>
            </w:tabs>
            <w:rPr>
              <w:rFonts w:eastAsiaTheme="minorEastAsia"/>
              <w:noProof/>
              <w:lang w:eastAsia="zh-CN"/>
            </w:rPr>
          </w:pPr>
          <w:hyperlink w:anchor="_Toc517700806" w:history="1">
            <w:r w:rsidR="00415528" w:rsidRPr="00DC6FDA">
              <w:rPr>
                <w:rStyle w:val="Hyperlink"/>
                <w:noProof/>
              </w:rPr>
              <w:t>Chapter 2: Sprawl score indicators</w:t>
            </w:r>
            <w:r w:rsidR="00415528">
              <w:rPr>
                <w:noProof/>
                <w:webHidden/>
              </w:rPr>
              <w:tab/>
            </w:r>
            <w:r w:rsidR="00415528">
              <w:rPr>
                <w:noProof/>
                <w:webHidden/>
              </w:rPr>
              <w:fldChar w:fldCharType="begin"/>
            </w:r>
            <w:r w:rsidR="00415528">
              <w:rPr>
                <w:noProof/>
                <w:webHidden/>
              </w:rPr>
              <w:instrText xml:space="preserve"> PAGEREF _Toc517700806 \h </w:instrText>
            </w:r>
            <w:r w:rsidR="00415528">
              <w:rPr>
                <w:noProof/>
                <w:webHidden/>
              </w:rPr>
            </w:r>
            <w:r w:rsidR="00415528">
              <w:rPr>
                <w:noProof/>
                <w:webHidden/>
              </w:rPr>
              <w:fldChar w:fldCharType="separate"/>
            </w:r>
            <w:r w:rsidR="00415528">
              <w:rPr>
                <w:noProof/>
                <w:webHidden/>
              </w:rPr>
              <w:t>4</w:t>
            </w:r>
            <w:r w:rsidR="00415528">
              <w:rPr>
                <w:noProof/>
                <w:webHidden/>
              </w:rPr>
              <w:fldChar w:fldCharType="end"/>
            </w:r>
          </w:hyperlink>
        </w:p>
        <w:p w14:paraId="488A8464" w14:textId="77777777" w:rsidR="00415528" w:rsidRDefault="00BE233A">
          <w:pPr>
            <w:pStyle w:val="TOC1"/>
            <w:tabs>
              <w:tab w:val="right" w:leader="dot" w:pos="9350"/>
            </w:tabs>
            <w:rPr>
              <w:rFonts w:eastAsiaTheme="minorEastAsia"/>
              <w:noProof/>
              <w:lang w:eastAsia="zh-CN"/>
            </w:rPr>
          </w:pPr>
          <w:hyperlink w:anchor="_Toc517700807" w:history="1">
            <w:r w:rsidR="00415528" w:rsidRPr="00DC6FDA">
              <w:rPr>
                <w:rStyle w:val="Hyperlink"/>
                <w:noProof/>
              </w:rPr>
              <w:t>Chapter 3: Statistical Method</w:t>
            </w:r>
            <w:r w:rsidR="00415528">
              <w:rPr>
                <w:noProof/>
                <w:webHidden/>
              </w:rPr>
              <w:tab/>
            </w:r>
            <w:r w:rsidR="00415528">
              <w:rPr>
                <w:noProof/>
                <w:webHidden/>
              </w:rPr>
              <w:fldChar w:fldCharType="begin"/>
            </w:r>
            <w:r w:rsidR="00415528">
              <w:rPr>
                <w:noProof/>
                <w:webHidden/>
              </w:rPr>
              <w:instrText xml:space="preserve"> PAGEREF _Toc517700807 \h </w:instrText>
            </w:r>
            <w:r w:rsidR="00415528">
              <w:rPr>
                <w:noProof/>
                <w:webHidden/>
              </w:rPr>
            </w:r>
            <w:r w:rsidR="00415528">
              <w:rPr>
                <w:noProof/>
                <w:webHidden/>
              </w:rPr>
              <w:fldChar w:fldCharType="separate"/>
            </w:r>
            <w:r w:rsidR="00415528">
              <w:rPr>
                <w:noProof/>
                <w:webHidden/>
              </w:rPr>
              <w:t>5</w:t>
            </w:r>
            <w:r w:rsidR="00415528">
              <w:rPr>
                <w:noProof/>
                <w:webHidden/>
              </w:rPr>
              <w:fldChar w:fldCharType="end"/>
            </w:r>
          </w:hyperlink>
        </w:p>
        <w:p w14:paraId="0505C454" w14:textId="77777777" w:rsidR="00415528" w:rsidRDefault="00BE233A">
          <w:pPr>
            <w:pStyle w:val="TOC1"/>
            <w:tabs>
              <w:tab w:val="right" w:leader="dot" w:pos="9350"/>
            </w:tabs>
            <w:rPr>
              <w:rFonts w:eastAsiaTheme="minorEastAsia"/>
              <w:noProof/>
              <w:lang w:eastAsia="zh-CN"/>
            </w:rPr>
          </w:pPr>
          <w:hyperlink w:anchor="_Toc517700808" w:history="1">
            <w:r w:rsidR="00415528" w:rsidRPr="00DC6FDA">
              <w:rPr>
                <w:rStyle w:val="Hyperlink"/>
                <w:noProof/>
              </w:rPr>
              <w:t>Chapter 4: Limitations</w:t>
            </w:r>
            <w:r w:rsidR="00415528">
              <w:rPr>
                <w:noProof/>
                <w:webHidden/>
              </w:rPr>
              <w:tab/>
            </w:r>
            <w:r w:rsidR="00415528">
              <w:rPr>
                <w:noProof/>
                <w:webHidden/>
              </w:rPr>
              <w:fldChar w:fldCharType="begin"/>
            </w:r>
            <w:r w:rsidR="00415528">
              <w:rPr>
                <w:noProof/>
                <w:webHidden/>
              </w:rPr>
              <w:instrText xml:space="preserve"> PAGEREF _Toc517700808 \h </w:instrText>
            </w:r>
            <w:r w:rsidR="00415528">
              <w:rPr>
                <w:noProof/>
                <w:webHidden/>
              </w:rPr>
            </w:r>
            <w:r w:rsidR="00415528">
              <w:rPr>
                <w:noProof/>
                <w:webHidden/>
              </w:rPr>
              <w:fldChar w:fldCharType="separate"/>
            </w:r>
            <w:r w:rsidR="00415528">
              <w:rPr>
                <w:noProof/>
                <w:webHidden/>
              </w:rPr>
              <w:t>6</w:t>
            </w:r>
            <w:r w:rsidR="00415528">
              <w:rPr>
                <w:noProof/>
                <w:webHidden/>
              </w:rPr>
              <w:fldChar w:fldCharType="end"/>
            </w:r>
          </w:hyperlink>
        </w:p>
        <w:p w14:paraId="49496F61" w14:textId="77777777" w:rsidR="00415528" w:rsidRDefault="00BE233A">
          <w:pPr>
            <w:pStyle w:val="TOC1"/>
            <w:tabs>
              <w:tab w:val="right" w:leader="dot" w:pos="9350"/>
            </w:tabs>
            <w:rPr>
              <w:rFonts w:eastAsiaTheme="minorEastAsia"/>
              <w:noProof/>
              <w:lang w:eastAsia="zh-CN"/>
            </w:rPr>
          </w:pPr>
          <w:hyperlink w:anchor="_Toc517700809" w:history="1">
            <w:r w:rsidR="00415528" w:rsidRPr="00DC6FDA">
              <w:rPr>
                <w:rStyle w:val="Hyperlink"/>
                <w:noProof/>
              </w:rPr>
              <w:t>Chapter 5: Metadata</w:t>
            </w:r>
            <w:r w:rsidR="00415528">
              <w:rPr>
                <w:noProof/>
                <w:webHidden/>
              </w:rPr>
              <w:tab/>
            </w:r>
            <w:r w:rsidR="00415528">
              <w:rPr>
                <w:noProof/>
                <w:webHidden/>
              </w:rPr>
              <w:fldChar w:fldCharType="begin"/>
            </w:r>
            <w:r w:rsidR="00415528">
              <w:rPr>
                <w:noProof/>
                <w:webHidden/>
              </w:rPr>
              <w:instrText xml:space="preserve"> PAGEREF _Toc517700809 \h </w:instrText>
            </w:r>
            <w:r w:rsidR="00415528">
              <w:rPr>
                <w:noProof/>
                <w:webHidden/>
              </w:rPr>
            </w:r>
            <w:r w:rsidR="00415528">
              <w:rPr>
                <w:noProof/>
                <w:webHidden/>
              </w:rPr>
              <w:fldChar w:fldCharType="separate"/>
            </w:r>
            <w:r w:rsidR="00415528">
              <w:rPr>
                <w:noProof/>
                <w:webHidden/>
              </w:rPr>
              <w:t>7</w:t>
            </w:r>
            <w:r w:rsidR="00415528">
              <w:rPr>
                <w:noProof/>
                <w:webHidden/>
              </w:rPr>
              <w:fldChar w:fldCharType="end"/>
            </w:r>
          </w:hyperlink>
        </w:p>
        <w:p w14:paraId="2142C42B" w14:textId="77777777" w:rsidR="00415528" w:rsidRDefault="00BE233A">
          <w:pPr>
            <w:pStyle w:val="TOC1"/>
            <w:tabs>
              <w:tab w:val="right" w:leader="dot" w:pos="9350"/>
            </w:tabs>
            <w:rPr>
              <w:rFonts w:eastAsiaTheme="minorEastAsia"/>
              <w:noProof/>
              <w:lang w:eastAsia="zh-CN"/>
            </w:rPr>
          </w:pPr>
          <w:hyperlink w:anchor="_Toc517700810" w:history="1">
            <w:r w:rsidR="00415528" w:rsidRPr="00DC6FDA">
              <w:rPr>
                <w:rStyle w:val="Hyperlink"/>
                <w:noProof/>
              </w:rPr>
              <w:t>References</w:t>
            </w:r>
            <w:r w:rsidR="00415528">
              <w:rPr>
                <w:noProof/>
                <w:webHidden/>
              </w:rPr>
              <w:tab/>
            </w:r>
            <w:r w:rsidR="00415528">
              <w:rPr>
                <w:noProof/>
                <w:webHidden/>
              </w:rPr>
              <w:fldChar w:fldCharType="begin"/>
            </w:r>
            <w:r w:rsidR="00415528">
              <w:rPr>
                <w:noProof/>
                <w:webHidden/>
              </w:rPr>
              <w:instrText xml:space="preserve"> PAGEREF _Toc517700810 \h </w:instrText>
            </w:r>
            <w:r w:rsidR="00415528">
              <w:rPr>
                <w:noProof/>
                <w:webHidden/>
              </w:rPr>
            </w:r>
            <w:r w:rsidR="00415528">
              <w:rPr>
                <w:noProof/>
                <w:webHidden/>
              </w:rPr>
              <w:fldChar w:fldCharType="separate"/>
            </w:r>
            <w:r w:rsidR="00415528">
              <w:rPr>
                <w:noProof/>
                <w:webHidden/>
              </w:rPr>
              <w:t>8</w:t>
            </w:r>
            <w:r w:rsidR="00415528">
              <w:rPr>
                <w:noProof/>
                <w:webHidden/>
              </w:rPr>
              <w:fldChar w:fldCharType="end"/>
            </w:r>
          </w:hyperlink>
        </w:p>
        <w:p w14:paraId="206D5748" w14:textId="77777777" w:rsidR="00FC67E9" w:rsidRDefault="0018478E">
          <w:r>
            <w:fldChar w:fldCharType="end"/>
          </w:r>
        </w:p>
      </w:sdtContent>
    </w:sdt>
    <w:p w14:paraId="1DBA3076" w14:textId="77777777" w:rsidR="001D7858" w:rsidRDefault="001D7858" w:rsidP="00AF213F">
      <w:pPr>
        <w:rPr>
          <w:b/>
          <w:szCs w:val="20"/>
        </w:rPr>
        <w:sectPr w:rsidR="001D7858" w:rsidSect="00FC67E9">
          <w:headerReference w:type="default" r:id="rId10"/>
          <w:footerReference w:type="default" r:id="rId11"/>
          <w:pgSz w:w="12240" w:h="15840"/>
          <w:pgMar w:top="1440" w:right="1440" w:bottom="1440" w:left="1440" w:header="708" w:footer="708" w:gutter="0"/>
          <w:pgNumType w:fmt="lowerRoman" w:start="1"/>
          <w:cols w:space="708"/>
          <w:docGrid w:linePitch="360"/>
        </w:sectPr>
      </w:pPr>
    </w:p>
    <w:p w14:paraId="0AE1E767" w14:textId="77777777" w:rsidR="00BC0CB1" w:rsidRDefault="006662B3" w:rsidP="001D7858">
      <w:pPr>
        <w:pStyle w:val="Heading1"/>
      </w:pPr>
      <w:bookmarkStart w:id="1" w:name="_Toc517700804"/>
      <w:r>
        <w:lastRenderedPageBreak/>
        <w:t>Abstract</w:t>
      </w:r>
      <w:bookmarkEnd w:id="1"/>
    </w:p>
    <w:p w14:paraId="196C56A0" w14:textId="77777777" w:rsidR="00415528" w:rsidRPr="001D7858" w:rsidRDefault="00415528" w:rsidP="00415528"/>
    <w:p w14:paraId="1777074E" w14:textId="77777777" w:rsidR="006662B3" w:rsidRDefault="006662B3">
      <w:pPr>
        <w:rPr>
          <w:rFonts w:asciiTheme="majorHAnsi" w:eastAsia="Times New Roman" w:hAnsiTheme="majorHAnsi" w:cs="Times New Roman"/>
          <w:b/>
          <w:bCs/>
          <w:kern w:val="36"/>
          <w:sz w:val="24"/>
          <w:szCs w:val="48"/>
          <w:lang w:eastAsia="en-CA"/>
        </w:rPr>
      </w:pPr>
      <w:r>
        <w:br w:type="page"/>
      </w:r>
    </w:p>
    <w:p w14:paraId="4C5FE73E" w14:textId="77777777" w:rsidR="007855F4" w:rsidRDefault="006662B3" w:rsidP="001D7858">
      <w:pPr>
        <w:pStyle w:val="Heading1"/>
      </w:pPr>
      <w:bookmarkStart w:id="2" w:name="_Toc517700805"/>
      <w:r>
        <w:lastRenderedPageBreak/>
        <w:t>Chapter 1: Background</w:t>
      </w:r>
      <w:bookmarkEnd w:id="2"/>
    </w:p>
    <w:p w14:paraId="1637204D" w14:textId="7278011E" w:rsidR="00015D5E" w:rsidRPr="0033383C" w:rsidRDefault="00015D5E" w:rsidP="00015D5E">
      <w:pPr>
        <w:rPr>
          <w:rFonts w:cs="Arial"/>
          <w:szCs w:val="20"/>
        </w:rPr>
      </w:pPr>
      <w:r w:rsidRPr="0033383C">
        <w:rPr>
          <w:rFonts w:cs="Arial"/>
          <w:szCs w:val="20"/>
        </w:rPr>
        <w:t>In past decades, urban sprawl has gained increasing attention</w:t>
      </w:r>
      <w:r>
        <w:rPr>
          <w:rFonts w:cs="Arial"/>
          <w:szCs w:val="20"/>
        </w:rPr>
        <w:t>s</w:t>
      </w:r>
      <w:r w:rsidRPr="0033383C">
        <w:rPr>
          <w:rFonts w:cs="Arial"/>
          <w:szCs w:val="20"/>
        </w:rPr>
        <w:t xml:space="preserve"> from researchers in multiple disciplines including, but not limited to, urban planning, public health, economics, and transportation engineering</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"DOI" : "Yes", "abstract" : "In this paper we review and discuss multiple approaches of measuring urban sprawl. Our intent is not to propose new measures or methods but to present in a single paper an overview of approaches to measuring sprawl taken by scholars trained in a variety of disciplines. Our intent instead is to describe general approaches and to provide references to key sources for further examination. Based on our review, we draw two conclusions. First, over the last two decades we have made substantial progress in our ability to measure and analyze spatial patterns that constitute the problem known as urban sprawl. Second, because of the disciplinary boundaries in which this progress has been made, we understand parts of the problem better than we understand the problem as a whole.", "author" : [ { "dropping-particle" : "", "family" : "Knaap", "given" : "Gerrit-Jan", "non-dropping-particle" : "", "parse-names" : false, "suffix" : "" }, { "dropping-particle" : "", "family" : "Song", "given" : "Yan", "non-dropping-particle" : "", "parse-names" : false, "suffix" : "" }, { "dropping-particle" : "", "family" : "Ewing", "given" : "Reid", "non-dropping-particle" : "", "parse-names" : false, "suffix" : "" }, { "dropping-particle" : "", "family" : "Clifton", "given" : "Kelly", "non-dropping-particle" : "", "parse-names" : false, "suffix" : "" } ], "container-title" : "Landscape Ecology", "id" : "ITEM-1", "issued" : { "date-parts" : [ [ "2005" ] ] }, "page" : "1-46", "title" : "Seeing the Elephant : Multi-disciplinary Measures of Urban Sprawl", "type" : "article-journal" }, "uris" : [ "http://www.mendeley.com/documents/?uuid=bfe7671d-6b95-4d68-b2fe-2bc11f70605e" ] } ], "mendeley" : { "formattedCitation" : "(Knaap, Song, Ewing, &amp; Clifton, 2005)", "plainTextFormattedCitation" : "(Knaap, Song, Ewing, &amp; Clifton, 2005)", "previouslyFormattedCitation" : "(Knaap, Song, Ewing, &amp; Clifton, 2005)" }, "properties" : { "noteIndex" : 0 }, "schema" : "https://github.com/citation-style-language/schema/raw/master/csl-citation.json" }</w:instrText>
      </w:r>
      <w:r>
        <w:rPr>
          <w:rFonts w:cs="Arial"/>
          <w:szCs w:val="20"/>
        </w:rPr>
        <w:fldChar w:fldCharType="separate"/>
      </w:r>
      <w:r w:rsidR="008A7B50" w:rsidRPr="008A7B50">
        <w:rPr>
          <w:rFonts w:cs="Arial"/>
          <w:noProof/>
          <w:szCs w:val="20"/>
        </w:rPr>
        <w:t>(Knaap, Song, Ewing, &amp; Clifton, 2005)</w:t>
      </w:r>
      <w:r>
        <w:rPr>
          <w:rFonts w:cs="Arial"/>
          <w:szCs w:val="20"/>
        </w:rPr>
        <w:fldChar w:fldCharType="end"/>
      </w:r>
      <w:r w:rsidRPr="0033383C">
        <w:rPr>
          <w:rFonts w:cs="Arial"/>
          <w:szCs w:val="20"/>
        </w:rPr>
        <w:t>. A consensus on the definition of urban sprawl however, is still lacking. In the literature, urban sprawl is loosely defined as inefficient, unordered, and unorganized urban growth, which manifests in the forms of decentralization, fragmentation, and low-density of residence</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"DOI" : "Cited By (since 1996) 164\\rExport Date 14 August 2012", "ISBN" : "0309085659", "ISSN" : "0361-1981", "PMID" : "965482", "abstract" : "Much as Justice Potter Stewart said of pornography, most people would be hard pressed to define urban sprawl, but they know it when they see it. Increasingly, however, that is not good enough. As more and more metropolitan areas debate the costs and consequences of poorly managed expansion there is an increasing need to be clear about the terms of the discussion. Politicians and planners aiming to contain sprawl also must have an agreed-upon way to define and measure it in order to track their progress. Beyond that, it is important for policy makers to be able to demonstrate how, and to what degree, sprawl has real implications for real people. The study underlying this report, the product of three years of research by Reid Ewing of Rutgers University and Rolf Pendall of Cornell University, represents the most comprehensive effort yet undertaken to define, measure and evaluate metropolitan sprawl and its impacts. This report is the first in a series of findings to be issued based on the ongoing analysis of that work.", "author" : [ { "dropping-particle" : "", "family" : "Ewing", "given" : "Reid", "non-dropping-particle" : "", "parse-names" : false, "suffix" : "" }, { "dropping-particle" : "", "family" : "Pendall", "given" : "Rolf", "non-dropping-particle" : "", "parse-names" : false, "suffix" : "" }, { "dropping-particle" : "", "family" : "Chen", "given" : "Don", "non-dropping-particle" : "", "parse-names" : false, "suffix" : "" } ], "container-title" : "Smart Growth America", "id" : "ITEM-1", "issued" : { "date-parts" : [ [ "2002" ] ] }, "number-of-pages" : "42", "title" : "Measuring Sprawl and Its Impact", "type" : "report" }, "uris" : [ "http://www.mendeley.com/documents/?uuid=01c2ba1a-4ad7-4e7f-a2cf-759fbf9fb73a" ] } ], "mendeley" : { "formattedCitation" : "(Ewing, Pendall, &amp; Chen, 2002)", "plainTextFormattedCitation" : "(Ewing, Pendall, &amp; Chen, 2002)", "previouslyFormattedCitation" : "(Ewing, Pendall, &amp; Chen, 2002)"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Pendall, &amp; Chen, 2002)</w:t>
      </w:r>
      <w:r>
        <w:rPr>
          <w:rFonts w:cs="Arial"/>
          <w:szCs w:val="20"/>
        </w:rPr>
        <w:fldChar w:fldCharType="end"/>
      </w:r>
      <w:r w:rsidRPr="0033383C">
        <w:rPr>
          <w:rFonts w:cs="Arial"/>
          <w:szCs w:val="20"/>
        </w:rPr>
        <w:t xml:space="preserve">. </w:t>
      </w:r>
    </w:p>
    <w:p w14:paraId="434FCF6A" w14:textId="72DF401C" w:rsidR="00796B1C" w:rsidRDefault="00015D5E" w:rsidP="00C9106D">
      <w:pPr>
        <w:ind w:firstLine="720"/>
        <w:rPr>
          <w:rFonts w:cs="Arial"/>
          <w:szCs w:val="20"/>
        </w:rPr>
      </w:pPr>
      <w:r w:rsidRPr="0033383C">
        <w:rPr>
          <w:rFonts w:cs="Arial"/>
          <w:szCs w:val="20"/>
        </w:rPr>
        <w:t>The nega</w:t>
      </w:r>
      <w:r>
        <w:rPr>
          <w:rFonts w:cs="Arial"/>
          <w:szCs w:val="20"/>
        </w:rPr>
        <w:t>tive impacts of urban sprawl have</w:t>
      </w:r>
      <w:r w:rsidRPr="0033383C">
        <w:rPr>
          <w:rFonts w:cs="Arial"/>
          <w:szCs w:val="20"/>
        </w:rPr>
        <w:t xml:space="preserve"> been widely acknowledged. There is ample evidence that urban sprawl significantly correlates with increased energy use, pollution, traffic congestion</w:t>
      </w:r>
      <w:r w:rsidR="00796B1C">
        <w:rPr>
          <w:rFonts w:cs="Arial"/>
          <w:szCs w:val="20"/>
        </w:rPr>
        <w:t xml:space="preserve"> </w:t>
      </w:r>
      <w:r w:rsidR="00796B1C">
        <w:rPr>
          <w:rFonts w:cs="Arial"/>
          <w:szCs w:val="20"/>
        </w:rPr>
        <w:fldChar w:fldCharType="begin" w:fldLock="1"/>
      </w:r>
      <w:r w:rsidR="008A7B50">
        <w:rPr>
          <w:rFonts w:cs="Arial"/>
          <w:szCs w:val="20"/>
        </w:rPr>
        <w:instrText>ADDIN CSL_CITATION { "citationItems" : [ { "id" : "ITEM-1", "itemData" : { "DOI" : "10.1177/0885412215595439", "ISSN" : "0743-1635", "author" : [ { "dropping-particle" : "", "family" : "Ewing", "given" : "Reid", "non-dropping-particle" : "", "parse-names" : false, "suffix" : "" }, { "dropping-particle" : "", "family" : "Hamidi", "given" : "Shima", "non-dropping-particle" : "", "parse-names" : false, "suffix" : "" } ], "container-title" : "Journal of Planning Literature", "id" : "ITEM-1", "issue" : "4", "issued" : { "date-parts" : [ [ "2015" ] ] }, "page" : "413-432", "title" : "Compactness versus Sprawl: A Review of Recent Evidence from the United States", "type" : "article-journal", "volume" : "30" }, "uris" : [ "http://www.mendeley.com/documents/?uuid=4bea761c-ed0a-423e-afd2-20697f0c0841" ] } ], "mendeley" : { "formattedCitation" : "(Ewing &amp; Hamidi, 2015)", "plainTextFormattedCitation" : "(Ewing &amp; Hamidi, 2015)", "previouslyFormattedCitation" : "(Ewing &amp; Hamidi, 2015)" }, "properties" : { "noteIndex" : 0 }, "schema" : "https://github.com/citation-style-language/schema/raw/master/csl-citation.json" }</w:instrText>
      </w:r>
      <w:r w:rsidR="00796B1C">
        <w:rPr>
          <w:rFonts w:cs="Arial"/>
          <w:szCs w:val="20"/>
        </w:rPr>
        <w:fldChar w:fldCharType="separate"/>
      </w:r>
      <w:r w:rsidR="008A7B50" w:rsidRPr="008A7B50">
        <w:rPr>
          <w:rFonts w:cs="Arial"/>
          <w:noProof/>
          <w:szCs w:val="20"/>
        </w:rPr>
        <w:t>(Ewing &amp; Hamidi, 2015)</w:t>
      </w:r>
      <w:r w:rsidR="00796B1C">
        <w:rPr>
          <w:rFonts w:cs="Arial"/>
          <w:szCs w:val="20"/>
        </w:rPr>
        <w:fldChar w:fldCharType="end"/>
      </w:r>
      <w:r w:rsidRPr="0033383C">
        <w:rPr>
          <w:rFonts w:cs="Arial"/>
          <w:szCs w:val="20"/>
        </w:rPr>
        <w:t xml:space="preserve">. It also contributes to a decline in community cohesiveness and the deconstruction of wildlife habitats. </w:t>
      </w:r>
      <w:r>
        <w:rPr>
          <w:rFonts w:cs="Arial"/>
          <w:szCs w:val="20"/>
        </w:rPr>
        <w:t xml:space="preserve">The impact of urban sprawl on public health has also been extensively studied. Past research has suggested that urban sprawl is significantly associated with physical inactivity </w:t>
      </w:r>
      <w:r>
        <w:rPr>
          <w:rFonts w:cs="Arial"/>
          <w:szCs w:val="20"/>
        </w:rPr>
        <w:fldChar w:fldCharType="begin" w:fldLock="1"/>
      </w:r>
      <w:r w:rsidR="008A7B50">
        <w:rPr>
          <w:rFonts w:cs="Arial"/>
          <w:szCs w:val="20"/>
        </w:rPr>
        <w:instrText>ADDIN CSL_CITATION { "citationItems" : [ { "id" : "ITEM-1", "itemData" : { "DOI" : "10.1177/1476127005050030", "ISBN" : "1461445604", "ISSN" : "00031224", "PMID" : "125", "author" : [ { "dropping-particle" : "", "family" : "Frumkin", "given" : "Howard", "non-dropping-particle" : "", "parse-names" : false, "suffix" : "" } ], "container-title" : "Public Health Reports", "id" : "ITEM-1", "issue" : "3", "issued" : { "date-parts" : [ [ "2002" ] ] }, "page" : "201-217", "title" : "Urban Sprawl and Public Health", "type" : "article-journal", "volume" : "117" }, "uris" : [ "http://www.mendeley.com/documents/?uuid=be0e282b-10c6-4f6b-b397-1f41bf384ca7" ] } ], "mendeley" : { "formattedCitation" : "(Frumkin, 2002)", "plainTextFormattedCitation" : "(Frumkin, 2002)", "previouslyFormattedCitation" : "(Frumkin, 2002)" }, "properties" : { "noteIndex" : 0 }, "schema" : "https://github.com/citation-style-language/schema/raw/master/csl-citation.json" }</w:instrText>
      </w:r>
      <w:r>
        <w:rPr>
          <w:rFonts w:cs="Arial"/>
          <w:szCs w:val="20"/>
        </w:rPr>
        <w:fldChar w:fldCharType="separate"/>
      </w:r>
      <w:r w:rsidR="008A7B50" w:rsidRPr="008A7B50">
        <w:rPr>
          <w:rFonts w:cs="Arial"/>
          <w:noProof/>
          <w:szCs w:val="20"/>
        </w:rPr>
        <w:t>(Frumkin, 2002)</w:t>
      </w:r>
      <w:r>
        <w:rPr>
          <w:rFonts w:cs="Arial"/>
          <w:szCs w:val="20"/>
        </w:rPr>
        <w:fldChar w:fldCharType="end"/>
      </w:r>
      <w:r>
        <w:rPr>
          <w:rFonts w:cs="Arial"/>
          <w:szCs w:val="20"/>
        </w:rPr>
        <w:t xml:space="preserve">,  higher Body Mass Index (BMI) </w:t>
      </w:r>
      <w:r>
        <w:rPr>
          <w:rFonts w:cs="Arial"/>
          <w:szCs w:val="20"/>
        </w:rPr>
        <w:fldChar w:fldCharType="begin" w:fldLock="1"/>
      </w:r>
      <w:r w:rsidR="008A7B50">
        <w:rPr>
          <w:rFonts w:cs="Arial"/>
          <w:szCs w:val="20"/>
        </w:rPr>
        <w:instrText>ADDIN CSL_CITATION { "citationItems" : [ { "id" : "ITEM-1", "itemData" : { "DOI" : "10.2105/AJPH.2004.060954", "ISSN" : "1541-0048", "PMID" : "17267734", "abstract" : "OBJECTIVES: We investigated the influence of neighborhood and metropolitan area characteristics on body mass index (BMI) in urban Canada in 2001.\n\nMETHODS: We conducted a multilevel analysis with data collected from a cross-sectional survey of men and women nested in neighborhoods and metropolitan areas in urban Canada during 2001.\n\nRESULTS: After we controlled for individual sociodemographic characteristics and behaviors, the average BMIs of residents of neighborhoods in which a large proportion of individuals had less than a high school education were higher than those BMIs of residents in neighborhoods with small proportions of such individuals (P&lt; .01). Living in a neighborhood with a high proportion of recent immigrants was associated with lower BMI for men (P&lt;.01), but not for women. Neighborhood dwelling density was not associated with BMI for either gender. Metropolitan sprawl was associated with higher BMI for men (P=.02), but the effect was not significant for women (P= .09).\n\nCONCLUSIONS: BMI is strongly patterned by an individual's social position in urban Canada. A neighborhood's social condition has an incremental influence on the average BMI of its residents. However, BMI is not influenced by dwelling density. Metropolitan sprawl is associated with higher BMI for Canadian men, which supports recent evidence of this same association among American men. Individuals and their environments collectively influence BMI in urban Canada.", "author" : [ { "dropping-particle" : "", "family" : "Ross", "given" : "Nancy a", "non-dropping-particle" : "", "parse-names" : false, "suffix" : "" }, { "dropping-particle" : "", "family" : "Tremblay", "given" : "Stephane", "non-dropping-particle" : "", "parse-names" : false, "suffix" : "" }, { "dropping-particle" : "", "family" : "Khan", "given" : "Saeeda", "non-dropping-particle" : "", "parse-names" : false, "suffix" : "" }, { "dropping-particle" : "", "family" : "Crouse", "given" : "Daniel", "non-dropping-particle" : "", "parse-names" : false, "suffix" : "" }, { "dropping-particle" : "", "family" : "Tremblay", "given" : "Mark", "non-dropping-particle" : "", "parse-names" : false, "suffix" : "" }, { "dropping-particle" : "", "family" : "Berthelot", "given" : "Jean-Marie", "non-dropping-particle" : "", "parse-names" : false, "suffix" : "" } ], "container-title" : "American journal of public health", "id" : "ITEM-1", "issue" : "3", "issued" : { "date-parts" : [ [ "2007", "3" ] ] }, "page" : "500-8", "title" : "Body mass index in urban Canada: neighborhood and metropolitan area effects.", "type" : "article-journal", "volume" : "97" }, "uris" : [ "http://www.mendeley.com/documents/?uuid=85afd7c6-ca2c-4d20-a197-5653e5e84f2a" ] } ], "mendeley" : { "formattedCitation" : "(Ross et al., 2007)", "plainTextFormattedCitation" : "(Ross et al., 2007)", "previouslyFormattedCitation" : "(Ross et al., 2007)" }, "properties" : { "noteIndex" : 0 }, "schema" : "https://github.com/citation-style-language/schema/raw/master/csl-citation.json" }</w:instrText>
      </w:r>
      <w:r>
        <w:rPr>
          <w:rFonts w:cs="Arial"/>
          <w:szCs w:val="20"/>
        </w:rPr>
        <w:fldChar w:fldCharType="separate"/>
      </w:r>
      <w:r w:rsidR="008A7B50" w:rsidRPr="008A7B50">
        <w:rPr>
          <w:rFonts w:cs="Arial"/>
          <w:noProof/>
          <w:szCs w:val="20"/>
        </w:rPr>
        <w:t>(Ross et al., 2007)</w:t>
      </w:r>
      <w:r>
        <w:rPr>
          <w:rFonts w:cs="Arial"/>
          <w:szCs w:val="20"/>
        </w:rPr>
        <w:fldChar w:fldCharType="end"/>
      </w:r>
      <w:r>
        <w:rPr>
          <w:rFonts w:cs="Arial"/>
          <w:szCs w:val="20"/>
        </w:rPr>
        <w:t xml:space="preserve"> and odds of being obese </w:t>
      </w:r>
      <w:r>
        <w:rPr>
          <w:rFonts w:cs="Arial"/>
          <w:szCs w:val="20"/>
        </w:rPr>
        <w:fldChar w:fldCharType="begin" w:fldLock="1"/>
      </w:r>
      <w:r w:rsidR="008A7B50">
        <w:rPr>
          <w:rFonts w:cs="Arial"/>
          <w:szCs w:val="20"/>
        </w:rPr>
        <w:instrText>ADDIN CSL_CITATION { "citationItems" : [ { "id" : "ITEM-1", "itemData" : { "DOI" : "10.1016/j.amepre.2006.08.020", "ISBN" : "0749-3797", "ISSN" : "07493797", "PMID" : "17169708", "abstract" : "Background: Among United States youth there is an obesity epidemic with potential life-long health implications. To date, relationships between the built environment and body mass index (BMI) have not been evaluated for youth, and have not been evaluated longitudinally. Objectives: To determine if urban sprawl is associated with BMI for U.S. youth. Methods: Using data from the 1997 National Longitudinal Survey of Youth (NLSY97), both cross-sectional and longitudinal analyses were conducted. Hierarchical modeling was used to relate characteristics of individuals, households, and places to BMI. Individual and household data were extracted from the NLSY97. The independent variable of interest was the county sprawl index, which was derived with principal components analyses from census and other data. Results: In a cross-sectional analysis, the likelihood of U.S. adolescents (aged 12-17 years) being overweight or at risk of overweight (???85th percentile relative to the Centers for Disease Control growth charts) was associated with county sprawl (p=0.022). In another cross-sectional analysis, after controlling for sociodemographic and behavioral covariates, the likelihood of young adults (aged 18-23 years) being obese was also associated with county sprawl (p=0.048). By contrast, in longitudinal analyses, BMI growth curves for individual youth over the 7 years of NLSY97, and BMI changes for individual youth who moved between counties, were not related to county sprawl (although coefficient signs were as expected). Conclusions: Cross-sectional analyses suggest that urban form is associated with being overweight among U.S. youth. The strength of these relationships proved comparable to those previously reported for adults. Longitudinal analyses show no such relationship. It is unclear why these approaches give different results, but sample sizes, latent effects, and confounders may contribute. ?? 2006 American Journal of Preventive Medicine.", "author" : [ { "dropping-particle" : "", "family" : "Ewing", "given" : "Reid", "non-dropping-particle" : "", "parse-names" : false, "suffix" : "" }, { "dropping-particle" : "", "family" : "Brownson", "given" : "Ross C.", "non-dropping-particle" : "", "parse-names" : false, "suffix" : "" }, { "dropping-particle" : "", "family" : "Berrigan", "given" : "David", "non-dropping-particle" : "", "parse-names" : false, "suffix" : "" } ], "container-title" : "American Journal of Preventive Medicine", "id" : "ITEM-1", "issue" : "6", "issued" : { "date-parts" : [ [ "2006" ] ] }, "page" : "464-474", "title" : "Relationship Between Urban Sprawl and Weight of United States Youth", "type" : "article-journal", "volume" : "31" }, "uris" : [ "http://www.mendeley.com/documents/?uuid=e3d9b8cc-bbd7-406a-a01d-de244ff87d42" ] } ], "mendeley" : { "formattedCitation" : "(Ewing, Brownson, &amp; Berrigan, 2006)", "plainTextFormattedCitation" : "(Ewing, Brownson, &amp; Berrigan, 2006)", "previouslyFormattedCitation" : "(Ewing, Brownson, &amp; Berrigan, 2006)"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Brownson, &amp; Berrigan, 2006)</w:t>
      </w:r>
      <w:r>
        <w:rPr>
          <w:rFonts w:cs="Arial"/>
          <w:szCs w:val="20"/>
        </w:rPr>
        <w:fldChar w:fldCharType="end"/>
      </w:r>
      <w:r>
        <w:rPr>
          <w:rFonts w:cs="Arial"/>
          <w:szCs w:val="20"/>
        </w:rPr>
        <w:t xml:space="preserve">, lower traffic safety </w:t>
      </w:r>
      <w:r>
        <w:rPr>
          <w:rFonts w:cs="Arial"/>
          <w:szCs w:val="20"/>
        </w:rPr>
        <w:fldChar w:fldCharType="begin" w:fldLock="1"/>
      </w:r>
      <w:r w:rsidR="008A7B50">
        <w:rPr>
          <w:rFonts w:cs="Arial"/>
          <w:szCs w:val="20"/>
        </w:rPr>
        <w:instrText>ADDIN CSL_CITATION { "citationItems" : [ { "id" : "ITEM-1", "itemData" : { "DOI" : "10.1177/0885412209335553", "ISBN" : "0885-4122", "ISSN" : "0885-4122, 1552-6593", "abstract" : "The article reaches two conclusions counter to accepted transportation engineering theory. First, the traffic environments of dense urban areas appear to be safer than the lower-volume environments of the suburbs. The reason is that many fewer miles are driven on a per capita basis, and the driving that is done is at lower speeds that are less likely to produce fatal crashes. Second, at least in dense urban areas, less-\u201cforgiving\u201d design treatments\u2014such as narrow lanes, traffic-calming measures, and street trees close to the roadway\u2014appear to enhance a roadway's safety performance when compared to more conventional roadway designs. The reason for this apparent anomaly may be that less-forgiving designs provide drivers with clear information on safe and appropriate operating speeds.", "author" : [ { "dropping-particle" : "", "family" : "Ewing", "given" : "Reid", "non-dropping-particle" : "", "parse-names" : false, "suffix" : "" }, { "dropping-particle" : "", "family" : "Dumbaugh", "given" : "Eric", "non-dropping-particle" : "", "parse-names" : false, "suffix" : "" } ], "container-title" : "Journal of Planning Literature", "id" : "ITEM-1", "issue" : "4", "issued" : { "date-parts" : [ [ "2009" ] ] }, "page" : "347-367", "title" : "The Built Environment and Traffic Safety A Review of Empirical Evidence", "type" : "article-journal", "volume" : "23" }, "uris" : [ "http://www.mendeley.com/documents/?uuid=d1183a91-c08e-429a-ab36-87bd9e14395c" ] } ], "mendeley" : { "formattedCitation" : "(Ewing &amp; Dumbaugh, 2009)", "plainTextFormattedCitation" : "(Ewing &amp; Dumbaugh, 2009)", "previouslyFormattedCitation" : "(Ewing &amp; Dumbaugh, 2009)"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&amp; Dumbaugh, 2009)</w:t>
      </w:r>
      <w:r>
        <w:rPr>
          <w:rFonts w:cs="Arial"/>
          <w:szCs w:val="20"/>
        </w:rPr>
        <w:fldChar w:fldCharType="end"/>
      </w:r>
      <w:r>
        <w:rPr>
          <w:rFonts w:cs="Arial"/>
          <w:szCs w:val="20"/>
        </w:rPr>
        <w:t xml:space="preserve">, and higher prevalence of heart disease </w:t>
      </w:r>
      <w:r>
        <w:rPr>
          <w:rFonts w:cs="Arial"/>
          <w:szCs w:val="20"/>
        </w:rPr>
        <w:fldChar w:fldCharType="begin" w:fldLock="1"/>
      </w:r>
      <w:r w:rsidR="008A7B50">
        <w:rPr>
          <w:rFonts w:cs="Arial"/>
          <w:szCs w:val="20"/>
        </w:rPr>
        <w:instrText>ADDIN CSL_CITATION { "citationItems" : [ { "id" : "ITEM-1", "itemData" : { "DOI" : "10.1016/j.healthplace.2012.11.003", "ISBN" : "1353-8292", "ISSN" : "1873-2054", "PMID" : "23376728", "abstract" : "Studies have reported relationships between urban sprawl, physical activity, and obesity, but - to date - no studies have considered the relationship between sprawl and coronary heart disease (CHD) endpoints. In this analysis, we use longitudinal data on post-menopausal women from the Women's Health Initiative (WHI) Clinical Trial to analyze the relationship between metropolitan statistical area (MSA)-level urban compactness (the opposite of sprawl) and CHD endpoints including death, any CHD event, and myocardial infarction. Models control for individual and neighborhood socio-demographic characteristics. Women who lived in more compact communities at baseline had a lower probability of experiencing a CHD event and CHD death or MI during the study follow-up period. One component of compactness, high residential density, had a particularly noteworthy effect on outcomes. Finally, exploratory analyses showed evidence that the effects of compactness were moderated by race and region.", "author" : [ { "dropping-particle" : "", "family" : "Griffin", "given" : "Beth Ann", "non-dropping-particle" : "", "parse-names" : false, "suffix" : "" }, { "dropping-particle" : "", "family" : "Eibner", "given" : "Christine", "non-dropping-particle" : "", "parse-names" : false, "suffix" : "" }, { "dropping-particle" : "", "family" : "Bird", "given" : "Chloe E", "non-dropping-particle" : "", "parse-names" : false, "suffix" : "" }, { "dropping-particle" : "", "family" : "Jewell", "given" : "Adria", "non-dropping-particle" : "", "parse-names" : false, "suffix" : "" }, { "dropping-particle" : "", "family" : "Margolis", "given" : "Karen", "non-dropping-particle" : "", "parse-names" : false, "suffix" : "" }, { "dropping-particle" : "", "family" : "Shih", "given" : "Regina", "non-dropping-particle" : "", "parse-names" : false, "suffix" : "" }, { "dropping-particle" : "", "family" : "Ellen Slaughter", "given" : "Mary", "non-dropping-particle" : "", "parse-names" : false, "suffix" : "" }, { "dropping-particle" : "", "family" : "Whitsel", "given" : "Eric A", "non-dropping-particle" : "", "parse-names" : false, "suffix" : "" }, { "dropping-particle" : "", "family" : "Allison", "given" : "Matthew", "non-dropping-particle" : "", "parse-names" : false, "suffix" : "" }, { "dropping-particle" : "", "family" : "Escarce", "given" : "Jose J", "non-dropping-particle" : "", "parse-names" : false, "suffix" : "" } ], "container-title" : "Health &amp; place", "id" : "ITEM-1", "issued" : { "date-parts" : [ [ "2013" ] ] }, "page" : "51-61", "publisher" : "Elsevier", "title" : "The relationship between urban sprawl and coronary heart disease in women.", "type" : "article-journal", "volume" : "20" }, "uris" : [ "http://www.mendeley.com/documents/?uuid=d2a768c7-b360-46d1-95f7-e8850d29d55f" ] } ], "mendeley" : { "formattedCitation" : "(Griffin et al., 2013)", "plainTextFormattedCitation" : "(Griffin et al., 2013)", "previouslyFormattedCitation" : "(Griffin et al., 2013)" }, "properties" : { "noteIndex" : 0 }, "schema" : "https://github.com/citation-style-language/schema/raw/master/csl-citation.json" }</w:instrText>
      </w:r>
      <w:r>
        <w:rPr>
          <w:rFonts w:cs="Arial"/>
          <w:szCs w:val="20"/>
        </w:rPr>
        <w:fldChar w:fldCharType="separate"/>
      </w:r>
      <w:r w:rsidR="008A7B50" w:rsidRPr="008A7B50">
        <w:rPr>
          <w:rFonts w:cs="Arial"/>
          <w:noProof/>
          <w:szCs w:val="20"/>
        </w:rPr>
        <w:t>(Griffin et al., 2013)</w:t>
      </w:r>
      <w:r>
        <w:rPr>
          <w:rFonts w:cs="Arial"/>
          <w:szCs w:val="20"/>
        </w:rPr>
        <w:fldChar w:fldCharType="end"/>
      </w:r>
      <w:r>
        <w:rPr>
          <w:rFonts w:cs="Arial"/>
          <w:szCs w:val="20"/>
        </w:rPr>
        <w:t xml:space="preserve">. </w:t>
      </w:r>
    </w:p>
    <w:p w14:paraId="50F88328" w14:textId="16E37FE3" w:rsidR="00C9106D" w:rsidRDefault="00C9106D" w:rsidP="00015D5E">
      <w:pPr>
        <w:rPr>
          <w:rFonts w:cs="Arial"/>
          <w:szCs w:val="20"/>
        </w:rPr>
      </w:pPr>
      <w:r>
        <w:rPr>
          <w:rFonts w:cs="Arial"/>
          <w:szCs w:val="20"/>
        </w:rPr>
        <w:tab/>
        <w:t xml:space="preserve">Numerous multi-dimensional approaches have been developed to construct urban sprawl indices. </w:t>
      </w:r>
      <w:r w:rsidRPr="0033383C">
        <w:rPr>
          <w:rFonts w:cs="Arial"/>
          <w:szCs w:val="20"/>
        </w:rPr>
        <w:t xml:space="preserve">For example, </w:t>
      </w:r>
      <w:proofErr w:type="spellStart"/>
      <w:r w:rsidRPr="0033383C">
        <w:rPr>
          <w:rFonts w:cs="Arial"/>
          <w:szCs w:val="20"/>
        </w:rPr>
        <w:t>Galster</w:t>
      </w:r>
      <w:proofErr w:type="spellEnd"/>
      <w:r w:rsidRPr="0033383C">
        <w:rPr>
          <w:rFonts w:cs="Arial"/>
          <w:szCs w:val="20"/>
        </w:rPr>
        <w:t xml:space="preserve"> et al. </w:t>
      </w:r>
      <w:r w:rsidRPr="0033383C">
        <w:rPr>
          <w:rFonts w:cs="Arial"/>
          <w:szCs w:val="20"/>
        </w:rPr>
        <w:fldChar w:fldCharType="begin" w:fldLock="1"/>
      </w:r>
      <w:r w:rsidR="008A7B50">
        <w:rPr>
          <w:rFonts w:cs="Arial"/>
          <w:szCs w:val="20"/>
        </w:rPr>
        <w:instrText>ADDIN CSL_CITATION { "citationItems" : [ { "id" : "ITEM-1", "itemData" : { "DOI" : "10.1080/10511482.2001.9521426", "ISBN" : "1051-1482", "ISSN" : "1051-1482", "abstract" : "The literature on urban sprawl confuses causes, consequences, and conditions. This article presents a conceptual definition of sprawl based on eight distinct dimensions of land use patterns: density, continuity, concentration, clustering, centrality, nuclearity, mixed uses, and proximity. Sprawl is defined as a condition of land use that is represented by low values on one or more of these dimensions. Each dimension is operationally defined and tested in 13 urbanized areas. Results for six dimensions are reported for each area, and an initial comparison of the extent of sprawl in the 13 areas is provided. The test confirms the utility of the approach and suggests that a clearer conceptual and operational definition can facilitate research on the causes and consequences of sprawl.", "author" : [ { "dropping-particle" : "", "family" : "Galster", "given" : "George", "non-dropping-particle" : "", "parse-names" : false, "suffix" : "" }, { "dropping-particle" : "", "family" : "Hanson", "given" : "Royce", "non-dropping-particle" : "", "parse-names" : false, "suffix" : "" }, { "dropping-particle" : "", "family" : "Ratcliffe", "given" : "Michael R.", "non-dropping-particle" : "", "parse-names" : false, "suffix" : "" }, { "dropping-particle" : "", "family" : "Wolman", "given" : "Harold", "non-dropping-particle" : "", "parse-names" : false, "suffix" : "" }, { "dropping-particle" : "", "family" : "Coleman", "given" : "Stephen", "non-dropping-particle" : "", "parse-names" : false, "suffix" : "" }, { "dropping-particle" : "", "family" : "Freihage", "given" : "Jason", "non-dropping-particle" : "", "parse-names" : false, "suffix" : "" } ], "container-title" : "Housing Policy Debate", "id" : "ITEM-1", "issue" : "4", "issued" : { "date-parts" : [ [ "2001" ] ] }, "page" : "681-717", "title" : "Wrestling Sprawl to the Ground: Defining and measuring an elusive concept", "type" : "article-journal", "volume" : "12" }, "uris" : [ "http://www.mendeley.com/documents/?uuid=9e7b62b7-a74f-4f07-abf6-0f14c06b2a75" ] } ], "mendeley" : { "formattedCitation" : "(Galster et al., 2001)", "manualFormatting" : "(2001)", "plainTextFormattedCitation" : "(Galster et al., 2001)", "previouslyFormattedCitation" : "(Galster et al., 2001)"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(2001)</w:t>
      </w:r>
      <w:r w:rsidRPr="0033383C">
        <w:rPr>
          <w:rFonts w:cs="Arial"/>
          <w:szCs w:val="20"/>
        </w:rPr>
        <w:fldChar w:fldCharType="end"/>
      </w:r>
      <w:r w:rsidRPr="0033383C">
        <w:rPr>
          <w:rFonts w:cs="Arial"/>
          <w:szCs w:val="20"/>
        </w:rPr>
        <w:t xml:space="preserve"> conceptually defined urban sprawl with eight distinct dimensions: density, continuity, concentration, clustering, centrality, </w:t>
      </w:r>
      <w:proofErr w:type="spellStart"/>
      <w:r w:rsidRPr="0033383C">
        <w:rPr>
          <w:rFonts w:cs="Arial"/>
          <w:szCs w:val="20"/>
        </w:rPr>
        <w:t>nuclear</w:t>
      </w:r>
      <w:r>
        <w:rPr>
          <w:rFonts w:cs="Arial"/>
          <w:szCs w:val="20"/>
        </w:rPr>
        <w:t>ity</w:t>
      </w:r>
      <w:proofErr w:type="spellEnd"/>
      <w:r>
        <w:rPr>
          <w:rFonts w:cs="Arial"/>
          <w:szCs w:val="20"/>
        </w:rPr>
        <w:t xml:space="preserve">, mixed uses, and proximity. </w:t>
      </w:r>
      <w:r w:rsidRPr="0033383C">
        <w:rPr>
          <w:rFonts w:cs="Arial"/>
          <w:szCs w:val="20"/>
        </w:rPr>
        <w:t xml:space="preserve">Ewing et al. </w:t>
      </w:r>
      <w:r>
        <w:rPr>
          <w:rFonts w:cs="Arial"/>
          <w:szCs w:val="20"/>
        </w:rPr>
        <w:fldChar w:fldCharType="begin" w:fldLock="1"/>
      </w:r>
      <w:r w:rsidR="008A7B50">
        <w:rPr>
          <w:rFonts w:cs="Arial"/>
          <w:szCs w:val="20"/>
        </w:rPr>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"mendeley" : { "formattedCitation" : "(Ewing, Schmid, Killingsworth, Zlot, &amp; Raudenbush, 2003)", "manualFormatting" : "(2003)", "plainTextFormattedCitation" : "(Ewing, Schmid, Killingsworth, Zlot, &amp; Raudenbush, 2003)", "previouslyFormattedCitation" : "(Ewing, Schmid, Killingsworth, Zlot, &amp; Raudenbush, 2003)" }, "properties" : { "noteIndex" : 0 }, "schema" : "https://github.com/citation-style-language/schema/raw/master/csl-citation.json" }</w:instrText>
      </w:r>
      <w:r>
        <w:rPr>
          <w:rFonts w:cs="Arial"/>
          <w:szCs w:val="20"/>
        </w:rPr>
        <w:fldChar w:fldCharType="separate"/>
      </w:r>
      <w:r w:rsidRPr="00330802">
        <w:rPr>
          <w:rFonts w:cs="Arial"/>
          <w:noProof/>
          <w:szCs w:val="20"/>
        </w:rPr>
        <w:t>(2003)</w:t>
      </w:r>
      <w:r>
        <w:rPr>
          <w:rFonts w:cs="Arial"/>
          <w:szCs w:val="20"/>
        </w:rPr>
        <w:fldChar w:fldCharType="end"/>
      </w:r>
      <w:r>
        <w:rPr>
          <w:rFonts w:cs="Arial"/>
          <w:szCs w:val="20"/>
        </w:rPr>
        <w:t xml:space="preserve"> </w:t>
      </w:r>
      <w:r w:rsidRPr="0033383C">
        <w:rPr>
          <w:rFonts w:cs="Arial"/>
          <w:szCs w:val="20"/>
        </w:rPr>
        <w:t xml:space="preserve">developed an urban sprawl index at the metropolitan area level with four dimensions of urban forms, namely residential density, street accessibility, land use mix, and degree of centering. This index was developed at the county level as well but with the first two dimensions only. Their research team recently updated the county-level index with all four dimensions, in parallel with the metropolitan area level index </w:t>
      </w:r>
      <w:r w:rsidRPr="0033383C">
        <w:rPr>
          <w:rFonts w:cs="Arial"/>
          <w:szCs w:val="20"/>
        </w:rPr>
        <w:fldChar w:fldCharType="begin" w:fldLock="1"/>
      </w:r>
      <w:r w:rsidR="008A7B50">
        <w:rPr>
          <w:rFonts w:cs="Arial"/>
          <w:szCs w:val="20"/>
        </w:rPr>
        <w:instrText>ADDIN CSL_CITATION { "citationItems" : [ { "id" : "ITEM-1",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"ITEM-1",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Meakins, Hamidi, &amp; Nelson, 2014)", "manualFormatting" : "(Ewing et al., 2014)", "plainTextFormattedCitation" : "(Ewing, Meakins, Hamidi, &amp; Nelson, 2014)", "previouslyFormattedCitation" : "(Ewing, Meakins, Hamidi, &amp; Nelson, 2014)"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(Ewing et al., 2014)</w:t>
      </w:r>
      <w:r w:rsidRPr="0033383C">
        <w:rPr>
          <w:rFonts w:cs="Arial"/>
          <w:szCs w:val="20"/>
        </w:rPr>
        <w:fldChar w:fldCharType="end"/>
      </w:r>
      <w:r>
        <w:rPr>
          <w:rFonts w:cs="Arial"/>
          <w:szCs w:val="20"/>
        </w:rPr>
        <w:t>.</w:t>
      </w:r>
      <w:r w:rsidRPr="0033383C">
        <w:rPr>
          <w:rFonts w:cs="Arial"/>
          <w:szCs w:val="20"/>
        </w:rPr>
        <w:t xml:space="preserve"> </w:t>
      </w:r>
      <w:proofErr w:type="spellStart"/>
      <w:r w:rsidRPr="0033383C">
        <w:rPr>
          <w:rFonts w:cs="Arial"/>
          <w:szCs w:val="20"/>
        </w:rPr>
        <w:t>Frenkel</w:t>
      </w:r>
      <w:proofErr w:type="spellEnd"/>
      <w:r w:rsidRPr="0033383C">
        <w:rPr>
          <w:rFonts w:cs="Arial"/>
          <w:szCs w:val="20"/>
        </w:rPr>
        <w:t xml:space="preserve"> and Ashkenazi </w:t>
      </w:r>
      <w:r w:rsidRPr="0033383C">
        <w:rPr>
          <w:rFonts w:cs="Arial"/>
          <w:szCs w:val="20"/>
        </w:rPr>
        <w:fldChar w:fldCharType="begin" w:fldLock="1"/>
      </w:r>
      <w:r w:rsidR="008A7B50">
        <w:rPr>
          <w:rFonts w:cs="Arial"/>
          <w:szCs w:val="20"/>
        </w:rPr>
        <w:instrText>ADDIN CSL_CITATION { "citationItems" : [ { "id" : "ITEM-1", "itemData" : { "DOI" : "10.1068/b32155", "ISBN" : "02658135 (ISSN)", "ISSN" : "02658135", "abstract" : "Measuring urban sprawl is a controversial topic among scholars who investigate the urban landscape. This study attempts to measure sprawl from a landscape perspective. The measures and indices used are derived from various research disciplines, such as urban research, ecological research, and fractal geometry. The examination was based on an urban land-use survey performed in seventy-eight urban settlements in Israel over the course of fifteen years. Measures of sprawl were calculated at each settlement and were then weighted into one integrated sprawl index through factor analysis, thus enabling a description of sprawl rates and their dynamics over a time period of approximately two decades. The results reveal that urban sprawl is a multidimensional phenomenon that is best quantified by various measures.", "author" : [ { "dropping-particle" : "", "family" : "Frenkel", "given" : "Amnon", "non-dropping-particle" : "", "parse-names" : false, "suffix" : "" }, { "dropping-particle" : "", "family" : "Ashkenazi", "given" : "Maya", "non-dropping-particle" : "", "parse-names" : false, "suffix" : "" } ], "container-title" : "Environment and Planning B: Urban Analytics and City Science", "id" : "ITEM-1", "issue" : "1", "issued" : { "date-parts" : [ [ "2008" ] ] }, "page" : "56-79", "title" : "Measuring urban sprawl: How can we deal with it?", "type" : "article-journal", "volume" : "35" }, "uris" : [ "http://www.mendeley.com/documents/?uuid=4f9197ca-59f0-4330-a8c9-bc4883f69b61" ] } ], "mendeley" : { "formattedCitation" : "(Frenkel &amp; Ashkenazi, 2008)", "manualFormatting" : "(2008)", "plainTextFormattedCitation" : "(Frenkel &amp; Ashkenazi, 2008)", "previouslyFormattedCitation" : "(Frenkel &amp; Ashkenazi, 2008)"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(2008)</w:t>
      </w:r>
      <w:r w:rsidRPr="0033383C">
        <w:rPr>
          <w:rFonts w:cs="Arial"/>
          <w:szCs w:val="20"/>
        </w:rPr>
        <w:fldChar w:fldCharType="end"/>
      </w:r>
      <w:r w:rsidRPr="0033383C">
        <w:rPr>
          <w:rFonts w:cs="Arial"/>
          <w:szCs w:val="20"/>
        </w:rPr>
        <w:t xml:space="preserve"> measured urban sprawl by weighting thirteen variables from three dimensions – density, </w:t>
      </w:r>
      <w:proofErr w:type="spellStart"/>
      <w:r w:rsidRPr="0033383C">
        <w:rPr>
          <w:rFonts w:cs="Arial"/>
          <w:szCs w:val="20"/>
        </w:rPr>
        <w:t>scatter</w:t>
      </w:r>
      <w:r>
        <w:rPr>
          <w:rFonts w:cs="Arial"/>
          <w:szCs w:val="20"/>
        </w:rPr>
        <w:t>ness</w:t>
      </w:r>
      <w:proofErr w:type="spellEnd"/>
      <w:r>
        <w:rPr>
          <w:rFonts w:cs="Arial"/>
          <w:szCs w:val="20"/>
        </w:rPr>
        <w:t xml:space="preserve">, and mixture of land uses; </w:t>
      </w:r>
      <w:proofErr w:type="spellStart"/>
      <w:r>
        <w:rPr>
          <w:rFonts w:cs="Arial"/>
          <w:szCs w:val="20"/>
        </w:rPr>
        <w:t>Arribas</w:t>
      </w:r>
      <w:proofErr w:type="spellEnd"/>
      <w:r>
        <w:rPr>
          <w:rFonts w:cs="Arial"/>
          <w:szCs w:val="20"/>
        </w:rPr>
        <w:t xml:space="preserve">-Bel et al. </w:t>
      </w:r>
      <w:r>
        <w:rPr>
          <w:rFonts w:cs="Arial"/>
          <w:szCs w:val="20"/>
        </w:rPr>
        <w:fldChar w:fldCharType="begin" w:fldLock="1"/>
      </w:r>
      <w:r w:rsidR="008A7B50">
        <w:rPr>
          <w:rFonts w:cs="Arial"/>
          <w:szCs w:val="20"/>
        </w:rPr>
        <w:instrText>ADDIN CSL_CITATION { "citationItems" : [ { "id" : "ITEM-1", "itemData" : { "DOI" : "10.1016/j.compenvurbsys.2010.10.002", "ISBN" : "0198-9715", "ISSN" : "01989715", "abstract" : "The present paper addresses the issue of urban sprawl in Europe from a multidimensional point of view, identifying the most sprawled areas and characterizing them in terms of population size. The literature is reviewed to categorize and extract the most relevant six dimensions that define the concept and several indices are specified to implement them. These are then calculated for a sample of the main European cities that uses several sources to obtain the best possible dataset to measure urban sprawl. All this information is brought together using the self-organizing map (SOM) algorithm to be visualized and further studied, taking advantage of its properties as a data-reduction as well as a clustering technique. The analysis locates the hot-spots of urban sprawl in Europe in the centre of the continent, around Germany, and characterizes such urban areas as small, always half the size of the average city of the sample. ?? 2010 Elsevier Ltd.", "author" : [ { "dropping-particle" : "", "family" : "Arribas-Bel", "given" : "Daniel", "non-dropping-particle" : "", "parse-names" : false, "suffix" : "" }, { "dropping-particle" : "", "family" : "Nijkamp", "given" : "Peter", "non-dropping-particle" : "", "parse-names" : false, "suffix" : "" }, { "dropping-particle" : "", "family" : "Scholten", "given" : "Henk", "non-dropping-particle" : "", "parse-names" : false, "suffix" : "" } ], "container-title" : "Computers, Environment and Urban Systems", "id" : "ITEM-1", "issue" : "4", "issued" : { "date-parts" : [ [ "2011" ] ] }, "page" : "263-275", "publisher" : "Elsevier Ltd", "title" : "Multidimensional urban sprawl in Europe: A self-organizing map approach", "type" : "article-journal", "volume" : "35" }, "uris" : [ "http://www.mendeley.com/documents/?uuid=d5993353-d7dc-48cc-817b-6e431bc26d59" ] } ], "mendeley" : { "formattedCitation" : "(Arribas-Bel, Nijkamp, &amp; Scholten, 2011)", "manualFormatting" : "(2011)", "plainTextFormattedCitation" : "(Arribas-Bel, Nijkamp, &amp; Scholten, 2011)", "previouslyFormattedCitation" : "(Arribas-Bel, Nijkamp, &amp; Scholten, 2011)" }, "properties" : { "noteIndex" : 0 }, "schema" : "https://github.com/citation-style-language/schema/raw/master/csl-citation.json" }</w:instrText>
      </w:r>
      <w:r>
        <w:rPr>
          <w:rFonts w:cs="Arial"/>
          <w:szCs w:val="20"/>
        </w:rPr>
        <w:fldChar w:fldCharType="separate"/>
      </w:r>
      <w:r w:rsidRPr="00FC6A22">
        <w:rPr>
          <w:rFonts w:cs="Arial"/>
          <w:noProof/>
          <w:szCs w:val="20"/>
        </w:rPr>
        <w:t>(2011)</w:t>
      </w:r>
      <w:r>
        <w:rPr>
          <w:rFonts w:cs="Arial"/>
          <w:szCs w:val="20"/>
        </w:rPr>
        <w:fldChar w:fldCharType="end"/>
      </w:r>
      <w:r>
        <w:rPr>
          <w:rFonts w:cs="Arial"/>
          <w:szCs w:val="20"/>
        </w:rPr>
        <w:t xml:space="preserve"> proposed a conceptual framework for measuring urban sprawl which is composed of two categories: one, urban morphology with dimensions scattering, connectivity, and availability of open space; and two, internal composition with dimensions density, decentralization, and land-use mix.</w:t>
      </w:r>
    </w:p>
    <w:p w14:paraId="31638418" w14:textId="7CF14D23" w:rsidR="00C9106D" w:rsidRDefault="00C9106D" w:rsidP="00015D5E">
      <w:pPr>
        <w:rPr>
          <w:rFonts w:cs="Arial"/>
          <w:szCs w:val="20"/>
        </w:rPr>
      </w:pPr>
      <w:r>
        <w:rPr>
          <w:rFonts w:cs="Arial"/>
          <w:szCs w:val="20"/>
        </w:rPr>
        <w:tab/>
        <w:t>Previous studies</w:t>
      </w:r>
      <w:r w:rsidR="005C593C">
        <w:rPr>
          <w:rFonts w:cs="Arial"/>
          <w:szCs w:val="20"/>
        </w:rPr>
        <w:t xml:space="preserve"> </w:t>
      </w:r>
      <w:r>
        <w:rPr>
          <w:rFonts w:cs="Arial"/>
          <w:szCs w:val="20"/>
        </w:rPr>
        <w:t xml:space="preserve">fall short by predominantly exploring </w:t>
      </w:r>
      <w:r w:rsidRPr="0033383C">
        <w:rPr>
          <w:rFonts w:cs="Arial"/>
          <w:szCs w:val="20"/>
        </w:rPr>
        <w:t>urban sprawl at large-area levels, for example, Census Metropolitan Area. Analyzing urban sprawl at a finer geographical scale (i.e., smaller area level such as Census Tract)</w:t>
      </w:r>
      <w:r>
        <w:rPr>
          <w:rFonts w:cs="Arial"/>
          <w:szCs w:val="20"/>
        </w:rPr>
        <w:t xml:space="preserve"> however,</w:t>
      </w:r>
      <w:r w:rsidRPr="0033383C">
        <w:rPr>
          <w:rFonts w:cs="Arial"/>
          <w:szCs w:val="20"/>
        </w:rPr>
        <w:t xml:space="preserve"> is more justifiable. Built environments in a small area are </w:t>
      </w:r>
      <w:r>
        <w:rPr>
          <w:rFonts w:cs="Arial"/>
          <w:szCs w:val="20"/>
        </w:rPr>
        <w:t xml:space="preserve">more homogeneous with </w:t>
      </w:r>
      <w:r w:rsidRPr="0033383C">
        <w:rPr>
          <w:rFonts w:cs="Arial"/>
          <w:szCs w:val="20"/>
        </w:rPr>
        <w:t>central and outlying areas</w:t>
      </w:r>
      <w:r>
        <w:rPr>
          <w:rFonts w:cs="Arial"/>
          <w:szCs w:val="20"/>
        </w:rPr>
        <w:t xml:space="preserve"> being more similar</w:t>
      </w:r>
      <w:r w:rsidRPr="0033383C">
        <w:rPr>
          <w:rFonts w:cs="Arial"/>
          <w:szCs w:val="20"/>
        </w:rPr>
        <w:t>, thus better representing residents’ day-to-day activities</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"id" : "ITEM-2",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"ITEM-2",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et al., 2014, 2003)", "plainTextFormattedCitation" : "(Ewing et al., 2014, 2003)", "previouslyFormattedCitation" : "(Ewing et al., 2014, 2003)"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et al., 2014, 2003)</w:t>
      </w:r>
      <w:r>
        <w:rPr>
          <w:rFonts w:cs="Arial"/>
          <w:szCs w:val="20"/>
        </w:rPr>
        <w:fldChar w:fldCharType="end"/>
      </w:r>
      <w:r w:rsidRPr="0033383C">
        <w:rPr>
          <w:rFonts w:cs="Arial"/>
          <w:szCs w:val="20"/>
        </w:rPr>
        <w:t xml:space="preserve">. This improvement could potentially lead to the increased explanatory and predictive power of urban sprawl on health outcomes, especially when individual-level rather than ecological analysis is conducted. </w:t>
      </w:r>
      <w:r>
        <w:rPr>
          <w:rFonts w:cs="Arial"/>
          <w:szCs w:val="20"/>
        </w:rPr>
        <w:t xml:space="preserve">Developing urban sprawl indices at small-area levels poses challenges for statistical modelling. A majority of past research applies </w:t>
      </w:r>
      <w:r w:rsidRPr="0033383C">
        <w:rPr>
          <w:rFonts w:cs="Arial"/>
          <w:szCs w:val="20"/>
        </w:rPr>
        <w:t>non-spatial</w:t>
      </w:r>
      <w:r>
        <w:rPr>
          <w:rFonts w:cs="Arial"/>
          <w:szCs w:val="20"/>
        </w:rPr>
        <w:t xml:space="preserve"> modelling</w:t>
      </w:r>
      <w:r w:rsidRPr="0033383C">
        <w:rPr>
          <w:rFonts w:cs="Arial"/>
          <w:szCs w:val="20"/>
        </w:rPr>
        <w:t>. While this might not be an issue for analyses at large-area level</w:t>
      </w:r>
      <w:r>
        <w:rPr>
          <w:rFonts w:cs="Arial"/>
          <w:szCs w:val="20"/>
        </w:rPr>
        <w:t>s</w:t>
      </w:r>
      <w:r w:rsidRPr="0033383C">
        <w:rPr>
          <w:rFonts w:cs="Arial"/>
          <w:szCs w:val="20"/>
        </w:rPr>
        <w:t>, it is potentially problematic for small-area a</w:t>
      </w:r>
      <w:r>
        <w:rPr>
          <w:rFonts w:cs="Arial"/>
          <w:szCs w:val="20"/>
        </w:rPr>
        <w:t xml:space="preserve">nalyses, given that small-area sprawl indicators (e.g., population density) tend to be similar in adjacent areas (a.k.a. the spatial autocorrelation issue). To address this issue, a spatial version </w:t>
      </w:r>
      <w:r>
        <w:rPr>
          <w:rFonts w:cs="Arial"/>
          <w:szCs w:val="20"/>
        </w:rPr>
        <w:lastRenderedPageBreak/>
        <w:t>of dimension-reduction statistical approaches such as spatial factor analysis is needed. Otherwise, biased and imprecise inferences could be obtained for urban sprawl estimations.</w:t>
      </w:r>
    </w:p>
    <w:p w14:paraId="764155B8" w14:textId="7368C0BF" w:rsidR="005C593C" w:rsidRDefault="005C593C" w:rsidP="005C593C">
      <w:pPr>
        <w:ind w:firstLine="720"/>
        <w:rPr>
          <w:rFonts w:cs="Arial"/>
          <w:szCs w:val="20"/>
        </w:rPr>
      </w:pPr>
      <w:r w:rsidRPr="0033383C">
        <w:rPr>
          <w:rFonts w:cs="Arial"/>
          <w:szCs w:val="20"/>
        </w:rPr>
        <w:t xml:space="preserve">Although urban sprawl is a global issue, previous studies have been </w:t>
      </w:r>
      <w:r>
        <w:rPr>
          <w:rFonts w:cs="Arial"/>
          <w:szCs w:val="20"/>
        </w:rPr>
        <w:t>primarily</w:t>
      </w:r>
      <w:r w:rsidRPr="0033383C">
        <w:rPr>
          <w:rFonts w:cs="Arial"/>
          <w:szCs w:val="20"/>
        </w:rPr>
        <w:t xml:space="preserve"> conducted in the United States. The website of National Cancer Institute (https://gis.cancer.gov/tools/urban-sprawl/) provides </w:t>
      </w:r>
      <w:r>
        <w:rPr>
          <w:rFonts w:cs="Arial"/>
          <w:szCs w:val="20"/>
        </w:rPr>
        <w:t xml:space="preserve">nationwide </w:t>
      </w:r>
      <w:r w:rsidRPr="0033383C">
        <w:rPr>
          <w:rFonts w:cs="Arial"/>
          <w:szCs w:val="20"/>
        </w:rPr>
        <w:t>urban sprawl indices</w:t>
      </w:r>
      <w:r>
        <w:rPr>
          <w:rFonts w:cs="Arial"/>
          <w:szCs w:val="20"/>
        </w:rPr>
        <w:t xml:space="preserve"> at multiple geographical levels (i.e., metropolitan, county, and census tract) in the United States. In contrast, </w:t>
      </w:r>
      <w:r w:rsidRPr="00123FEB">
        <w:rPr>
          <w:rFonts w:cs="Arial"/>
          <w:szCs w:val="20"/>
        </w:rPr>
        <w:t>there have been much fewer studies that explore urban sprawl in the Canadian context, usually at large-area levels</w:t>
      </w:r>
      <w:r w:rsidRPr="0033383C">
        <w:rPr>
          <w:rFonts w:cs="Arial"/>
          <w:szCs w:val="20"/>
        </w:rPr>
        <w:t xml:space="preserve">. For example, </w:t>
      </w:r>
      <w:r>
        <w:rPr>
          <w:rFonts w:cs="Arial"/>
          <w:szCs w:val="20"/>
        </w:rPr>
        <w:t>R</w:t>
      </w:r>
      <w:r>
        <w:rPr>
          <w:rFonts w:cs="Arial" w:hint="eastAsia"/>
          <w:szCs w:val="20"/>
        </w:rPr>
        <w:t>oss</w:t>
      </w:r>
      <w:r>
        <w:rPr>
          <w:rFonts w:cs="Arial"/>
          <w:szCs w:val="20"/>
        </w:rPr>
        <w:t xml:space="preserve"> et al. </w:t>
      </w:r>
      <w:r>
        <w:rPr>
          <w:rFonts w:cs="Arial"/>
          <w:szCs w:val="20"/>
        </w:rPr>
        <w:fldChar w:fldCharType="begin" w:fldLock="1"/>
      </w:r>
      <w:r w:rsidR="008A7B50">
        <w:rPr>
          <w:rFonts w:cs="Arial"/>
          <w:szCs w:val="20"/>
        </w:rPr>
        <w:instrText>ADDIN CSL_CITATION { "citationItems" : [ { "id" : "ITEM-1", "itemData" : { "DOI" : "10.2105/AJPH.2004.060954", "ISSN" : "1541-0048", "PMID" : "17267734", "abstract" : "OBJECTIVES: We investigated the influence of neighborhood and metropolitan area characteristics on body mass index (BMI) in urban Canada in 2001.\n\nMETHODS: We conducted a multilevel analysis with data collected from a cross-sectional survey of men and women nested in neighborhoods and metropolitan areas in urban Canada during 2001.\n\nRESULTS: After we controlled for individual sociodemographic characteristics and behaviors, the average BMIs of residents of neighborhoods in which a large proportion of individuals had less than a high school education were higher than those BMIs of residents in neighborhoods with small proportions of such individuals (P&lt; .01). Living in a neighborhood with a high proportion of recent immigrants was associated with lower BMI for men (P&lt;.01), but not for women. Neighborhood dwelling density was not associated with BMI for either gender. Metropolitan sprawl was associated with higher BMI for men (P=.02), but the effect was not significant for women (P= .09).\n\nCONCLUSIONS: BMI is strongly patterned by an individual's social position in urban Canada. A neighborhood's social condition has an incremental influence on the average BMI of its residents. However, BMI is not influenced by dwelling density. Metropolitan sprawl is associated with higher BMI for Canadian men, which supports recent evidence of this same association among American men. Individuals and their environments collectively influence BMI in urban Canada.", "author" : [ { "dropping-particle" : "", "family" : "Ross", "given" : "Nancy a", "non-dropping-particle" : "", "parse-names" : false, "suffix" : "" }, { "dropping-particle" : "", "family" : "Tremblay", "given" : "Stephane", "non-dropping-particle" : "", "parse-names" : false, "suffix" : "" }, { "dropping-particle" : "", "family" : "Khan", "given" : "Saeeda", "non-dropping-particle" : "", "parse-names" : false, "suffix" : "" }, { "dropping-particle" : "", "family" : "Crouse", "given" : "Daniel", "non-dropping-particle" : "", "parse-names" : false, "suffix" : "" }, { "dropping-particle" : "", "family" : "Tremblay", "given" : "Mark", "non-dropping-particle" : "", "parse-names" : false, "suffix" : "" }, { "dropping-particle" : "", "family" : "Berthelot", "given" : "Jean-Marie", "non-dropping-particle" : "", "parse-names" : false, "suffix" : "" } ], "container-title" : "American journal of public health", "id" : "ITEM-1", "issue" : "3", "issued" : { "date-parts" : [ [ "2007", "3" ] ] }, "page" : "500-8", "title" : "Body mass index in urban Canada: neighborhood and metropolitan area effects.", "type" : "article-journal", "volume" : "97" }, "uris" : [ "http://www.mendeley.com/documents/?uuid=85afd7c6-ca2c-4d20-a197-5653e5e84f2a" ] } ], "mendeley" : { "formattedCitation" : "(Ross et al., 2007)", "manualFormatting" : "(2007)", "plainTextFormattedCitation" : "(Ross et al., 2007)", "previouslyFormattedCitation" : "(Ross et al., 2007)" }, "properties" : { "noteIndex" : 0 }, "schema" : "https://github.com/citation-style-language/schema/raw/master/csl-citation.json" }</w:instrText>
      </w:r>
      <w:r>
        <w:rPr>
          <w:rFonts w:cs="Arial"/>
          <w:szCs w:val="20"/>
        </w:rPr>
        <w:fldChar w:fldCharType="separate"/>
      </w:r>
      <w:r w:rsidRPr="00776043">
        <w:rPr>
          <w:rFonts w:cs="Arial"/>
          <w:noProof/>
          <w:szCs w:val="20"/>
        </w:rPr>
        <w:t>(2007)</w:t>
      </w:r>
      <w:r>
        <w:rPr>
          <w:rFonts w:cs="Arial"/>
          <w:szCs w:val="20"/>
        </w:rPr>
        <w:fldChar w:fldCharType="end"/>
      </w:r>
      <w:r>
        <w:rPr>
          <w:rFonts w:cs="Arial"/>
          <w:szCs w:val="20"/>
        </w:rPr>
        <w:t xml:space="preserve"> created a urban sprawl index at the Canadian Metropolitan Area (CMA) level, which is an unweighted sum of three indicators, namely the proportion of single or detached dwellings in a CMA, dwelling density, and the percentage of CMA population living in an urban core. </w:t>
      </w:r>
    </w:p>
    <w:p w14:paraId="0E541228" w14:textId="7F335E2A" w:rsidR="005C593C" w:rsidRDefault="005C593C" w:rsidP="005C593C">
      <w:pPr>
        <w:ind w:firstLine="720"/>
        <w:rPr>
          <w:rFonts w:cs="Arial"/>
          <w:szCs w:val="20"/>
        </w:rPr>
      </w:pPr>
      <w:r>
        <w:rPr>
          <w:rFonts w:cs="Arial"/>
          <w:szCs w:val="20"/>
        </w:rPr>
        <w:t xml:space="preserve">The objective this </w:t>
      </w:r>
      <w:r w:rsidRPr="0033383C">
        <w:rPr>
          <w:rFonts w:cs="Arial"/>
          <w:szCs w:val="20"/>
        </w:rPr>
        <w:t>proposed research</w:t>
      </w:r>
      <w:r>
        <w:rPr>
          <w:rFonts w:cs="Arial"/>
          <w:szCs w:val="20"/>
        </w:rPr>
        <w:t xml:space="preserve"> is twofold. First, to</w:t>
      </w:r>
      <w:r w:rsidRPr="0033383C">
        <w:rPr>
          <w:rFonts w:cs="Arial"/>
          <w:szCs w:val="20"/>
        </w:rPr>
        <w:t xml:space="preserve"> develop a multi-dimensional, nationwide urban sprawl index for Canada at a small-area level (i.e., Census Tract</w:t>
      </w:r>
      <w:r>
        <w:rPr>
          <w:rFonts w:cs="Arial"/>
          <w:szCs w:val="20"/>
        </w:rPr>
        <w:t>, CT</w:t>
      </w:r>
      <w:r w:rsidRPr="0033383C">
        <w:rPr>
          <w:rFonts w:cs="Arial"/>
          <w:szCs w:val="20"/>
        </w:rPr>
        <w:t xml:space="preserve">) using robust spatial </w:t>
      </w:r>
      <w:r>
        <w:rPr>
          <w:rFonts w:cs="Arial"/>
          <w:szCs w:val="20"/>
        </w:rPr>
        <w:t>statistical modelling</w:t>
      </w:r>
      <w:r w:rsidRPr="0033383C">
        <w:rPr>
          <w:rFonts w:cs="Arial"/>
          <w:szCs w:val="20"/>
        </w:rPr>
        <w:t>, filling the gap that a comprehensive urban sprawl index at a fine spatial scale is missing in Canada</w:t>
      </w:r>
      <w:r>
        <w:rPr>
          <w:rFonts w:cs="Arial"/>
          <w:szCs w:val="20"/>
        </w:rPr>
        <w:t>. Second, to</w:t>
      </w:r>
      <w:r w:rsidRPr="0033383C">
        <w:rPr>
          <w:rFonts w:cs="Arial"/>
          <w:szCs w:val="20"/>
        </w:rPr>
        <w:t xml:space="preserve"> validate the usefulness of the created index by analyzing its relationship with health behavio</w:t>
      </w:r>
      <w:r>
        <w:rPr>
          <w:rFonts w:cs="Arial"/>
          <w:szCs w:val="20"/>
        </w:rPr>
        <w:t>u</w:t>
      </w:r>
      <w:r w:rsidRPr="0033383C">
        <w:rPr>
          <w:rFonts w:cs="Arial"/>
          <w:szCs w:val="20"/>
        </w:rPr>
        <w:t>rs and outcomes from a nationwide health survey.</w:t>
      </w:r>
    </w:p>
    <w:p w14:paraId="5BDED73A" w14:textId="67D4FD48" w:rsidR="006662B3" w:rsidRDefault="006662B3" w:rsidP="00015D5E">
      <w:pPr>
        <w:rPr>
          <w:rFonts w:asciiTheme="majorHAnsi" w:eastAsia="Times New Roman" w:hAnsiTheme="majorHAnsi" w:cs="Times New Roman"/>
          <w:b/>
          <w:bCs/>
          <w:kern w:val="36"/>
          <w:sz w:val="24"/>
          <w:szCs w:val="48"/>
          <w:lang w:eastAsia="en-CA"/>
        </w:rPr>
      </w:pPr>
      <w:r>
        <w:br w:type="page"/>
      </w:r>
    </w:p>
    <w:p w14:paraId="0EF3C130" w14:textId="13751B86" w:rsidR="006662B3" w:rsidRDefault="006662B3" w:rsidP="006662B3">
      <w:pPr>
        <w:pStyle w:val="Heading1"/>
      </w:pPr>
      <w:bookmarkStart w:id="3" w:name="_Toc517700806"/>
      <w:r>
        <w:lastRenderedPageBreak/>
        <w:t>Chapter 2: Sprawl score indicator</w:t>
      </w:r>
      <w:r w:rsidR="00CE40D3">
        <w:t>s</w:t>
      </w:r>
      <w:bookmarkEnd w:id="3"/>
    </w:p>
    <w:p w14:paraId="7AAE4867" w14:textId="40B04795" w:rsidR="004759DC" w:rsidRDefault="006B197D" w:rsidP="006B197D">
      <w:r>
        <w:t>T</w:t>
      </w:r>
      <w:r w:rsidR="004759DC" w:rsidRPr="00BD0D1A">
        <w:t>his study included urban sprawl indicators that belong to four dimensions, density, mix use, street connectivity, and centering. These dimensions have been widely used in the urban sprawl/compactness studies in North America</w:t>
      </w:r>
      <w:r w:rsidR="004759DC" w:rsidRPr="00BD0D1A">
        <w:fldChar w:fldCharType="begin" w:fldLock="1"/>
      </w:r>
      <w:r w:rsidR="008A7B50">
        <w:instrText>ADDIN CSL_CITATION { "citationItems" : [ { "id" : "ITEM-1",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"ITEM-1", "issued" : { "date-parts" : [ [ "2014" ] ] }, "page" : "118-126", "publisher" : "Elsevier", "title" : "Relationship between urban sprawl and physical activity, obesity, and morbidity - Update and refinement", "type" : "article-journal", "volume" : "26" }, "uris" : [ "http://www.mendeley.com/documents/?uuid=4c50e762-4168-4f80-bacc-cd7bc6ca93cc" ] }, { "id" : "ITEM-2",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"ITEM-2", "issue" : "1", "issued" : { "date-parts" : [ [ "2003" ] ] }, "page" : "47-57", "title" : "Relationship between urban sprawl and physical activity, obesity, and morbidity", "type" : "article-journal", "volume" : "18" }, "uris" : [ "http://www.mendeley.com/documents/?uuid=6a152f29-ebfd-48f4-ba60-377cfec03cb2" ] } ], "mendeley" : { "formattedCitation" : "(Ewing et al., 2014, 2003)", "plainTextFormattedCitation" : "(Ewing et al., 2014, 2003)", "previouslyFormattedCitation" : "(Ewing et al., 2014, 2003)" }, "properties" : { "noteIndex" : 0 }, "schema" : "https://github.com/citation-style-language/schema/raw/master/csl-citation.json" }</w:instrText>
      </w:r>
      <w:r w:rsidR="004759DC" w:rsidRPr="00BD0D1A">
        <w:fldChar w:fldCharType="separate"/>
      </w:r>
      <w:r w:rsidR="008A7B50" w:rsidRPr="008A7B50">
        <w:rPr>
          <w:noProof/>
        </w:rPr>
        <w:t>(Ewing et al., 2014, 2003)</w:t>
      </w:r>
      <w:r w:rsidR="004759DC" w:rsidRPr="00BD0D1A">
        <w:fldChar w:fldCharType="end"/>
      </w:r>
      <w:r w:rsidR="004759DC" w:rsidRPr="00BD0D1A">
        <w:t>. Descriptions of these indicators are provided in Table 1.</w:t>
      </w:r>
    </w:p>
    <w:p w14:paraId="06E3B95E" w14:textId="77777777" w:rsidR="006B197D" w:rsidRPr="00BD0D1A" w:rsidRDefault="006B197D" w:rsidP="006B197D">
      <w:pPr>
        <w:rPr>
          <w:rFonts w:cs="Times New Roman"/>
          <w:b/>
        </w:rPr>
      </w:pPr>
      <w:r w:rsidRPr="00BD0D1A">
        <w:rPr>
          <w:rFonts w:cs="Times New Roman"/>
          <w:b/>
        </w:rPr>
        <w:t>Table 1: Indicators used to develop the composite urban sprawl index</w:t>
      </w:r>
    </w:p>
    <w:tbl>
      <w:tblPr>
        <w:tblStyle w:val="TableGrid"/>
        <w:tblW w:w="9576" w:type="dxa"/>
        <w:tblLook w:val="04A0" w:firstRow="1" w:lastRow="0" w:firstColumn="1" w:lastColumn="0" w:noHBand="0" w:noVBand="1"/>
      </w:tblPr>
      <w:tblGrid>
        <w:gridCol w:w="2054"/>
        <w:gridCol w:w="2529"/>
        <w:gridCol w:w="3175"/>
        <w:gridCol w:w="1818"/>
      </w:tblGrid>
      <w:tr w:rsidR="00784D21" w:rsidRPr="00BD0D1A" w14:paraId="4D61A885" w14:textId="77777777" w:rsidTr="00784D21">
        <w:tc>
          <w:tcPr>
            <w:tcW w:w="2054" w:type="dxa"/>
          </w:tcPr>
          <w:p w14:paraId="12865979" w14:textId="22CB9CA9" w:rsidR="00784D21" w:rsidRPr="00BD0D1A" w:rsidRDefault="00784D21" w:rsidP="00FB0CF3">
            <w:pPr>
              <w:rPr>
                <w:rFonts w:cs="Times New Roman"/>
                <w:b/>
              </w:rPr>
            </w:pPr>
            <w:r>
              <w:rPr>
                <w:rFonts w:cs="Times New Roman"/>
                <w:b/>
              </w:rPr>
              <w:t>Sprawl dimension</w:t>
            </w:r>
          </w:p>
        </w:tc>
        <w:tc>
          <w:tcPr>
            <w:tcW w:w="2529" w:type="dxa"/>
          </w:tcPr>
          <w:p w14:paraId="694B0704" w14:textId="535C2F10" w:rsidR="00784D21" w:rsidRPr="00BD0D1A" w:rsidRDefault="00784D21" w:rsidP="00FB0CF3">
            <w:pPr>
              <w:rPr>
                <w:rFonts w:cs="Times New Roman"/>
                <w:b/>
              </w:rPr>
            </w:pPr>
            <w:r w:rsidRPr="00BD0D1A">
              <w:rPr>
                <w:rFonts w:cs="Times New Roman"/>
                <w:b/>
              </w:rPr>
              <w:t>Sprawl indicator</w:t>
            </w:r>
          </w:p>
        </w:tc>
        <w:tc>
          <w:tcPr>
            <w:tcW w:w="3175" w:type="dxa"/>
          </w:tcPr>
          <w:p w14:paraId="7E59034F" w14:textId="77777777" w:rsidR="00784D21" w:rsidRPr="00BD0D1A" w:rsidRDefault="00784D21" w:rsidP="00FB0CF3">
            <w:pPr>
              <w:rPr>
                <w:rFonts w:cs="Times New Roman"/>
                <w:b/>
              </w:rPr>
            </w:pPr>
            <w:r w:rsidRPr="00BD0D1A">
              <w:rPr>
                <w:rFonts w:cs="Times New Roman"/>
                <w:b/>
              </w:rPr>
              <w:t>Description</w:t>
            </w:r>
          </w:p>
        </w:tc>
        <w:tc>
          <w:tcPr>
            <w:tcW w:w="1818" w:type="dxa"/>
          </w:tcPr>
          <w:p w14:paraId="4AD44B82" w14:textId="77777777" w:rsidR="00784D21" w:rsidRPr="00BD0D1A" w:rsidRDefault="00784D21" w:rsidP="00FB0CF3">
            <w:pPr>
              <w:rPr>
                <w:rFonts w:cs="Times New Roman"/>
                <w:b/>
              </w:rPr>
            </w:pPr>
            <w:r w:rsidRPr="00BD0D1A">
              <w:rPr>
                <w:rFonts w:cs="Times New Roman"/>
                <w:b/>
              </w:rPr>
              <w:t>Data source</w:t>
            </w:r>
          </w:p>
        </w:tc>
      </w:tr>
      <w:tr w:rsidR="00784D21" w:rsidRPr="00BD0D1A" w14:paraId="5309DE33" w14:textId="77777777" w:rsidTr="00FD0EE9">
        <w:tc>
          <w:tcPr>
            <w:tcW w:w="2054" w:type="dxa"/>
            <w:vMerge w:val="restart"/>
            <w:vAlign w:val="center"/>
          </w:tcPr>
          <w:p w14:paraId="2CF1610C" w14:textId="668DFD4E" w:rsidR="00784D21" w:rsidRPr="00FD0EE9" w:rsidRDefault="00202D26" w:rsidP="00FD0EE9">
            <w:pPr>
              <w:jc w:val="center"/>
              <w:rPr>
                <w:rFonts w:cs="Times New Roman"/>
                <w:b/>
                <w:lang w:val="en-US"/>
              </w:rPr>
            </w:pPr>
            <w:r w:rsidRPr="00FD0EE9">
              <w:rPr>
                <w:rFonts w:cs="Times New Roman"/>
                <w:b/>
                <w:lang w:val="en-US"/>
              </w:rPr>
              <w:t>Density</w:t>
            </w:r>
          </w:p>
        </w:tc>
        <w:tc>
          <w:tcPr>
            <w:tcW w:w="2529" w:type="dxa"/>
          </w:tcPr>
          <w:p w14:paraId="368ADE8B" w14:textId="47233692" w:rsidR="00784D21" w:rsidRPr="00BD0D1A" w:rsidRDefault="00784D21" w:rsidP="00FB0CF3">
            <w:pPr>
              <w:rPr>
                <w:rFonts w:cs="Times New Roman"/>
              </w:rPr>
            </w:pPr>
            <w:r w:rsidRPr="00BD0D1A">
              <w:rPr>
                <w:rFonts w:cs="Times New Roman"/>
              </w:rPr>
              <w:t>Gross population density (person/mile</w:t>
            </w:r>
            <w:r w:rsidRPr="00BD0D1A">
              <w:rPr>
                <w:rFonts w:cs="Times New Roman"/>
                <w:vertAlign w:val="superscript"/>
              </w:rPr>
              <w:t>2</w:t>
            </w:r>
            <w:r w:rsidRPr="00BD0D1A">
              <w:rPr>
                <w:rFonts w:cs="Times New Roman"/>
              </w:rPr>
              <w:t>)</w:t>
            </w:r>
          </w:p>
        </w:tc>
        <w:tc>
          <w:tcPr>
            <w:tcW w:w="3175" w:type="dxa"/>
          </w:tcPr>
          <w:p w14:paraId="08884760" w14:textId="6756F37D" w:rsidR="00784D21" w:rsidRPr="00BD0D1A" w:rsidRDefault="00784D21" w:rsidP="00FB0CF3">
            <w:pPr>
              <w:rPr>
                <w:rFonts w:cs="Times New Roman"/>
              </w:rPr>
            </w:pPr>
            <w:r w:rsidRPr="00BD0D1A">
              <w:rPr>
                <w:rFonts w:cs="Times New Roman"/>
              </w:rPr>
              <w:t>Population divided by the land area of a CT</w:t>
            </w:r>
            <w:r w:rsidRPr="002C0E8D">
              <w:rPr>
                <w:rFonts w:cs="Times New Roman"/>
                <w:vertAlign w:val="superscript"/>
              </w:rPr>
              <w:t>1</w:t>
            </w:r>
          </w:p>
        </w:tc>
        <w:tc>
          <w:tcPr>
            <w:tcW w:w="1818" w:type="dxa"/>
            <w:vMerge w:val="restart"/>
          </w:tcPr>
          <w:p w14:paraId="43B6B350" w14:textId="77777777" w:rsidR="00784D21" w:rsidRPr="00BD0D1A" w:rsidRDefault="00784D21" w:rsidP="00FB0CF3">
            <w:pPr>
              <w:rPr>
                <w:rFonts w:cs="Times New Roman"/>
              </w:rPr>
            </w:pPr>
            <w:r w:rsidRPr="00BD0D1A">
              <w:rPr>
                <w:rFonts w:cs="Times New Roman"/>
              </w:rPr>
              <w:t>Canadian Census</w:t>
            </w:r>
          </w:p>
        </w:tc>
      </w:tr>
      <w:tr w:rsidR="00784D21" w:rsidRPr="00BD0D1A" w14:paraId="180F1390" w14:textId="77777777" w:rsidTr="00FD0EE9">
        <w:tc>
          <w:tcPr>
            <w:tcW w:w="2054" w:type="dxa"/>
            <w:vMerge/>
            <w:vAlign w:val="center"/>
          </w:tcPr>
          <w:p w14:paraId="76CB889D" w14:textId="77777777" w:rsidR="00784D21" w:rsidRPr="00FD0EE9" w:rsidRDefault="00784D21" w:rsidP="00FD0EE9">
            <w:pPr>
              <w:jc w:val="center"/>
              <w:rPr>
                <w:rFonts w:cs="Times New Roman"/>
                <w:b/>
              </w:rPr>
            </w:pPr>
          </w:p>
        </w:tc>
        <w:tc>
          <w:tcPr>
            <w:tcW w:w="2529" w:type="dxa"/>
          </w:tcPr>
          <w:p w14:paraId="3C9E3813" w14:textId="4324D350" w:rsidR="00784D21" w:rsidRPr="00BD0D1A" w:rsidRDefault="00784D21" w:rsidP="00FB0CF3">
            <w:pPr>
              <w:rPr>
                <w:rFonts w:cs="Times New Roman"/>
              </w:rPr>
            </w:pPr>
            <w:r w:rsidRPr="00BD0D1A">
              <w:rPr>
                <w:rFonts w:cs="Times New Roman"/>
              </w:rPr>
              <w:t>Gross employment density (person/mile</w:t>
            </w:r>
            <w:r w:rsidRPr="00BD0D1A">
              <w:rPr>
                <w:rFonts w:cs="Times New Roman"/>
                <w:vertAlign w:val="superscript"/>
              </w:rPr>
              <w:t>2</w:t>
            </w:r>
            <w:r w:rsidRPr="00BD0D1A">
              <w:rPr>
                <w:rFonts w:cs="Times New Roman"/>
              </w:rPr>
              <w:t>)</w:t>
            </w:r>
          </w:p>
        </w:tc>
        <w:tc>
          <w:tcPr>
            <w:tcW w:w="3175" w:type="dxa"/>
          </w:tcPr>
          <w:p w14:paraId="1CD9F9CF" w14:textId="77777777" w:rsidR="00784D21" w:rsidRPr="00BD0D1A" w:rsidRDefault="00784D21" w:rsidP="00FB0CF3">
            <w:pPr>
              <w:rPr>
                <w:rFonts w:cs="Times New Roman"/>
              </w:rPr>
            </w:pPr>
            <w:r w:rsidRPr="00BD0D1A">
              <w:rPr>
                <w:rFonts w:cs="Times New Roman"/>
              </w:rPr>
              <w:t>Employed population (15+) divided by the land area of a CT</w:t>
            </w:r>
          </w:p>
        </w:tc>
        <w:tc>
          <w:tcPr>
            <w:tcW w:w="1818" w:type="dxa"/>
            <w:vMerge/>
          </w:tcPr>
          <w:p w14:paraId="568DC6C3" w14:textId="77777777" w:rsidR="00784D21" w:rsidRPr="00BD0D1A" w:rsidRDefault="00784D21" w:rsidP="00FB0CF3">
            <w:pPr>
              <w:rPr>
                <w:rFonts w:cs="Times New Roman"/>
              </w:rPr>
            </w:pPr>
          </w:p>
        </w:tc>
      </w:tr>
      <w:tr w:rsidR="00202D26" w:rsidRPr="00BD0D1A" w14:paraId="10AD3A97" w14:textId="77777777" w:rsidTr="00FD0EE9">
        <w:tc>
          <w:tcPr>
            <w:tcW w:w="2054" w:type="dxa"/>
            <w:vMerge w:val="restart"/>
            <w:vAlign w:val="center"/>
          </w:tcPr>
          <w:p w14:paraId="633C18AF" w14:textId="3D821DD8" w:rsidR="00202D26" w:rsidRPr="00FD0EE9" w:rsidRDefault="00892D2D" w:rsidP="00FD0EE9">
            <w:pPr>
              <w:jc w:val="center"/>
              <w:rPr>
                <w:rFonts w:cs="Times New Roman"/>
                <w:b/>
              </w:rPr>
            </w:pPr>
            <w:r w:rsidRPr="00FD0EE9">
              <w:rPr>
                <w:rFonts w:cs="Times New Roman"/>
                <w:b/>
              </w:rPr>
              <w:t>Centering</w:t>
            </w:r>
          </w:p>
        </w:tc>
        <w:tc>
          <w:tcPr>
            <w:tcW w:w="2529" w:type="dxa"/>
          </w:tcPr>
          <w:p w14:paraId="156E444C" w14:textId="7944E618" w:rsidR="00202D26" w:rsidRPr="00BD0D1A" w:rsidRDefault="00202D26" w:rsidP="00FB0CF3">
            <w:pPr>
              <w:rPr>
                <w:rFonts w:cs="Times New Roman"/>
              </w:rPr>
            </w:pPr>
            <w:r>
              <w:rPr>
                <w:rFonts w:cs="Times New Roman"/>
              </w:rPr>
              <w:t>Coefficient of variation in DA</w:t>
            </w:r>
            <w:r w:rsidRPr="002C0E8D">
              <w:rPr>
                <w:rFonts w:cs="Times New Roman"/>
                <w:vertAlign w:val="superscript"/>
              </w:rPr>
              <w:t>2</w:t>
            </w:r>
            <w:r>
              <w:rPr>
                <w:rFonts w:cs="Times New Roman"/>
              </w:rPr>
              <w:t xml:space="preserve"> </w:t>
            </w:r>
            <w:r w:rsidRPr="00BD0D1A">
              <w:rPr>
                <w:rFonts w:cs="Times New Roman"/>
              </w:rPr>
              <w:t>population densities</w:t>
            </w:r>
          </w:p>
        </w:tc>
        <w:tc>
          <w:tcPr>
            <w:tcW w:w="3175" w:type="dxa"/>
          </w:tcPr>
          <w:p w14:paraId="423EC7F0" w14:textId="77777777" w:rsidR="00202D26" w:rsidRPr="00FB0CF3" w:rsidRDefault="00202D26" w:rsidP="00FB0CF3">
            <w:pPr>
              <w:rPr>
                <w:rFonts w:cs="Times New Roman"/>
                <w:lang w:val="en-US"/>
              </w:rPr>
            </w:pPr>
            <w:r w:rsidRPr="00BD0D1A">
              <w:rPr>
                <w:rFonts w:cs="Times New Roman"/>
              </w:rPr>
              <w:t>Standard deviation divided by the mean of DA population densities within a CT</w:t>
            </w:r>
          </w:p>
        </w:tc>
        <w:tc>
          <w:tcPr>
            <w:tcW w:w="1818" w:type="dxa"/>
            <w:vMerge/>
          </w:tcPr>
          <w:p w14:paraId="10EDDFBE" w14:textId="77777777" w:rsidR="00202D26" w:rsidRPr="00BD0D1A" w:rsidRDefault="00202D26" w:rsidP="00FB0CF3">
            <w:pPr>
              <w:rPr>
                <w:rFonts w:cs="Times New Roman"/>
              </w:rPr>
            </w:pPr>
          </w:p>
        </w:tc>
      </w:tr>
      <w:tr w:rsidR="00202D26" w:rsidRPr="00BD0D1A" w14:paraId="20B19CA9" w14:textId="77777777" w:rsidTr="00FD0EE9">
        <w:tc>
          <w:tcPr>
            <w:tcW w:w="2054" w:type="dxa"/>
            <w:vMerge/>
            <w:vAlign w:val="center"/>
          </w:tcPr>
          <w:p w14:paraId="769FA0D0" w14:textId="77777777" w:rsidR="00202D26" w:rsidRPr="00FD0EE9" w:rsidRDefault="00202D26" w:rsidP="00FD0EE9">
            <w:pPr>
              <w:jc w:val="center"/>
              <w:rPr>
                <w:rFonts w:cs="Times New Roman"/>
                <w:b/>
              </w:rPr>
            </w:pPr>
          </w:p>
        </w:tc>
        <w:tc>
          <w:tcPr>
            <w:tcW w:w="2529" w:type="dxa"/>
          </w:tcPr>
          <w:p w14:paraId="60AD8008" w14:textId="138BD60E" w:rsidR="00202D26" w:rsidRPr="00BD0D1A" w:rsidRDefault="00202D26" w:rsidP="00FB0CF3">
            <w:pPr>
              <w:rPr>
                <w:rFonts w:cs="Times New Roman"/>
              </w:rPr>
            </w:pPr>
            <w:r w:rsidRPr="00BD0D1A">
              <w:rPr>
                <w:rFonts w:cs="Times New Roman"/>
              </w:rPr>
              <w:t>Coefficient of variation in employment densities</w:t>
            </w:r>
          </w:p>
        </w:tc>
        <w:tc>
          <w:tcPr>
            <w:tcW w:w="3175" w:type="dxa"/>
          </w:tcPr>
          <w:p w14:paraId="7B159030" w14:textId="77777777" w:rsidR="00202D26" w:rsidRPr="00BD0D1A" w:rsidRDefault="00202D26" w:rsidP="00FB0CF3">
            <w:pPr>
              <w:rPr>
                <w:rFonts w:cs="Times New Roman"/>
              </w:rPr>
            </w:pPr>
            <w:r w:rsidRPr="00BD0D1A">
              <w:rPr>
                <w:rFonts w:cs="Times New Roman"/>
              </w:rPr>
              <w:t>Standard deviation divided by the mean of DA employment densities within a CT</w:t>
            </w:r>
          </w:p>
        </w:tc>
        <w:tc>
          <w:tcPr>
            <w:tcW w:w="1818" w:type="dxa"/>
            <w:vMerge/>
          </w:tcPr>
          <w:p w14:paraId="70D118CE" w14:textId="77777777" w:rsidR="00202D26" w:rsidRPr="00BD0D1A" w:rsidRDefault="00202D26" w:rsidP="00FB0CF3">
            <w:pPr>
              <w:rPr>
                <w:rFonts w:cs="Times New Roman"/>
              </w:rPr>
            </w:pPr>
          </w:p>
        </w:tc>
      </w:tr>
      <w:tr w:rsidR="00784D21" w:rsidRPr="00BD0D1A" w14:paraId="02B369FD" w14:textId="77777777" w:rsidTr="00FD0EE9">
        <w:tc>
          <w:tcPr>
            <w:tcW w:w="2054" w:type="dxa"/>
            <w:vAlign w:val="center"/>
          </w:tcPr>
          <w:p w14:paraId="63858189" w14:textId="69BF05AD" w:rsidR="00784D21" w:rsidRPr="00FD0EE9" w:rsidRDefault="00892D2D" w:rsidP="00FD0EE9">
            <w:pPr>
              <w:jc w:val="center"/>
              <w:rPr>
                <w:rFonts w:cs="Times New Roman"/>
                <w:b/>
              </w:rPr>
            </w:pPr>
            <w:r w:rsidRPr="00FD0EE9">
              <w:rPr>
                <w:rFonts w:cs="Times New Roman"/>
                <w:b/>
              </w:rPr>
              <w:t>Land use</w:t>
            </w:r>
          </w:p>
        </w:tc>
        <w:tc>
          <w:tcPr>
            <w:tcW w:w="2529" w:type="dxa"/>
          </w:tcPr>
          <w:p w14:paraId="58D3C2C1" w14:textId="64E94193" w:rsidR="00784D21" w:rsidRPr="00BD0D1A" w:rsidRDefault="00784D21" w:rsidP="00FB0CF3">
            <w:pPr>
              <w:rPr>
                <w:rFonts w:cs="Times New Roman"/>
              </w:rPr>
            </w:pPr>
            <w:r w:rsidRPr="00BD0D1A">
              <w:rPr>
                <w:rFonts w:cs="Times New Roman"/>
              </w:rPr>
              <w:t>Land-use mix</w:t>
            </w:r>
          </w:p>
        </w:tc>
        <w:tc>
          <w:tcPr>
            <w:tcW w:w="3175" w:type="dxa"/>
          </w:tcPr>
          <w:p w14:paraId="4EE34B44" w14:textId="0C971C0A" w:rsidR="00784D21" w:rsidRPr="00BD0D1A" w:rsidRDefault="00784D21" w:rsidP="00FB0CF3">
            <w:pPr>
              <w:rPr>
                <w:rFonts w:cs="Times New Roman"/>
              </w:rPr>
            </w:pPr>
            <w:r w:rsidRPr="00BD0D1A">
              <w:rPr>
                <w:rFonts w:cs="Times New Roman"/>
              </w:rPr>
              <w:t>Calculated based on the Entropy Index</w:t>
            </w:r>
            <w:proofErr w:type="gramStart"/>
            <w:r w:rsidRPr="00BD0D1A">
              <w:rPr>
                <w:rFonts w:cs="Times New Roman"/>
              </w:rPr>
              <w:t xml:space="preserve">, </w:t>
            </w:r>
            <w:proofErr w:type="gramEnd"/>
            <w:r w:rsidRPr="00BD0D1A">
              <w:rPr>
                <w:rFonts w:cs="Times New Roman"/>
                <w:position w:val="-22"/>
              </w:rPr>
              <w:object w:dxaOrig="1420" w:dyaOrig="499" w14:anchorId="75959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25pt" o:ole="">
                  <v:imagedata r:id="rId12" o:title=""/>
                </v:shape>
                <o:OLEObject Type="Embed" ProgID="Equation.DSMT4" ShapeID="_x0000_i1025" DrawAspect="Content" ObjectID="_1646461000" r:id="rId13"/>
              </w:object>
            </w:r>
            <w:r w:rsidRPr="00BD0D1A">
              <w:rPr>
                <w:rFonts w:cs="Times New Roman"/>
              </w:rPr>
              <w:t xml:space="preserve">, where </w:t>
            </w:r>
            <w:proofErr w:type="spellStart"/>
            <w:r w:rsidRPr="00BD0D1A">
              <w:rPr>
                <w:rFonts w:cs="Times New Roman"/>
              </w:rPr>
              <w:t>P</w:t>
            </w:r>
            <w:r w:rsidRPr="00BD0D1A">
              <w:rPr>
                <w:rFonts w:cs="Times New Roman"/>
                <w:vertAlign w:val="superscript"/>
              </w:rPr>
              <w:t>j</w:t>
            </w:r>
            <w:proofErr w:type="spellEnd"/>
            <w:r w:rsidRPr="00BD0D1A">
              <w:rPr>
                <w:rFonts w:cs="Times New Roman"/>
              </w:rPr>
              <w:t xml:space="preserve"> is the percentage of land use type j, and k is the total number of land use types</w:t>
            </w:r>
            <w:r w:rsidR="00415528">
              <w:rPr>
                <w:rFonts w:cs="Times New Roman"/>
              </w:rPr>
              <w:t xml:space="preserve">. Six different land use types included: (1) residential, (2) commercial, (3) </w:t>
            </w:r>
            <w:r w:rsidR="00FA143C">
              <w:rPr>
                <w:rFonts w:cs="Times New Roman"/>
              </w:rPr>
              <w:t>government and institutional, (4) open area, (5) parks and recreational, and (6) resource and industrial.</w:t>
            </w:r>
          </w:p>
        </w:tc>
        <w:tc>
          <w:tcPr>
            <w:tcW w:w="1818" w:type="dxa"/>
          </w:tcPr>
          <w:p w14:paraId="130D5CF2" w14:textId="77777777" w:rsidR="00784D21" w:rsidRPr="00BD0D1A" w:rsidRDefault="00784D21" w:rsidP="00FB0CF3">
            <w:pPr>
              <w:rPr>
                <w:rFonts w:cs="Times New Roman"/>
              </w:rPr>
            </w:pPr>
            <w:r w:rsidRPr="00BD0D1A">
              <w:rPr>
                <w:rFonts w:cs="Times New Roman"/>
              </w:rPr>
              <w:t>DMTI Spatial</w:t>
            </w:r>
          </w:p>
        </w:tc>
      </w:tr>
      <w:tr w:rsidR="008D619D" w:rsidRPr="00BD0D1A" w14:paraId="704A52FA" w14:textId="77777777" w:rsidTr="00FD0EE9">
        <w:tc>
          <w:tcPr>
            <w:tcW w:w="2054" w:type="dxa"/>
            <w:vMerge w:val="restart"/>
            <w:vAlign w:val="center"/>
          </w:tcPr>
          <w:p w14:paraId="6234A4BE" w14:textId="4FDAA4EA" w:rsidR="008D619D" w:rsidRPr="00FD0EE9" w:rsidRDefault="008D619D" w:rsidP="00FD0EE9">
            <w:pPr>
              <w:jc w:val="center"/>
              <w:rPr>
                <w:rFonts w:cs="Times New Roman"/>
                <w:b/>
              </w:rPr>
            </w:pPr>
            <w:r w:rsidRPr="00FD0EE9">
              <w:rPr>
                <w:rFonts w:cs="Times New Roman"/>
                <w:b/>
              </w:rPr>
              <w:t xml:space="preserve">Street </w:t>
            </w:r>
            <w:r w:rsidR="00EC551A">
              <w:rPr>
                <w:rFonts w:cs="Times New Roman"/>
                <w:b/>
              </w:rPr>
              <w:t>a</w:t>
            </w:r>
            <w:r w:rsidRPr="00FD0EE9">
              <w:rPr>
                <w:rFonts w:cs="Times New Roman"/>
                <w:b/>
              </w:rPr>
              <w:t>ccessibil</w:t>
            </w:r>
            <w:r w:rsidR="00FD0EE9">
              <w:rPr>
                <w:rFonts w:cs="Times New Roman"/>
                <w:b/>
              </w:rPr>
              <w:t>i</w:t>
            </w:r>
            <w:r w:rsidRPr="00FD0EE9">
              <w:rPr>
                <w:rFonts w:cs="Times New Roman"/>
                <w:b/>
              </w:rPr>
              <w:t>ty</w:t>
            </w:r>
          </w:p>
        </w:tc>
        <w:tc>
          <w:tcPr>
            <w:tcW w:w="2529" w:type="dxa"/>
          </w:tcPr>
          <w:p w14:paraId="37F5C51F" w14:textId="13C75C82" w:rsidR="008D619D" w:rsidRPr="00BD0D1A" w:rsidRDefault="008D619D" w:rsidP="00FB0CF3">
            <w:pPr>
              <w:rPr>
                <w:rFonts w:cs="Times New Roman"/>
              </w:rPr>
            </w:pPr>
            <w:r w:rsidRPr="00BD0D1A">
              <w:rPr>
                <w:rFonts w:cs="Times New Roman"/>
              </w:rPr>
              <w:t>Average DA size</w:t>
            </w:r>
          </w:p>
        </w:tc>
        <w:tc>
          <w:tcPr>
            <w:tcW w:w="3175" w:type="dxa"/>
          </w:tcPr>
          <w:p w14:paraId="6A980CEB" w14:textId="77777777" w:rsidR="008D619D" w:rsidRPr="00BD0D1A" w:rsidRDefault="008D619D" w:rsidP="00FB0CF3">
            <w:pPr>
              <w:rPr>
                <w:rFonts w:cs="Times New Roman"/>
              </w:rPr>
            </w:pPr>
            <w:r w:rsidRPr="00BD0D1A">
              <w:rPr>
                <w:rFonts w:cs="Times New Roman"/>
              </w:rPr>
              <w:t>Mean land areas of DAs within a CT</w:t>
            </w:r>
          </w:p>
        </w:tc>
        <w:tc>
          <w:tcPr>
            <w:tcW w:w="1818" w:type="dxa"/>
            <w:vMerge w:val="restart"/>
          </w:tcPr>
          <w:p w14:paraId="0542D74D" w14:textId="77777777" w:rsidR="008D619D" w:rsidRPr="00BD0D1A" w:rsidRDefault="008D619D" w:rsidP="00FB0CF3">
            <w:pPr>
              <w:rPr>
                <w:rFonts w:cs="Times New Roman"/>
              </w:rPr>
            </w:pPr>
            <w:r w:rsidRPr="00BD0D1A">
              <w:rPr>
                <w:rFonts w:cs="Times New Roman"/>
              </w:rPr>
              <w:t>Statistics Canada</w:t>
            </w:r>
          </w:p>
        </w:tc>
      </w:tr>
      <w:tr w:rsidR="008D619D" w:rsidRPr="00BD0D1A" w14:paraId="08B7F165" w14:textId="77777777" w:rsidTr="00784D21">
        <w:tc>
          <w:tcPr>
            <w:tcW w:w="2054" w:type="dxa"/>
            <w:vMerge/>
          </w:tcPr>
          <w:p w14:paraId="7080558C" w14:textId="77777777" w:rsidR="008D619D" w:rsidRPr="00BD0D1A" w:rsidRDefault="008D619D" w:rsidP="00FB0CF3">
            <w:pPr>
              <w:rPr>
                <w:rFonts w:cs="Times New Roman"/>
              </w:rPr>
            </w:pPr>
          </w:p>
        </w:tc>
        <w:tc>
          <w:tcPr>
            <w:tcW w:w="2529" w:type="dxa"/>
          </w:tcPr>
          <w:p w14:paraId="6E5E2EE3" w14:textId="18A0EBBC" w:rsidR="008D619D" w:rsidRPr="00BD0D1A" w:rsidRDefault="008D619D" w:rsidP="00FB0CF3">
            <w:pPr>
              <w:rPr>
                <w:rFonts w:cs="Times New Roman"/>
              </w:rPr>
            </w:pPr>
            <w:r w:rsidRPr="00BD0D1A">
              <w:rPr>
                <w:rFonts w:cs="Times New Roman"/>
              </w:rPr>
              <w:t>% of small DAs (&lt;0.05 mile</w:t>
            </w:r>
            <w:r w:rsidRPr="00BD0D1A">
              <w:rPr>
                <w:rFonts w:cs="Times New Roman"/>
                <w:vertAlign w:val="superscript"/>
              </w:rPr>
              <w:t>2</w:t>
            </w:r>
            <w:r w:rsidRPr="00BD0D1A">
              <w:rPr>
                <w:rFonts w:cs="Times New Roman"/>
              </w:rPr>
              <w:t>)</w:t>
            </w:r>
          </w:p>
        </w:tc>
        <w:tc>
          <w:tcPr>
            <w:tcW w:w="3175" w:type="dxa"/>
          </w:tcPr>
          <w:p w14:paraId="2E39B43A" w14:textId="77777777" w:rsidR="008D619D" w:rsidRPr="00BD0D1A" w:rsidRDefault="008D619D" w:rsidP="00FB0CF3">
            <w:pPr>
              <w:rPr>
                <w:rFonts w:cs="Times New Roman"/>
              </w:rPr>
            </w:pPr>
            <w:r w:rsidRPr="00BD0D1A">
              <w:rPr>
                <w:rFonts w:cs="Times New Roman"/>
              </w:rPr>
              <w:t>Percentage of &lt;0.</w:t>
            </w:r>
            <w:r>
              <w:rPr>
                <w:rFonts w:cs="Times New Roman"/>
              </w:rPr>
              <w:t>0</w:t>
            </w:r>
            <w:r w:rsidRPr="00BD0D1A">
              <w:rPr>
                <w:rFonts w:cs="Times New Roman"/>
              </w:rPr>
              <w:t>5 mile</w:t>
            </w:r>
            <w:r w:rsidRPr="00BD0D1A">
              <w:rPr>
                <w:rFonts w:cs="Times New Roman"/>
                <w:vertAlign w:val="superscript"/>
              </w:rPr>
              <w:t>2</w:t>
            </w:r>
            <w:r w:rsidRPr="00BD0D1A">
              <w:rPr>
                <w:rFonts w:cs="Times New Roman"/>
              </w:rPr>
              <w:t xml:space="preserve"> DAs within a CT</w:t>
            </w:r>
          </w:p>
        </w:tc>
        <w:tc>
          <w:tcPr>
            <w:tcW w:w="1818" w:type="dxa"/>
            <w:vMerge/>
          </w:tcPr>
          <w:p w14:paraId="50E8A969" w14:textId="77777777" w:rsidR="008D619D" w:rsidRPr="00BD0D1A" w:rsidRDefault="008D619D" w:rsidP="00FB0CF3">
            <w:pPr>
              <w:rPr>
                <w:rFonts w:cs="Times New Roman"/>
              </w:rPr>
            </w:pPr>
          </w:p>
        </w:tc>
      </w:tr>
      <w:tr w:rsidR="008D619D" w:rsidRPr="00BD0D1A" w14:paraId="6C26EC46" w14:textId="77777777" w:rsidTr="00784D21">
        <w:tc>
          <w:tcPr>
            <w:tcW w:w="2054" w:type="dxa"/>
            <w:vMerge/>
          </w:tcPr>
          <w:p w14:paraId="0035C340" w14:textId="77777777" w:rsidR="008D619D" w:rsidRPr="00BD0D1A" w:rsidRDefault="008D619D" w:rsidP="00FB0CF3">
            <w:pPr>
              <w:rPr>
                <w:rFonts w:cs="Times New Roman"/>
              </w:rPr>
            </w:pPr>
          </w:p>
        </w:tc>
        <w:tc>
          <w:tcPr>
            <w:tcW w:w="2529" w:type="dxa"/>
          </w:tcPr>
          <w:p w14:paraId="13B477C7" w14:textId="065EDC4A" w:rsidR="008D619D" w:rsidRPr="00BD0D1A" w:rsidRDefault="008D619D" w:rsidP="00FB0CF3">
            <w:pPr>
              <w:rPr>
                <w:rFonts w:cs="Times New Roman"/>
              </w:rPr>
            </w:pPr>
            <w:r w:rsidRPr="00BD0D1A">
              <w:rPr>
                <w:rFonts w:cs="Times New Roman"/>
              </w:rPr>
              <w:t>Intersection density</w:t>
            </w:r>
          </w:p>
        </w:tc>
        <w:tc>
          <w:tcPr>
            <w:tcW w:w="3175" w:type="dxa"/>
          </w:tcPr>
          <w:p w14:paraId="0D63B6BB" w14:textId="77777777" w:rsidR="008D619D" w:rsidRPr="00BD0D1A" w:rsidRDefault="008D619D" w:rsidP="00FB0CF3">
            <w:pPr>
              <w:rPr>
                <w:rFonts w:cs="Times New Roman"/>
              </w:rPr>
            </w:pPr>
            <w:r w:rsidRPr="00BD0D1A">
              <w:rPr>
                <w:rFonts w:cs="Times New Roman"/>
              </w:rPr>
              <w:t>Intersection count d</w:t>
            </w:r>
            <w:r>
              <w:rPr>
                <w:rFonts w:cs="Times New Roman"/>
              </w:rPr>
              <w:t>ivided by the land area of a CT</w:t>
            </w:r>
          </w:p>
        </w:tc>
        <w:tc>
          <w:tcPr>
            <w:tcW w:w="1818" w:type="dxa"/>
            <w:vMerge/>
          </w:tcPr>
          <w:p w14:paraId="7197EB33" w14:textId="77777777" w:rsidR="008D619D" w:rsidRPr="00BD0D1A" w:rsidRDefault="008D619D" w:rsidP="00FB0CF3">
            <w:pPr>
              <w:rPr>
                <w:rFonts w:cs="Times New Roman"/>
              </w:rPr>
            </w:pPr>
          </w:p>
        </w:tc>
      </w:tr>
      <w:tr w:rsidR="008D619D" w:rsidRPr="00BD0D1A" w14:paraId="33D7EE5A" w14:textId="77777777" w:rsidTr="00784D21">
        <w:tc>
          <w:tcPr>
            <w:tcW w:w="2054" w:type="dxa"/>
            <w:vMerge/>
          </w:tcPr>
          <w:p w14:paraId="1995CC4E" w14:textId="77777777" w:rsidR="008D619D" w:rsidRPr="00BD0D1A" w:rsidRDefault="008D619D" w:rsidP="00FB0CF3">
            <w:pPr>
              <w:rPr>
                <w:rFonts w:cs="Times New Roman"/>
              </w:rPr>
            </w:pPr>
          </w:p>
        </w:tc>
        <w:tc>
          <w:tcPr>
            <w:tcW w:w="2529" w:type="dxa"/>
          </w:tcPr>
          <w:p w14:paraId="2C43373C" w14:textId="299022DA" w:rsidR="008D619D" w:rsidRPr="00BD0D1A" w:rsidRDefault="008D619D" w:rsidP="00FB0CF3">
            <w:pPr>
              <w:rPr>
                <w:rFonts w:cs="Times New Roman"/>
              </w:rPr>
            </w:pPr>
            <w:r w:rsidRPr="00BD0D1A">
              <w:rPr>
                <w:rFonts w:cs="Times New Roman"/>
              </w:rPr>
              <w:t>% of 4-or-more way intersections</w:t>
            </w:r>
          </w:p>
        </w:tc>
        <w:tc>
          <w:tcPr>
            <w:tcW w:w="3175" w:type="dxa"/>
          </w:tcPr>
          <w:p w14:paraId="29AAD1BD" w14:textId="77777777" w:rsidR="008D619D" w:rsidRPr="00BD0D1A" w:rsidRDefault="008D619D" w:rsidP="00FB0CF3">
            <w:pPr>
              <w:rPr>
                <w:rFonts w:cs="Times New Roman"/>
              </w:rPr>
            </w:pPr>
            <w:r w:rsidRPr="00BD0D1A">
              <w:rPr>
                <w:rFonts w:cs="Times New Roman"/>
              </w:rPr>
              <w:t># of 4-or-more way intersections divided by total # of intersections within a CT</w:t>
            </w:r>
          </w:p>
        </w:tc>
        <w:tc>
          <w:tcPr>
            <w:tcW w:w="1818" w:type="dxa"/>
            <w:vMerge/>
          </w:tcPr>
          <w:p w14:paraId="55C64F2A" w14:textId="77777777" w:rsidR="008D619D" w:rsidRPr="00BD0D1A" w:rsidRDefault="008D619D" w:rsidP="00FB0CF3">
            <w:pPr>
              <w:rPr>
                <w:rFonts w:cs="Times New Roman"/>
              </w:rPr>
            </w:pPr>
          </w:p>
        </w:tc>
      </w:tr>
    </w:tbl>
    <w:p w14:paraId="7DDFC257" w14:textId="1E2400F8" w:rsidR="006B197D" w:rsidRDefault="006B197D" w:rsidP="00CE40D3">
      <w:pPr>
        <w:jc w:val="right"/>
        <w:rPr>
          <w:rFonts w:cs="Times New Roman"/>
        </w:rPr>
      </w:pPr>
      <w:r>
        <w:rPr>
          <w:rFonts w:cs="Times New Roman"/>
        </w:rPr>
        <w:t>CT: Census Tract; DA: Dissemination Area</w:t>
      </w:r>
    </w:p>
    <w:p w14:paraId="43CA16F7" w14:textId="77777777" w:rsidR="006B197D" w:rsidRPr="006662B3" w:rsidRDefault="006B197D" w:rsidP="006B197D"/>
    <w:p w14:paraId="3846FE3E" w14:textId="77777777" w:rsidR="006662B3" w:rsidRDefault="006662B3">
      <w:r>
        <w:lastRenderedPageBreak/>
        <w:br w:type="page"/>
      </w:r>
    </w:p>
    <w:p w14:paraId="16946605" w14:textId="1E53950B" w:rsidR="006662B3" w:rsidRDefault="006662B3" w:rsidP="006662B3">
      <w:pPr>
        <w:pStyle w:val="Heading1"/>
      </w:pPr>
      <w:bookmarkStart w:id="4" w:name="_Toc517700807"/>
      <w:r>
        <w:lastRenderedPageBreak/>
        <w:t xml:space="preserve">Chapter 3: </w:t>
      </w:r>
      <w:r w:rsidR="00A90A95">
        <w:t xml:space="preserve">Statistical </w:t>
      </w:r>
      <w:r w:rsidR="000D6612">
        <w:t>M</w:t>
      </w:r>
      <w:r>
        <w:t>ethod</w:t>
      </w:r>
      <w:bookmarkEnd w:id="4"/>
    </w:p>
    <w:p w14:paraId="791853CA" w14:textId="2253FE8C" w:rsidR="00FB0CF3" w:rsidRDefault="00FB0CF3">
      <w:r>
        <w:t>The calculation of sprawl indicators h</w:t>
      </w:r>
      <w:r w:rsidR="00A90A95">
        <w:t>as been described in Table 1. This section introduces the statistical approach used to derive the composite urban sprawl index</w:t>
      </w:r>
      <w:r w:rsidR="004B479F">
        <w:t xml:space="preserve">: Bayesian spatial factor analysis. </w:t>
      </w:r>
    </w:p>
    <w:p w14:paraId="71B0AFC5" w14:textId="3746C3C8" w:rsidR="004B479F" w:rsidRDefault="004B479F">
      <w:pPr>
        <w:rPr>
          <w:rFonts w:cs="Arial"/>
          <w:szCs w:val="20"/>
          <w:lang w:val="en-US"/>
        </w:rPr>
      </w:pPr>
      <w:r>
        <w:tab/>
      </w:r>
      <w:r w:rsidR="00784D21" w:rsidRPr="0033383C">
        <w:rPr>
          <w:rFonts w:cs="Arial"/>
          <w:szCs w:val="20"/>
        </w:rPr>
        <w:t xml:space="preserve">Originating in psychometrics, factor analysis is a statistical approach to describe the variation and correlation of a set of observable and correlated indicators with a lower number of latent factors that cannot be directly observed or measured </w:t>
      </w:r>
      <w:r w:rsidR="00784D21" w:rsidRPr="0033383C">
        <w:rPr>
          <w:rFonts w:cs="Arial"/>
          <w:szCs w:val="20"/>
        </w:rPr>
        <w:fldChar w:fldCharType="begin" w:fldLock="1"/>
      </w:r>
      <w:r w:rsidR="008A7B50">
        <w:rPr>
          <w:rFonts w:cs="Arial"/>
          <w:szCs w:val="20"/>
        </w:rPr>
        <w:instrText>ADDIN CSL_CITATION { "citationItems" : [ { "id" : "ITEM-1", "itemData" : { "ISBN" : "9781462517794", "abstract" : "www.guilford.com/MSS This series provides applied researchers and students with analysis and research design books that emphasize the use of methods to answer research questions. Rather than emphasizing statistical theory, each volume in the series illustrates when a technique should (and should not) be used and how the output from available software programs should (and should not) be interpreted. Common pitfalls as well as areas of further development are clearly articulated.", "author" : [ { "dropping-particle" : "", "family" : "Brown", "given" : "Timothy A.", "non-dropping-particle" : "", "parse-names" : false, "suffix" : "" } ], "edition" : "Second Edi", "id" : "ITEM-1", "issued" : { "date-parts" : [ [ "2015" ] ] }, "number-of-pages" : "462", "publisher" : "The Guilford Press", "publisher-place" : "New York", "title" : "Confirmatory Factor Analysis for Applied Research", "type" : "book" }, "uris" : [ "http://www.mendeley.com/documents/?uuid=8129ac56-58a9-406b-9864-25722b8f30df" ] } ], "mendeley" : { "formattedCitation" : "(Brown, 2015)", "manualFormatting" : "(e.g., Brown, 2015)", "plainTextFormattedCitation" : "(Brown, 2015)", "previouslyFormattedCitation" : "(Brown, 2015)" }, "properties" : { "noteIndex" : 0 }, "schema" : "https://github.com/citation-style-language/schema/raw/master/csl-citation.json" }</w:instrText>
      </w:r>
      <w:r w:rsidR="00784D21" w:rsidRPr="0033383C">
        <w:rPr>
          <w:rFonts w:cs="Arial"/>
          <w:szCs w:val="20"/>
        </w:rPr>
        <w:fldChar w:fldCharType="separate"/>
      </w:r>
      <w:r w:rsidR="00784D21" w:rsidRPr="0033383C">
        <w:rPr>
          <w:rFonts w:cs="Arial"/>
          <w:noProof/>
          <w:szCs w:val="20"/>
        </w:rPr>
        <w:t>(e.g., Brown, 2015)</w:t>
      </w:r>
      <w:r w:rsidR="00784D21" w:rsidRPr="0033383C">
        <w:rPr>
          <w:rFonts w:cs="Arial"/>
          <w:szCs w:val="20"/>
        </w:rPr>
        <w:fldChar w:fldCharType="end"/>
      </w:r>
      <w:r w:rsidR="00784D21" w:rsidRPr="0033383C">
        <w:rPr>
          <w:rFonts w:cs="Arial"/>
          <w:szCs w:val="20"/>
        </w:rPr>
        <w:t xml:space="preserve">. Conceptually, urban sprawl is abstract and unobservable, but manifests in the form of a variety of observable and correlated indicators, for </w:t>
      </w:r>
      <w:r w:rsidR="00E757AF">
        <w:rPr>
          <w:rFonts w:cs="Arial"/>
          <w:szCs w:val="20"/>
        </w:rPr>
        <w:t>example, those listed in Table 1</w:t>
      </w:r>
      <w:r w:rsidR="00784D21" w:rsidRPr="0033383C">
        <w:rPr>
          <w:rFonts w:cs="Arial"/>
          <w:szCs w:val="20"/>
        </w:rPr>
        <w:t xml:space="preserve">. In this sense, factor analysis is well-suited for developing an urban sprawl index. </w:t>
      </w:r>
      <w:r w:rsidR="00E757AF">
        <w:rPr>
          <w:rFonts w:cs="Arial"/>
          <w:szCs w:val="20"/>
        </w:rPr>
        <w:t>Sprawl indicators a</w:t>
      </w:r>
      <w:r w:rsidR="00322B89">
        <w:rPr>
          <w:rFonts w:cs="Arial"/>
          <w:szCs w:val="20"/>
        </w:rPr>
        <w:t>t a small-area level however, are</w:t>
      </w:r>
      <w:r w:rsidR="00E757AF">
        <w:rPr>
          <w:rFonts w:cs="Arial"/>
          <w:szCs w:val="20"/>
        </w:rPr>
        <w:t xml:space="preserve"> usually </w:t>
      </w:r>
      <w:r w:rsidR="00322B89">
        <w:rPr>
          <w:rFonts w:cs="Arial"/>
          <w:szCs w:val="20"/>
        </w:rPr>
        <w:t xml:space="preserve">spatially auto-correlated. That is, values of sprawl indicators in adjacent </w:t>
      </w:r>
      <w:r w:rsidR="00322B89">
        <w:rPr>
          <w:rFonts w:cs="Arial"/>
          <w:szCs w:val="20"/>
          <w:lang w:val="en-US"/>
        </w:rPr>
        <w:t>areas are similar. To account for the spatial autocorrelation in statistical inferences</w:t>
      </w:r>
      <w:r w:rsidR="00FA485B">
        <w:rPr>
          <w:rFonts w:cs="Arial"/>
          <w:szCs w:val="20"/>
          <w:lang w:val="en-US"/>
        </w:rPr>
        <w:t xml:space="preserve"> of factor analysis</w:t>
      </w:r>
      <w:r w:rsidR="00322B89">
        <w:rPr>
          <w:rFonts w:cs="Arial"/>
          <w:szCs w:val="20"/>
          <w:lang w:val="en-US"/>
        </w:rPr>
        <w:t xml:space="preserve">, a Bayesian approach is more </w:t>
      </w:r>
      <w:r w:rsidR="00FA485B">
        <w:rPr>
          <w:rFonts w:cs="Arial"/>
          <w:szCs w:val="20"/>
          <w:lang w:val="en-US"/>
        </w:rPr>
        <w:t xml:space="preserve">feasible than the traditional Frequentist approach. </w:t>
      </w:r>
    </w:p>
    <w:p w14:paraId="08132314" w14:textId="1A8DEA9C" w:rsidR="00FC3AC1" w:rsidRPr="00EB19AA" w:rsidRDefault="00FA485B" w:rsidP="00FC3AC1">
      <w:pPr>
        <w:rPr>
          <w:rFonts w:cs="Times New Roman"/>
        </w:rPr>
      </w:pPr>
      <w:r>
        <w:rPr>
          <w:rFonts w:cs="Arial"/>
          <w:szCs w:val="20"/>
          <w:lang w:val="en-US"/>
        </w:rPr>
        <w:tab/>
      </w:r>
      <w:r w:rsidR="00FC3AC1">
        <w:rPr>
          <w:rFonts w:cs="Arial"/>
          <w:szCs w:val="20"/>
          <w:lang w:val="en-US"/>
        </w:rPr>
        <w:t xml:space="preserve">In particular, </w:t>
      </w:r>
      <w:r w:rsidR="00FC3AC1">
        <w:rPr>
          <w:rFonts w:cs="Times New Roman"/>
        </w:rPr>
        <w:t>e</w:t>
      </w:r>
      <w:r w:rsidR="00FC3AC1" w:rsidRPr="00BD0D1A">
        <w:rPr>
          <w:rFonts w:cs="Times New Roman"/>
        </w:rPr>
        <w:t>ach standardized sprawl indicator was</w:t>
      </w:r>
      <w:r w:rsidR="00FC3AC1">
        <w:rPr>
          <w:rFonts w:cs="Times New Roman"/>
        </w:rPr>
        <w:t xml:space="preserve"> assumed to follow a N</w:t>
      </w:r>
      <w:r w:rsidR="00FC3AC1" w:rsidRPr="00BD0D1A">
        <w:rPr>
          <w:rFonts w:cs="Times New Roman"/>
        </w:rPr>
        <w:t xml:space="preserve">ormal distribution with mean </w:t>
      </w:r>
      <w:r w:rsidR="00FC3AC1" w:rsidRPr="00BD0D1A">
        <w:rPr>
          <w:rFonts w:cs="Times New Roman"/>
          <w:i/>
        </w:rPr>
        <w:t>µ</w:t>
      </w:r>
      <w:proofErr w:type="spellStart"/>
      <w:r w:rsidR="00FC3AC1" w:rsidRPr="00BD0D1A">
        <w:rPr>
          <w:rFonts w:cs="Times New Roman"/>
          <w:i/>
          <w:vertAlign w:val="subscript"/>
        </w:rPr>
        <w:t>ij</w:t>
      </w:r>
      <w:proofErr w:type="spellEnd"/>
      <w:r w:rsidR="00FC3AC1" w:rsidRPr="00BD0D1A">
        <w:rPr>
          <w:rFonts w:cs="Times New Roman"/>
        </w:rPr>
        <w:t xml:space="preserve"> and </w:t>
      </w:r>
      <w:proofErr w:type="gramStart"/>
      <w:r w:rsidR="00FC3AC1" w:rsidRPr="00BD0D1A">
        <w:rPr>
          <w:rFonts w:cs="Times New Roman"/>
        </w:rPr>
        <w:t xml:space="preserve">variance </w:t>
      </w:r>
      <w:proofErr w:type="gramEnd"/>
      <w:r w:rsidR="00FC3AC1" w:rsidRPr="00BD0D1A">
        <w:rPr>
          <w:rFonts w:cs="Times New Roman"/>
          <w:position w:val="-12"/>
        </w:rPr>
        <w:object w:dxaOrig="240" w:dyaOrig="320" w14:anchorId="4D5CB342">
          <v:shape id="_x0000_i1026" type="#_x0000_t75" style="width:17pt;height:22pt" o:ole="">
            <v:imagedata r:id="rId14" o:title=""/>
          </v:shape>
          <o:OLEObject Type="Embed" ProgID="Equation.DSMT4" ShapeID="_x0000_i1026" DrawAspect="Content" ObjectID="_1646461001" r:id="rId15"/>
        </w:object>
      </w:r>
      <w:r w:rsidR="00FC3AC1" w:rsidRPr="00BD0D1A">
        <w:rPr>
          <w:rFonts w:cs="Times New Roman"/>
        </w:rPr>
        <w:t xml:space="preserve">. </w:t>
      </w:r>
      <w:r w:rsidR="00FC3AC1" w:rsidRPr="00BD0D1A">
        <w:rPr>
          <w:rFonts w:cs="Times New Roman"/>
          <w:i/>
        </w:rPr>
        <w:t>µ</w:t>
      </w:r>
      <w:proofErr w:type="spellStart"/>
      <w:r w:rsidR="00FC3AC1" w:rsidRPr="00BD0D1A">
        <w:rPr>
          <w:rFonts w:cs="Times New Roman"/>
          <w:i/>
          <w:vertAlign w:val="subscript"/>
        </w:rPr>
        <w:t>ij</w:t>
      </w:r>
      <w:proofErr w:type="spellEnd"/>
      <w:r w:rsidR="00FC3AC1" w:rsidRPr="00BD0D1A">
        <w:rPr>
          <w:rFonts w:cs="Times New Roman"/>
        </w:rPr>
        <w:t xml:space="preserve"> was further decomposed with an intercept </w:t>
      </w:r>
      <w:bookmarkStart w:id="5" w:name="OLE_LINK3"/>
      <w:bookmarkStart w:id="6" w:name="OLE_LINK4"/>
      <w:r w:rsidR="00FC3AC1" w:rsidRPr="00BD0D1A">
        <w:rPr>
          <w:rFonts w:cs="Times New Roman"/>
          <w:i/>
        </w:rPr>
        <w:t>α</w:t>
      </w:r>
      <w:r w:rsidR="00FC3AC1" w:rsidRPr="00BD0D1A">
        <w:rPr>
          <w:rFonts w:cs="Times New Roman"/>
          <w:i/>
          <w:vertAlign w:val="subscript"/>
        </w:rPr>
        <w:t>j</w:t>
      </w:r>
      <w:bookmarkEnd w:id="5"/>
      <w:bookmarkEnd w:id="6"/>
      <w:r w:rsidR="00FC3AC1" w:rsidRPr="00BD0D1A">
        <w:rPr>
          <w:rFonts w:cs="Times New Roman"/>
        </w:rPr>
        <w:t xml:space="preserve"> and a product </w:t>
      </w:r>
      <w:proofErr w:type="spellStart"/>
      <w:r w:rsidR="00FC3AC1" w:rsidRPr="00A24B6D">
        <w:rPr>
          <w:rFonts w:cs="Times New Roman"/>
          <w:i/>
        </w:rPr>
        <w:t>δ</w:t>
      </w:r>
      <w:r w:rsidR="00FC3AC1" w:rsidRPr="00A24B6D">
        <w:rPr>
          <w:rFonts w:cs="Times New Roman"/>
          <w:i/>
          <w:vertAlign w:val="subscript"/>
        </w:rPr>
        <w:t>j</w:t>
      </w:r>
      <w:proofErr w:type="spellEnd"/>
      <w:r w:rsidR="00FC3AC1" w:rsidRPr="00A24B6D">
        <w:rPr>
          <w:rFonts w:cs="Times New Roman"/>
          <w:i/>
        </w:rPr>
        <w:t>*</w:t>
      </w:r>
      <w:bookmarkStart w:id="7" w:name="OLE_LINK1"/>
      <w:bookmarkStart w:id="8" w:name="OLE_LINK2"/>
      <w:proofErr w:type="spellStart"/>
      <w:r w:rsidR="00FC3AC1" w:rsidRPr="00A24B6D">
        <w:rPr>
          <w:rFonts w:cs="Times New Roman"/>
          <w:i/>
        </w:rPr>
        <w:t>θ</w:t>
      </w:r>
      <w:r w:rsidR="00FC3AC1" w:rsidRPr="00A24B6D">
        <w:rPr>
          <w:rFonts w:cs="Times New Roman"/>
          <w:i/>
          <w:vertAlign w:val="subscript"/>
        </w:rPr>
        <w:t>i</w:t>
      </w:r>
      <w:bookmarkEnd w:id="7"/>
      <w:bookmarkEnd w:id="8"/>
      <w:proofErr w:type="spellEnd"/>
      <w:r w:rsidR="00FC3AC1">
        <w:rPr>
          <w:rFonts w:cs="Times New Roman"/>
        </w:rPr>
        <w:t xml:space="preserve">, with </w:t>
      </w:r>
      <w:r w:rsidR="00FC3AC1" w:rsidRPr="00BD0D1A">
        <w:rPr>
          <w:rFonts w:cs="Times New Roman"/>
          <w:i/>
        </w:rPr>
        <w:t>α</w:t>
      </w:r>
      <w:r w:rsidR="00FC3AC1" w:rsidRPr="00BD0D1A">
        <w:rPr>
          <w:rFonts w:cs="Times New Roman"/>
          <w:i/>
          <w:vertAlign w:val="subscript"/>
        </w:rPr>
        <w:t>j</w:t>
      </w:r>
      <w:r w:rsidR="00FC3AC1">
        <w:rPr>
          <w:rFonts w:cs="Times New Roman"/>
        </w:rPr>
        <w:t xml:space="preserve"> representing the average of sprawl indicator j over Canada and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 xml:space="preserve"> being the factor loading that indicates the correlation between indicator j and the derived composite sprawl index </w:t>
      </w:r>
      <w:bookmarkStart w:id="9" w:name="OLE_LINK5"/>
      <w:bookmarkStart w:id="10" w:name="OLE_LINK6"/>
      <w:proofErr w:type="spellStart"/>
      <w:r w:rsidR="00FC3AC1" w:rsidRPr="00A24B6D">
        <w:rPr>
          <w:rFonts w:cs="Times New Roman"/>
          <w:i/>
        </w:rPr>
        <w:t>θ</w:t>
      </w:r>
      <w:r w:rsidR="00FC3AC1" w:rsidRPr="00A24B6D">
        <w:rPr>
          <w:rFonts w:cs="Times New Roman"/>
          <w:i/>
          <w:vertAlign w:val="subscript"/>
        </w:rPr>
        <w:t>i</w:t>
      </w:r>
      <w:bookmarkEnd w:id="9"/>
      <w:bookmarkEnd w:id="10"/>
      <w:proofErr w:type="spellEnd"/>
      <w:r w:rsidR="00FC3AC1">
        <w:rPr>
          <w:rFonts w:cs="Times New Roman"/>
        </w:rPr>
        <w:t xml:space="preserve">. Regarding priors of the unknown parameters, we specified a non-informative flat prior to </w:t>
      </w:r>
      <w:r w:rsidR="00FC3AC1" w:rsidRPr="00BD0D1A">
        <w:rPr>
          <w:rFonts w:cs="Times New Roman"/>
          <w:i/>
        </w:rPr>
        <w:t>α</w:t>
      </w:r>
      <w:r w:rsidR="00FC3AC1" w:rsidRPr="00BD0D1A">
        <w:rPr>
          <w:rFonts w:cs="Times New Roman"/>
          <w:i/>
          <w:vertAlign w:val="subscript"/>
        </w:rPr>
        <w:t>j</w:t>
      </w:r>
      <w:r w:rsidR="00FC3AC1">
        <w:rPr>
          <w:rFonts w:cs="Times New Roman"/>
        </w:rPr>
        <w:t>. A log-normal distribution with mean zero and variance 100 was assigned to δ</w:t>
      </w:r>
      <w:r w:rsidR="00FC3AC1" w:rsidRPr="00561D70">
        <w:rPr>
          <w:rFonts w:cs="Times New Roman"/>
          <w:vertAlign w:val="subscript"/>
        </w:rPr>
        <w:t>1</w:t>
      </w:r>
      <w:r w:rsidR="00FC3AC1">
        <w:rPr>
          <w:rFonts w:cs="Times New Roman"/>
        </w:rPr>
        <w:t>, constraining δ</w:t>
      </w:r>
      <w:r w:rsidR="00FC3AC1" w:rsidRPr="00561D70">
        <w:rPr>
          <w:rFonts w:cs="Times New Roman"/>
          <w:vertAlign w:val="subscript"/>
        </w:rPr>
        <w:t>1</w:t>
      </w:r>
      <w:r w:rsidR="00FC3AC1">
        <w:rPr>
          <w:rFonts w:cs="Times New Roman"/>
        </w:rPr>
        <w:t xml:space="preserve"> to be positive. This approach is adopted to avoid the “flip-flop” problem in that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The remaining </w:t>
      </w:r>
      <w:proofErr w:type="spellStart"/>
      <w:proofErr w:type="gramStart"/>
      <w:r w:rsidR="00FC3AC1" w:rsidRPr="00A24B6D">
        <w:rPr>
          <w:rFonts w:cs="Times New Roman"/>
          <w:i/>
        </w:rPr>
        <w:t>δ</w:t>
      </w:r>
      <w:r w:rsidR="00FC3AC1" w:rsidRPr="00A24B6D">
        <w:rPr>
          <w:rFonts w:cs="Times New Roman"/>
          <w:i/>
          <w:vertAlign w:val="subscript"/>
        </w:rPr>
        <w:t>j</w:t>
      </w:r>
      <w:r w:rsidR="00FC3AC1">
        <w:rPr>
          <w:rFonts w:cs="Times New Roman"/>
        </w:rPr>
        <w:t>’s</w:t>
      </w:r>
      <w:proofErr w:type="spellEnd"/>
      <w:proofErr w:type="gramEnd"/>
      <w:r w:rsidR="00FC3AC1">
        <w:rPr>
          <w:rFonts w:cs="Times New Roman"/>
        </w:rPr>
        <w:t xml:space="preserve"> were specified a prior of a normal distribution with mean 0 and variance 1,000. The spatial prior, intrinsic Conditional Autoregressive (</w:t>
      </w:r>
      <w:proofErr w:type="spellStart"/>
      <w:r w:rsidR="00FC3AC1">
        <w:rPr>
          <w:rFonts w:cs="Times New Roman"/>
        </w:rPr>
        <w:t>iCAR</w:t>
      </w:r>
      <w:proofErr w:type="spellEnd"/>
      <w:r w:rsidR="00FC3AC1">
        <w:rPr>
          <w:rFonts w:cs="Times New Roman"/>
        </w:rPr>
        <w:t xml:space="preserve">), was specified to the composite sprawl index, </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attempting to capture the spatial structure within sprawl indicators. Specifically, the expected mean of </w:t>
      </w:r>
      <w:bookmarkStart w:id="11" w:name="OLE_LINK7"/>
      <w:bookmarkStart w:id="12" w:name="OLE_LINK8"/>
      <w:proofErr w:type="spellStart"/>
      <w:r w:rsidR="00FC3AC1" w:rsidRPr="00A24B6D">
        <w:rPr>
          <w:rFonts w:cs="Times New Roman"/>
          <w:i/>
        </w:rPr>
        <w:t>θ</w:t>
      </w:r>
      <w:r w:rsidR="00FC3AC1" w:rsidRPr="00A24B6D">
        <w:rPr>
          <w:rFonts w:cs="Times New Roman"/>
          <w:i/>
          <w:vertAlign w:val="subscript"/>
        </w:rPr>
        <w:t>i</w:t>
      </w:r>
      <w:bookmarkEnd w:id="11"/>
      <w:bookmarkEnd w:id="12"/>
      <w:proofErr w:type="spellEnd"/>
      <w:r w:rsidR="00FC3AC1">
        <w:rPr>
          <w:rFonts w:cs="Times New Roman"/>
        </w:rPr>
        <w:t xml:space="preserve"> equals the average values of its neighbo</w:t>
      </w:r>
      <w:r w:rsidR="00692872">
        <w:rPr>
          <w:rFonts w:cs="Times New Roman"/>
        </w:rPr>
        <w:t>u</w:t>
      </w:r>
      <w:r w:rsidR="00FC3AC1">
        <w:rPr>
          <w:rFonts w:cs="Times New Roman"/>
        </w:rPr>
        <w:t xml:space="preserve">rs, and the variance of </w:t>
      </w:r>
      <w:proofErr w:type="spellStart"/>
      <w:proofErr w:type="gramStart"/>
      <w:r w:rsidR="00FC3AC1" w:rsidRPr="00A24B6D">
        <w:rPr>
          <w:rFonts w:cs="Times New Roman"/>
          <w:i/>
        </w:rPr>
        <w:t>θ</w:t>
      </w:r>
      <w:r w:rsidR="00FC3AC1" w:rsidRPr="00A24B6D">
        <w:rPr>
          <w:rFonts w:cs="Times New Roman"/>
          <w:i/>
          <w:vertAlign w:val="subscript"/>
        </w:rPr>
        <w:t>i</w:t>
      </w:r>
      <w:proofErr w:type="spellEnd"/>
      <w:r w:rsidR="00FC3AC1">
        <w:rPr>
          <w:rFonts w:cs="Times New Roman"/>
          <w:i/>
          <w:vertAlign w:val="subscript"/>
        </w:rPr>
        <w:t xml:space="preserve"> </w:t>
      </w:r>
      <w:r w:rsidR="00FC3AC1">
        <w:rPr>
          <w:rFonts w:cs="Times New Roman"/>
        </w:rPr>
        <w:t xml:space="preserve"> is</w:t>
      </w:r>
      <w:proofErr w:type="gramEnd"/>
      <w:r w:rsidR="00FC3AC1">
        <w:rPr>
          <w:rFonts w:cs="Times New Roman"/>
        </w:rPr>
        <w:t xml:space="preserve"> inversely proportional to the number of its neighbo</w:t>
      </w:r>
      <w:r w:rsidR="00692872">
        <w:rPr>
          <w:rFonts w:cs="Times New Roman"/>
        </w:rPr>
        <w:t>u</w:t>
      </w:r>
      <w:r w:rsidR="00FC3AC1">
        <w:rPr>
          <w:rFonts w:cs="Times New Roman"/>
        </w:rPr>
        <w:t>rs, m</w:t>
      </w:r>
      <w:r w:rsidR="00FC3AC1" w:rsidRPr="002E6058">
        <w:rPr>
          <w:rFonts w:cs="Times New Roman"/>
          <w:vertAlign w:val="subscript"/>
        </w:rPr>
        <w:t>i</w:t>
      </w:r>
      <w:r w:rsidR="00FC3AC1">
        <w:rPr>
          <w:rFonts w:cs="Times New Roman"/>
        </w:rPr>
        <w:t>. We applied the most common approach to define neighbo</w:t>
      </w:r>
      <w:r w:rsidR="00692872">
        <w:rPr>
          <w:rFonts w:cs="Times New Roman"/>
        </w:rPr>
        <w:t>u</w:t>
      </w:r>
      <w:r w:rsidR="00FC3AC1">
        <w:rPr>
          <w:rFonts w:cs="Times New Roman"/>
        </w:rPr>
        <w:t xml:space="preserve">rs in small-area analyses: areas sharing at least one vertex. For identifiability reasons, we set the variance of </w:t>
      </w:r>
      <w:r w:rsidR="00FC3AC1" w:rsidRPr="00EB19AA">
        <w:rPr>
          <w:rFonts w:cs="Times New Roman"/>
          <w:b/>
        </w:rPr>
        <w:t>θ</w:t>
      </w:r>
      <w:r w:rsidR="00FC3AC1">
        <w:rPr>
          <w:rFonts w:cs="Times New Roman"/>
          <w:b/>
        </w:rPr>
        <w:t xml:space="preserve"> </w:t>
      </w:r>
      <w:r w:rsidR="00FC3AC1">
        <w:rPr>
          <w:rFonts w:cs="Times New Roman"/>
        </w:rPr>
        <w:t xml:space="preserve">as 1, equivalent to standardizing </w:t>
      </w:r>
      <w:proofErr w:type="spellStart"/>
      <w:r w:rsidR="00FC3AC1" w:rsidRPr="00A24B6D">
        <w:rPr>
          <w:rFonts w:cs="Times New Roman"/>
          <w:i/>
        </w:rPr>
        <w:t>θ</w:t>
      </w:r>
      <w:r w:rsidR="00FC3AC1" w:rsidRPr="00A24B6D">
        <w:rPr>
          <w:rFonts w:cs="Times New Roman"/>
          <w:i/>
          <w:vertAlign w:val="subscript"/>
        </w:rPr>
        <w:t>i</w:t>
      </w:r>
      <w:r w:rsidR="00FC3AC1">
        <w:rPr>
          <w:rFonts w:cs="Times New Roman"/>
        </w:rPr>
        <w:t>’s</w:t>
      </w:r>
      <w:proofErr w:type="spellEnd"/>
      <w:r w:rsidR="00FC3AC1">
        <w:rPr>
          <w:rFonts w:cs="Times New Roman"/>
        </w:rPr>
        <w:t xml:space="preserve">. A vague prior </w:t>
      </w:r>
      <w:proofErr w:type="gramStart"/>
      <w:r w:rsidR="00FC3AC1">
        <w:rPr>
          <w:rFonts w:cs="Times New Roman"/>
        </w:rPr>
        <w:t>Gamma(</w:t>
      </w:r>
      <w:proofErr w:type="gramEnd"/>
      <w:r w:rsidR="00FC3AC1">
        <w:rPr>
          <w:rFonts w:cs="Times New Roman"/>
        </w:rPr>
        <w:t xml:space="preserve">0.5, 0.0005) was specified to the precision of </w:t>
      </w:r>
      <w:proofErr w:type="spellStart"/>
      <w:r w:rsidR="00FC3AC1">
        <w:rPr>
          <w:rFonts w:cs="Times New Roman"/>
        </w:rPr>
        <w:t>Y</w:t>
      </w:r>
      <w:r w:rsidR="00FC3AC1" w:rsidRPr="00EB19AA">
        <w:rPr>
          <w:rFonts w:cs="Times New Roman"/>
          <w:vertAlign w:val="subscript"/>
        </w:rPr>
        <w:t>ij</w:t>
      </w:r>
      <w:proofErr w:type="spellEnd"/>
      <w:r w:rsidR="00FC3AC1">
        <w:rPr>
          <w:rFonts w:cs="Times New Roman"/>
        </w:rPr>
        <w:t xml:space="preserve"> (the inverse of variance </w:t>
      </w:r>
      <w:r w:rsidR="00FC3AC1" w:rsidRPr="00BD0D1A">
        <w:rPr>
          <w:rFonts w:cs="Times New Roman"/>
          <w:position w:val="-12"/>
        </w:rPr>
        <w:object w:dxaOrig="240" w:dyaOrig="320" w14:anchorId="7855D73F">
          <v:shape id="_x0000_i1027" type="#_x0000_t75" style="width:16pt;height:21pt" o:ole="">
            <v:imagedata r:id="rId14" o:title=""/>
          </v:shape>
          <o:OLEObject Type="Embed" ProgID="Equation.DSMT4" ShapeID="_x0000_i1027" DrawAspect="Content" ObjectID="_1646461002" r:id="rId16"/>
        </w:object>
      </w:r>
      <w:r w:rsidR="00FC3AC1">
        <w:rPr>
          <w:rFonts w:cs="Times New Roman"/>
        </w:rPr>
        <w:t>).</w:t>
      </w:r>
    </w:p>
    <w:p w14:paraId="561A8AF5" w14:textId="71211C9D" w:rsidR="00785D7C" w:rsidRPr="00692872" w:rsidRDefault="00692872" w:rsidP="00692872">
      <w:pPr>
        <w:jc w:val="center"/>
        <w:rPr>
          <w:rFonts w:cs="Times New Roman"/>
          <w:position w:val="-120"/>
        </w:rPr>
      </w:pPr>
      <w:r w:rsidRPr="00BD0D1A">
        <w:rPr>
          <w:rFonts w:cs="Times New Roman"/>
          <w:position w:val="-120"/>
        </w:rPr>
        <w:object w:dxaOrig="1840" w:dyaOrig="2480" w14:anchorId="102F77C9">
          <v:shape id="_x0000_i1028" type="#_x0000_t75" style="width:106.5pt;height:143.5pt" o:ole="">
            <v:imagedata r:id="rId17" o:title=""/>
          </v:shape>
          <o:OLEObject Type="Embed" ProgID="Equation.DSMT4" ShapeID="_x0000_i1028" DrawAspect="Content" ObjectID="_1646461003" r:id="rId18"/>
        </w:object>
      </w:r>
      <w:r w:rsidR="00785D7C">
        <w:br w:type="page"/>
      </w:r>
    </w:p>
    <w:p w14:paraId="5351BB3C" w14:textId="77777777" w:rsidR="005412F4" w:rsidRDefault="00785D7C" w:rsidP="00785D7C">
      <w:pPr>
        <w:pStyle w:val="Heading1"/>
      </w:pPr>
      <w:bookmarkStart w:id="13" w:name="_Toc517700808"/>
      <w:r>
        <w:lastRenderedPageBreak/>
        <w:t xml:space="preserve">Chapter 4: </w:t>
      </w:r>
      <w:r w:rsidR="005412F4">
        <w:t>Limitations</w:t>
      </w:r>
      <w:bookmarkEnd w:id="13"/>
    </w:p>
    <w:p w14:paraId="0E237C9A" w14:textId="2054B404" w:rsidR="00FB5EB3" w:rsidRPr="002D05E7" w:rsidRDefault="00FB5EB3">
      <w:pPr>
        <w:rPr>
          <w:lang w:val="en-US"/>
        </w:rPr>
      </w:pPr>
      <w:r>
        <w:t xml:space="preserve">Several limitations of the study should be acknowledged. First, due to data availability issue at the national scale, we included 9 sprawl indicators only. Some indicators used in other studies, especially in North American studies, such as </w:t>
      </w:r>
      <w:r w:rsidR="008A7B50">
        <w:t xml:space="preserve">job-population mixing and degree of job mixing </w:t>
      </w:r>
      <w:r w:rsidR="008A7B50">
        <w:fldChar w:fldCharType="begin" w:fldLock="1"/>
      </w:r>
      <w:r w:rsidR="008A7B50">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"id" : "ITEM-2",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"ITEM-2",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et al., 2014, 2003)", "plainTextFormattedCitation" : "(Ewing et al., 2014, 2003)" }, "properties" : { "noteIndex" : 0 }, "schema" : "https://github.com/citation-style-language/schema/raw/master/csl-citation.json" }</w:instrText>
      </w:r>
      <w:r w:rsidR="008A7B50">
        <w:fldChar w:fldCharType="separate"/>
      </w:r>
      <w:r w:rsidR="008A7B50" w:rsidRPr="008A7B50">
        <w:rPr>
          <w:noProof/>
        </w:rPr>
        <w:t>(Ewing et al., 2014, 2003)</w:t>
      </w:r>
      <w:r w:rsidR="008A7B50">
        <w:fldChar w:fldCharType="end"/>
      </w:r>
      <w:r w:rsidR="008A7B50">
        <w:t xml:space="preserve"> are not </w:t>
      </w:r>
      <w:r w:rsidR="00415528">
        <w:t>included in developing the composite</w:t>
      </w:r>
      <w:r w:rsidR="008A7B50">
        <w:t xml:space="preserve"> sprawl index. </w:t>
      </w:r>
      <w:r w:rsidR="00415528">
        <w:t xml:space="preserve">Second, we used six land use types, namely, </w:t>
      </w:r>
      <w:r w:rsidR="00415528" w:rsidRPr="005C3063">
        <w:rPr>
          <w:i/>
        </w:rPr>
        <w:t>residential</w:t>
      </w:r>
      <w:r w:rsidR="00415528">
        <w:t xml:space="preserve">, </w:t>
      </w:r>
      <w:r w:rsidR="00415528" w:rsidRPr="005C3063">
        <w:rPr>
          <w:i/>
        </w:rPr>
        <w:t>commercial</w:t>
      </w:r>
      <w:r w:rsidR="00415528">
        <w:t xml:space="preserve">, </w:t>
      </w:r>
      <w:r w:rsidR="00415528" w:rsidRPr="005C3063">
        <w:rPr>
          <w:i/>
        </w:rPr>
        <w:t>government and institutional</w:t>
      </w:r>
      <w:r w:rsidR="00415528">
        <w:t xml:space="preserve">, </w:t>
      </w:r>
      <w:r w:rsidR="00415528" w:rsidRPr="005C3063">
        <w:rPr>
          <w:i/>
        </w:rPr>
        <w:t>op</w:t>
      </w:r>
      <w:r w:rsidR="005C3063" w:rsidRPr="005C3063">
        <w:rPr>
          <w:i/>
        </w:rPr>
        <w:t>en area</w:t>
      </w:r>
      <w:r w:rsidR="005C3063">
        <w:t xml:space="preserve">, </w:t>
      </w:r>
      <w:r w:rsidR="005C3063" w:rsidRPr="005C3063">
        <w:rPr>
          <w:i/>
        </w:rPr>
        <w:t>parks and recreational</w:t>
      </w:r>
      <w:r w:rsidR="005C3063">
        <w:t xml:space="preserve">, and </w:t>
      </w:r>
      <w:r w:rsidR="005C3063" w:rsidRPr="005C3063">
        <w:rPr>
          <w:i/>
        </w:rPr>
        <w:t>resource and industrial</w:t>
      </w:r>
      <w:r w:rsidR="005C3063">
        <w:t xml:space="preserve"> to calculate land use mix. While there is no consistency </w:t>
      </w:r>
      <w:r w:rsidR="00BB3C2B">
        <w:t>in terms of</w:t>
      </w:r>
      <w:r w:rsidR="005C3063">
        <w:t xml:space="preserve"> the inclusion of land types </w:t>
      </w:r>
      <w:r w:rsidR="00BB3C2B">
        <w:t>to calculate land use mix, we selected these types based on data availability and past literature that explored the association between health and land use mix. Future research exploring how different land type inclusions impact the results is warranted.</w:t>
      </w:r>
    </w:p>
    <w:p w14:paraId="0188CBA9" w14:textId="026FDE84" w:rsidR="005412F4" w:rsidRDefault="005412F4">
      <w:pPr>
        <w:rPr>
          <w:rFonts w:asciiTheme="majorHAnsi" w:eastAsia="Times New Roman" w:hAnsiTheme="majorHAnsi" w:cs="Times New Roman"/>
          <w:b/>
          <w:bCs/>
          <w:kern w:val="36"/>
          <w:sz w:val="24"/>
          <w:szCs w:val="48"/>
          <w:lang w:eastAsia="en-CA"/>
        </w:rPr>
      </w:pPr>
      <w:r>
        <w:br w:type="page"/>
      </w:r>
    </w:p>
    <w:p w14:paraId="77F9C438" w14:textId="2D10724A" w:rsidR="008A7B50" w:rsidRDefault="005412F4" w:rsidP="00785D7C">
      <w:pPr>
        <w:pStyle w:val="Heading1"/>
      </w:pPr>
      <w:bookmarkStart w:id="14" w:name="_Toc517700809"/>
      <w:r>
        <w:lastRenderedPageBreak/>
        <w:t>Chapter 5: Metadata</w:t>
      </w:r>
      <w:bookmarkEnd w:id="14"/>
    </w:p>
    <w:p w14:paraId="596BD741" w14:textId="7F8ABEAD" w:rsidR="00A50BBC" w:rsidRDefault="00A50BBC" w:rsidP="00A50BBC">
      <w:r>
        <w:t xml:space="preserve">The CANUE website provides the final composite sprawl </w:t>
      </w:r>
      <w:r w:rsidR="00D45D4D">
        <w:t>index</w:t>
      </w:r>
      <w:r>
        <w:t xml:space="preserve"> for each Census Tract as well as the </w:t>
      </w:r>
      <w:r w:rsidR="00D45D4D">
        <w:t>indicators used to create the index (in a CSV file).</w:t>
      </w:r>
      <w:r w:rsidR="00FC7A6C">
        <w:t xml:space="preserve"> In total, 11 variables are provided by CANUE.</w:t>
      </w:r>
      <w:r w:rsidR="00D45D4D">
        <w:t xml:space="preserve"> Table 2 shows the name </w:t>
      </w:r>
      <w:r w:rsidR="00767151">
        <w:t xml:space="preserve">and a short description </w:t>
      </w:r>
      <w:r w:rsidR="00D45D4D">
        <w:t>of each variable</w:t>
      </w:r>
      <w:r w:rsidR="00767151">
        <w:t>.</w:t>
      </w:r>
    </w:p>
    <w:tbl>
      <w:tblPr>
        <w:tblStyle w:val="TableGrid"/>
        <w:tblW w:w="0" w:type="auto"/>
        <w:tblLook w:val="04A0" w:firstRow="1" w:lastRow="0" w:firstColumn="1" w:lastColumn="0" w:noHBand="0" w:noVBand="1"/>
      </w:tblPr>
      <w:tblGrid>
        <w:gridCol w:w="1615"/>
        <w:gridCol w:w="7735"/>
      </w:tblGrid>
      <w:tr w:rsidR="00767151" w14:paraId="4F51E2D6" w14:textId="77777777" w:rsidTr="009F14FA">
        <w:tc>
          <w:tcPr>
            <w:tcW w:w="1615" w:type="dxa"/>
          </w:tcPr>
          <w:p w14:paraId="43699608" w14:textId="5A7EFCC2" w:rsidR="00767151" w:rsidRDefault="00767151" w:rsidP="00A50BBC">
            <w:r>
              <w:t>Variable Name</w:t>
            </w:r>
          </w:p>
        </w:tc>
        <w:tc>
          <w:tcPr>
            <w:tcW w:w="7735" w:type="dxa"/>
          </w:tcPr>
          <w:p w14:paraId="44AD819B" w14:textId="4496D45E" w:rsidR="00767151" w:rsidRDefault="00767151" w:rsidP="00A50BBC">
            <w:r>
              <w:t>Description</w:t>
            </w:r>
          </w:p>
        </w:tc>
      </w:tr>
      <w:tr w:rsidR="00767151" w14:paraId="7B8ECA9C" w14:textId="77777777" w:rsidTr="009F14FA">
        <w:tc>
          <w:tcPr>
            <w:tcW w:w="1615" w:type="dxa"/>
          </w:tcPr>
          <w:p w14:paraId="1378092E" w14:textId="2E1249C6" w:rsidR="00767151" w:rsidRDefault="00A81487" w:rsidP="00A50BBC">
            <w:r>
              <w:t>sprawl</w:t>
            </w:r>
          </w:p>
        </w:tc>
        <w:tc>
          <w:tcPr>
            <w:tcW w:w="7735" w:type="dxa"/>
          </w:tcPr>
          <w:p w14:paraId="7F04F097" w14:textId="5277B2C8" w:rsidR="00767151" w:rsidRDefault="009F14FA" w:rsidP="009F14FA">
            <w:r>
              <w:t>Standardized c</w:t>
            </w:r>
            <w:r w:rsidR="00522413">
              <w:t>omposite sprawl score of a CT</w:t>
            </w:r>
            <w:r w:rsidR="005A1AC1">
              <w:t>, wi</w:t>
            </w:r>
            <w:r>
              <w:t>th mean zero and standard deviation one</w:t>
            </w:r>
          </w:p>
        </w:tc>
      </w:tr>
      <w:tr w:rsidR="00A81487" w14:paraId="11897865" w14:textId="77777777" w:rsidTr="009F14FA">
        <w:tc>
          <w:tcPr>
            <w:tcW w:w="1615" w:type="dxa"/>
          </w:tcPr>
          <w:p w14:paraId="4008F3B4" w14:textId="320C27A0" w:rsidR="00A81487" w:rsidRDefault="00A81487" w:rsidP="00A50BBC">
            <w:r>
              <w:t>lower</w:t>
            </w:r>
          </w:p>
        </w:tc>
        <w:tc>
          <w:tcPr>
            <w:tcW w:w="7735" w:type="dxa"/>
          </w:tcPr>
          <w:p w14:paraId="327A1BCE" w14:textId="755B2D59" w:rsidR="00A81487" w:rsidRDefault="009F14FA" w:rsidP="00A50BBC">
            <w:r>
              <w:t>The lower bound of the 95% credible interval of the sprawl score</w:t>
            </w:r>
          </w:p>
        </w:tc>
      </w:tr>
      <w:tr w:rsidR="00A81487" w14:paraId="335B3C37" w14:textId="77777777" w:rsidTr="009F14FA">
        <w:tc>
          <w:tcPr>
            <w:tcW w:w="1615" w:type="dxa"/>
          </w:tcPr>
          <w:p w14:paraId="5506564E" w14:textId="76935EEA" w:rsidR="00A81487" w:rsidRDefault="00A81487" w:rsidP="00A50BBC">
            <w:r>
              <w:t>median</w:t>
            </w:r>
          </w:p>
        </w:tc>
        <w:tc>
          <w:tcPr>
            <w:tcW w:w="7735" w:type="dxa"/>
          </w:tcPr>
          <w:p w14:paraId="6F29D848" w14:textId="3CF9792C" w:rsidR="00A81487" w:rsidRDefault="009F14FA" w:rsidP="00A50BBC">
            <w:r>
              <w:t>The median of the sprawl score</w:t>
            </w:r>
          </w:p>
        </w:tc>
      </w:tr>
      <w:tr w:rsidR="00A81487" w14:paraId="63D9D4BE" w14:textId="77777777" w:rsidTr="009F14FA">
        <w:tc>
          <w:tcPr>
            <w:tcW w:w="1615" w:type="dxa"/>
          </w:tcPr>
          <w:p w14:paraId="4FC9D56E" w14:textId="66AA9649" w:rsidR="00A81487" w:rsidRDefault="00A81487" w:rsidP="00A50BBC">
            <w:r>
              <w:t>upper</w:t>
            </w:r>
          </w:p>
        </w:tc>
        <w:tc>
          <w:tcPr>
            <w:tcW w:w="7735" w:type="dxa"/>
          </w:tcPr>
          <w:p w14:paraId="0D0DC20B" w14:textId="33ACF467" w:rsidR="00A81487" w:rsidRDefault="009F14FA" w:rsidP="009F14FA">
            <w:r>
              <w:t xml:space="preserve">The </w:t>
            </w:r>
            <w:r>
              <w:t>upper</w:t>
            </w:r>
            <w:r>
              <w:t xml:space="preserve"> bound of the 95% credible interval of the sprawl score</w:t>
            </w:r>
          </w:p>
        </w:tc>
      </w:tr>
    </w:tbl>
    <w:p w14:paraId="666B4322" w14:textId="77777777" w:rsidR="00767151" w:rsidRDefault="00767151" w:rsidP="00A50BBC"/>
    <w:p w14:paraId="631EEEAE" w14:textId="21F8640C" w:rsidR="00D45D4D" w:rsidRDefault="00D45D4D" w:rsidP="00A50BBC"/>
    <w:p w14:paraId="6AFD5DCB" w14:textId="77777777" w:rsidR="008A7B50" w:rsidRDefault="008A7B50">
      <w:pPr>
        <w:rPr>
          <w:rFonts w:asciiTheme="majorHAnsi" w:eastAsia="Times New Roman" w:hAnsiTheme="majorHAnsi" w:cs="Times New Roman"/>
          <w:b/>
          <w:bCs/>
          <w:kern w:val="36"/>
          <w:sz w:val="24"/>
          <w:szCs w:val="48"/>
          <w:lang w:eastAsia="en-CA"/>
        </w:rPr>
      </w:pPr>
      <w:r>
        <w:br w:type="page"/>
      </w:r>
    </w:p>
    <w:p w14:paraId="38B25916" w14:textId="318CFA56" w:rsidR="006662B3" w:rsidRDefault="008A7B50" w:rsidP="00785D7C">
      <w:pPr>
        <w:pStyle w:val="Heading1"/>
      </w:pPr>
      <w:bookmarkStart w:id="15" w:name="_Toc517700810"/>
      <w:r>
        <w:lastRenderedPageBreak/>
        <w:t>References</w:t>
      </w:r>
      <w:bookmarkEnd w:id="15"/>
    </w:p>
    <w:p w14:paraId="0ACCBF7D" w14:textId="1B227B2E"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fldChar w:fldCharType="begin" w:fldLock="1"/>
      </w:r>
      <w:r>
        <w:instrText xml:space="preserve">ADDIN Mendeley Bibliography CSL_BIBLIOGRAPHY </w:instrText>
      </w:r>
      <w:r>
        <w:fldChar w:fldCharType="separate"/>
      </w:r>
      <w:r w:rsidRPr="008A7B50">
        <w:rPr>
          <w:rFonts w:ascii="Calibri Light" w:hAnsi="Calibri Light" w:cs="Calibri Light"/>
          <w:noProof/>
          <w:sz w:val="24"/>
          <w:szCs w:val="24"/>
        </w:rPr>
        <w:t xml:space="preserve">Arribas-Bel, D., Nijkamp, P., &amp; Scholten, H. (2011). Multidimensional urban sprawl in Europe: A self-organizing map approach. </w:t>
      </w:r>
      <w:r w:rsidRPr="008A7B50">
        <w:rPr>
          <w:rFonts w:ascii="Calibri Light" w:hAnsi="Calibri Light" w:cs="Calibri Light"/>
          <w:i/>
          <w:iCs/>
          <w:noProof/>
          <w:sz w:val="24"/>
          <w:szCs w:val="24"/>
        </w:rPr>
        <w:t>Computers, Environment and Urban Systems</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35</w:t>
      </w:r>
      <w:r w:rsidRPr="008A7B50">
        <w:rPr>
          <w:rFonts w:ascii="Calibri Light" w:hAnsi="Calibri Light" w:cs="Calibri Light"/>
          <w:noProof/>
          <w:sz w:val="24"/>
          <w:szCs w:val="24"/>
        </w:rPr>
        <w:t>(4), 263–275. http://doi.org/10.1016/j.compenvurbsys.2010.10.002</w:t>
      </w:r>
    </w:p>
    <w:p w14:paraId="6BDAE810"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Brown, T. A. (2015). </w:t>
      </w:r>
      <w:r w:rsidRPr="008A7B50">
        <w:rPr>
          <w:rFonts w:ascii="Calibri Light" w:hAnsi="Calibri Light" w:cs="Calibri Light"/>
          <w:i/>
          <w:iCs/>
          <w:noProof/>
          <w:sz w:val="24"/>
          <w:szCs w:val="24"/>
        </w:rPr>
        <w:t>Confirmatory Factor Analysis for Applied Research</w:t>
      </w:r>
      <w:r w:rsidRPr="008A7B50">
        <w:rPr>
          <w:rFonts w:ascii="Calibri Light" w:hAnsi="Calibri Light" w:cs="Calibri Light"/>
          <w:noProof/>
          <w:sz w:val="24"/>
          <w:szCs w:val="24"/>
        </w:rPr>
        <w:t xml:space="preserve"> (Second Edi). New York: The Guilford Press.</w:t>
      </w:r>
    </w:p>
    <w:p w14:paraId="48059CDB"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Brownson, R. C., &amp; Berrigan, D. (2006). Relationship Between Urban Sprawl and Weight of United States Youth. </w:t>
      </w:r>
      <w:r w:rsidRPr="008A7B50">
        <w:rPr>
          <w:rFonts w:ascii="Calibri Light" w:hAnsi="Calibri Light" w:cs="Calibri Light"/>
          <w:i/>
          <w:iCs/>
          <w:noProof/>
          <w:sz w:val="24"/>
          <w:szCs w:val="24"/>
        </w:rPr>
        <w:t>American Journal of Preventive Medicine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31</w:t>
      </w:r>
      <w:r w:rsidRPr="008A7B50">
        <w:rPr>
          <w:rFonts w:ascii="Calibri Light" w:hAnsi="Calibri Light" w:cs="Calibri Light"/>
          <w:noProof/>
          <w:sz w:val="24"/>
          <w:szCs w:val="24"/>
        </w:rPr>
        <w:t>(6), 464–474. http://doi.org/10.1016/j.amepre.2006.08.020</w:t>
      </w:r>
    </w:p>
    <w:p w14:paraId="1A5F5EE5"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&amp; Dumbaugh, E. (2009). The Built Environment and Traffic Safety A Review of Empirical Evidence. </w:t>
      </w:r>
      <w:r w:rsidRPr="008A7B50">
        <w:rPr>
          <w:rFonts w:ascii="Calibri Light" w:hAnsi="Calibri Light" w:cs="Calibri Light"/>
          <w:i/>
          <w:iCs/>
          <w:noProof/>
          <w:sz w:val="24"/>
          <w:szCs w:val="24"/>
        </w:rPr>
        <w:t>Journal of Planning Literature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23</w:t>
      </w:r>
      <w:r w:rsidRPr="008A7B50">
        <w:rPr>
          <w:rFonts w:ascii="Calibri Light" w:hAnsi="Calibri Light" w:cs="Calibri Light"/>
          <w:noProof/>
          <w:sz w:val="24"/>
          <w:szCs w:val="24"/>
        </w:rPr>
        <w:t>(4), 347–367. http://doi.org/10.1177/0885412209335553</w:t>
      </w:r>
    </w:p>
    <w:p w14:paraId="57C828CB"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&amp; Hamidi, S. (2015). Compactness versus Sprawl: A Review of Recent Evidence from the United States. </w:t>
      </w:r>
      <w:r w:rsidRPr="008A7B50">
        <w:rPr>
          <w:rFonts w:ascii="Calibri Light" w:hAnsi="Calibri Light" w:cs="Calibri Light"/>
          <w:i/>
          <w:iCs/>
          <w:noProof/>
          <w:sz w:val="24"/>
          <w:szCs w:val="24"/>
        </w:rPr>
        <w:t>Journal of Planning Literature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30</w:t>
      </w:r>
      <w:r w:rsidRPr="008A7B50">
        <w:rPr>
          <w:rFonts w:ascii="Calibri Light" w:hAnsi="Calibri Light" w:cs="Calibri Light"/>
          <w:noProof/>
          <w:sz w:val="24"/>
          <w:szCs w:val="24"/>
        </w:rPr>
        <w:t>(4), 413–432. http://doi.org/10.1177/0885412215595439</w:t>
      </w:r>
    </w:p>
    <w:p w14:paraId="34D1D707"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Meakins, G., Hamidi, S., &amp; Nelson, A. C. (2014). Relationship between urban sprawl and physical activity, obesity, and morbidity - Update and refinement. </w:t>
      </w:r>
      <w:r w:rsidRPr="008A7B50">
        <w:rPr>
          <w:rFonts w:ascii="Calibri Light" w:hAnsi="Calibri Light" w:cs="Calibri Light"/>
          <w:i/>
          <w:iCs/>
          <w:noProof/>
          <w:sz w:val="24"/>
          <w:szCs w:val="24"/>
        </w:rPr>
        <w:t>Health and Place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26</w:t>
      </w:r>
      <w:r w:rsidRPr="008A7B50">
        <w:rPr>
          <w:rFonts w:ascii="Calibri Light" w:hAnsi="Calibri Light" w:cs="Calibri Light"/>
          <w:noProof/>
          <w:sz w:val="24"/>
          <w:szCs w:val="24"/>
        </w:rPr>
        <w:t>, 118–126. http://doi.org/10.1016/j.healthplace.2013.12.008</w:t>
      </w:r>
    </w:p>
    <w:p w14:paraId="7132F4DE"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Pendall, R., &amp; Chen, D. (2002). </w:t>
      </w:r>
      <w:r w:rsidRPr="008A7B50">
        <w:rPr>
          <w:rFonts w:ascii="Calibri Light" w:hAnsi="Calibri Light" w:cs="Calibri Light"/>
          <w:i/>
          <w:iCs/>
          <w:noProof/>
          <w:sz w:val="24"/>
          <w:szCs w:val="24"/>
        </w:rPr>
        <w:t>Measuring Sprawl and Its Impact</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Smart Growth America</w:t>
      </w:r>
      <w:r w:rsidRPr="008A7B50">
        <w:rPr>
          <w:rFonts w:ascii="Calibri Light" w:hAnsi="Calibri Light" w:cs="Calibri Light"/>
          <w:noProof/>
          <w:sz w:val="24"/>
          <w:szCs w:val="24"/>
        </w:rPr>
        <w:t>. http://doi.org/Cited By (since 1996) 164\rExport Date 14 August 2012</w:t>
      </w:r>
    </w:p>
    <w:p w14:paraId="4AE8D3DF"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Schmid, T., Killingsworth, R., Zlot, A., &amp; Raudenbush, S. (2003). Relationship between urban sprawl and physical activity, obesity, and morbidity. </w:t>
      </w:r>
      <w:r w:rsidRPr="008A7B50">
        <w:rPr>
          <w:rFonts w:ascii="Calibri Light" w:hAnsi="Calibri Light" w:cs="Calibri Light"/>
          <w:i/>
          <w:iCs/>
          <w:noProof/>
          <w:sz w:val="24"/>
          <w:szCs w:val="24"/>
        </w:rPr>
        <w:t>American Journal of Health Promotion</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18</w:t>
      </w:r>
      <w:r w:rsidRPr="008A7B50">
        <w:rPr>
          <w:rFonts w:ascii="Calibri Light" w:hAnsi="Calibri Light" w:cs="Calibri Light"/>
          <w:noProof/>
          <w:sz w:val="24"/>
          <w:szCs w:val="24"/>
        </w:rPr>
        <w:t>(1), 47–57.</w:t>
      </w:r>
    </w:p>
    <w:p w14:paraId="6114E927"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Frenkel, A., &amp; Ashkenazi, M. (2008). Measuring urban sprawl: How can we deal with it? </w:t>
      </w:r>
      <w:r w:rsidRPr="008A7B50">
        <w:rPr>
          <w:rFonts w:ascii="Calibri Light" w:hAnsi="Calibri Light" w:cs="Calibri Light"/>
          <w:i/>
          <w:iCs/>
          <w:noProof/>
          <w:sz w:val="24"/>
          <w:szCs w:val="24"/>
        </w:rPr>
        <w:t>Environment and Planning B: Urban Analytics and City Science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35</w:t>
      </w:r>
      <w:r w:rsidRPr="008A7B50">
        <w:rPr>
          <w:rFonts w:ascii="Calibri Light" w:hAnsi="Calibri Light" w:cs="Calibri Light"/>
          <w:noProof/>
          <w:sz w:val="24"/>
          <w:szCs w:val="24"/>
        </w:rPr>
        <w:t>(1), 56–79. http://doi.org/10.1068/b32155</w:t>
      </w:r>
    </w:p>
    <w:p w14:paraId="7A416085"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Frumkin, H. (2002). Urban Sprawl and Public Health. </w:t>
      </w:r>
      <w:r w:rsidRPr="008A7B50">
        <w:rPr>
          <w:rFonts w:ascii="Calibri Light" w:hAnsi="Calibri Light" w:cs="Calibri Light"/>
          <w:i/>
          <w:iCs/>
          <w:noProof/>
          <w:sz w:val="24"/>
          <w:szCs w:val="24"/>
        </w:rPr>
        <w:t>Public Health Reports</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117</w:t>
      </w:r>
      <w:r w:rsidRPr="008A7B50">
        <w:rPr>
          <w:rFonts w:ascii="Calibri Light" w:hAnsi="Calibri Light" w:cs="Calibri Light"/>
          <w:noProof/>
          <w:sz w:val="24"/>
          <w:szCs w:val="24"/>
        </w:rPr>
        <w:t>(3), 201–217. http://doi.org/10.1177/1476127005050030</w:t>
      </w:r>
    </w:p>
    <w:p w14:paraId="3920C8FA"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Galster, G., Hanson, R., Ratcliffe, M. R., Wolman, H., Coleman, S., &amp; Freihage, J. (2001). Wrestling Sprawl to the Ground: Defining and measuring an elusive concept. </w:t>
      </w:r>
      <w:r w:rsidRPr="008A7B50">
        <w:rPr>
          <w:rFonts w:ascii="Calibri Light" w:hAnsi="Calibri Light" w:cs="Calibri Light"/>
          <w:i/>
          <w:iCs/>
          <w:noProof/>
          <w:sz w:val="24"/>
          <w:szCs w:val="24"/>
        </w:rPr>
        <w:t>Housing Policy Debate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12</w:t>
      </w:r>
      <w:r w:rsidRPr="008A7B50">
        <w:rPr>
          <w:rFonts w:ascii="Calibri Light" w:hAnsi="Calibri Light" w:cs="Calibri Light"/>
          <w:noProof/>
          <w:sz w:val="24"/>
          <w:szCs w:val="24"/>
        </w:rPr>
        <w:t>(4), 681–717. http://doi.org/10.1080/10511482.2001.9521426</w:t>
      </w:r>
    </w:p>
    <w:p w14:paraId="39CADFA2"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Griffin, B. A., Eibner, C., Bird, C. E., Jewell, A., Margolis, K., Shih, R., … Escarce, J. J. (2013). The relationship between urban sprawl and coronary heart disease in women. </w:t>
      </w:r>
      <w:r w:rsidRPr="008A7B50">
        <w:rPr>
          <w:rFonts w:ascii="Calibri Light" w:hAnsi="Calibri Light" w:cs="Calibri Light"/>
          <w:i/>
          <w:iCs/>
          <w:noProof/>
          <w:sz w:val="24"/>
          <w:szCs w:val="24"/>
        </w:rPr>
        <w:t>Health &amp; Place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20</w:t>
      </w:r>
      <w:r w:rsidRPr="008A7B50">
        <w:rPr>
          <w:rFonts w:ascii="Calibri Light" w:hAnsi="Calibri Light" w:cs="Calibri Light"/>
          <w:noProof/>
          <w:sz w:val="24"/>
          <w:szCs w:val="24"/>
        </w:rPr>
        <w:t>, 51–61. http://doi.org/10.1016/j.healthplace.2012.11.003</w:t>
      </w:r>
    </w:p>
    <w:p w14:paraId="36F22843"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Knaap, G.-J., Song, Y., Ewing, R., &amp; Clifton, K. (2005). Seeing the Elephant : Multi-disciplinary Measures of Urban Sprawl. </w:t>
      </w:r>
      <w:r w:rsidRPr="008A7B50">
        <w:rPr>
          <w:rFonts w:ascii="Calibri Light" w:hAnsi="Calibri Light" w:cs="Calibri Light"/>
          <w:i/>
          <w:iCs/>
          <w:noProof/>
          <w:sz w:val="24"/>
          <w:szCs w:val="24"/>
        </w:rPr>
        <w:t>Landscape Ecology</w:t>
      </w:r>
      <w:r w:rsidRPr="008A7B50">
        <w:rPr>
          <w:rFonts w:ascii="Calibri Light" w:hAnsi="Calibri Light" w:cs="Calibri Light"/>
          <w:noProof/>
          <w:sz w:val="24"/>
          <w:szCs w:val="24"/>
        </w:rPr>
        <w:t>, 1–46. http://doi.org/Yes</w:t>
      </w:r>
    </w:p>
    <w:p w14:paraId="02FF6716"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rPr>
      </w:pPr>
      <w:r w:rsidRPr="008A7B50">
        <w:rPr>
          <w:rFonts w:ascii="Calibri Light" w:hAnsi="Calibri Light" w:cs="Calibri Light"/>
          <w:noProof/>
          <w:sz w:val="24"/>
          <w:szCs w:val="24"/>
        </w:rPr>
        <w:lastRenderedPageBreak/>
        <w:t xml:space="preserve">Ross, N. a, Tremblay, S., Khan, S., Crouse, D., Tremblay, M., &amp; Berthelot, J.-M. (2007). Body mass index in urban Canada: neighborhood and metropolitan area effects. </w:t>
      </w:r>
      <w:r w:rsidRPr="008A7B50">
        <w:rPr>
          <w:rFonts w:ascii="Calibri Light" w:hAnsi="Calibri Light" w:cs="Calibri Light"/>
          <w:i/>
          <w:iCs/>
          <w:noProof/>
          <w:sz w:val="24"/>
          <w:szCs w:val="24"/>
        </w:rPr>
        <w:t>American Journal of Public Health</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97</w:t>
      </w:r>
      <w:r w:rsidRPr="008A7B50">
        <w:rPr>
          <w:rFonts w:ascii="Calibri Light" w:hAnsi="Calibri Light" w:cs="Calibri Light"/>
          <w:noProof/>
          <w:sz w:val="24"/>
          <w:szCs w:val="24"/>
        </w:rPr>
        <w:t>(3), 500–8. http://doi.org/10.2105/AJPH.2004.060954</w:t>
      </w:r>
    </w:p>
    <w:p w14:paraId="7BDEE891" w14:textId="729AF88D" w:rsidR="008A7B50" w:rsidRDefault="008A7B50" w:rsidP="00785D7C">
      <w:pPr>
        <w:pStyle w:val="Heading1"/>
      </w:pPr>
      <w:r>
        <w:fldChar w:fldCharType="end"/>
      </w:r>
    </w:p>
    <w:p w14:paraId="43E99088" w14:textId="77777777" w:rsidR="00785D7C" w:rsidRDefault="00785D7C" w:rsidP="00785D7C"/>
    <w:sectPr w:rsidR="00785D7C" w:rsidSect="00FC67E9">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5B583" w14:textId="77777777" w:rsidR="00BE233A" w:rsidRDefault="00BE233A" w:rsidP="004B0858">
      <w:pPr>
        <w:spacing w:after="0" w:line="240" w:lineRule="auto"/>
      </w:pPr>
      <w:r>
        <w:separator/>
      </w:r>
    </w:p>
  </w:endnote>
  <w:endnote w:type="continuationSeparator" w:id="0">
    <w:p w14:paraId="51D01782" w14:textId="77777777" w:rsidR="00BE233A" w:rsidRDefault="00BE233A" w:rsidP="004B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009739"/>
      <w:docPartObj>
        <w:docPartGallery w:val="Page Numbers (Bottom of Page)"/>
        <w:docPartUnique/>
      </w:docPartObj>
    </w:sdtPr>
    <w:sdtEndPr>
      <w:rPr>
        <w:color w:val="808080" w:themeColor="background1" w:themeShade="80"/>
        <w:spacing w:val="60"/>
        <w:sz w:val="20"/>
        <w:szCs w:val="20"/>
      </w:rPr>
    </w:sdtEndPr>
    <w:sdtContent>
      <w:p w14:paraId="02EE4443" w14:textId="2C8A5CF9" w:rsidR="00415528" w:rsidRPr="002078F0" w:rsidRDefault="00415528" w:rsidP="002078F0">
        <w:pPr>
          <w:pStyle w:val="Footer"/>
          <w:pBdr>
            <w:top w:val="single" w:sz="4" w:space="1" w:color="D9D9D9" w:themeColor="background1" w:themeShade="D9"/>
          </w:pBdr>
          <w:tabs>
            <w:tab w:val="clear" w:pos="4680"/>
          </w:tabs>
          <w:rPr>
            <w:sz w:val="20"/>
            <w:szCs w:val="20"/>
          </w:rPr>
        </w:pPr>
        <w:r w:rsidRPr="002078F0">
          <w:rPr>
            <w:sz w:val="20"/>
            <w:szCs w:val="20"/>
          </w:rPr>
          <w:t>CANADIAN URBAN ENVIRONMENTAL HEALTH RESEARCH CONSORTIUM</w:t>
        </w:r>
        <w:r w:rsidRPr="002078F0">
          <w:rPr>
            <w:sz w:val="20"/>
            <w:szCs w:val="20"/>
          </w:rPr>
          <w:tab/>
          <w:t xml:space="preserve"> </w:t>
        </w:r>
        <w:r w:rsidRPr="002078F0">
          <w:rPr>
            <w:sz w:val="20"/>
            <w:szCs w:val="20"/>
          </w:rPr>
          <w:fldChar w:fldCharType="begin"/>
        </w:r>
        <w:r w:rsidRPr="002078F0">
          <w:rPr>
            <w:sz w:val="20"/>
            <w:szCs w:val="20"/>
          </w:rPr>
          <w:instrText xml:space="preserve"> PAGE   \* MERGEFORMAT </w:instrText>
        </w:r>
        <w:r w:rsidRPr="002078F0">
          <w:rPr>
            <w:sz w:val="20"/>
            <w:szCs w:val="20"/>
          </w:rPr>
          <w:fldChar w:fldCharType="separate"/>
        </w:r>
        <w:r w:rsidR="00EB7B7E">
          <w:rPr>
            <w:noProof/>
            <w:sz w:val="20"/>
            <w:szCs w:val="20"/>
          </w:rPr>
          <w:t>i</w:t>
        </w:r>
        <w:r w:rsidRPr="002078F0">
          <w:rPr>
            <w:noProof/>
            <w:sz w:val="20"/>
            <w:szCs w:val="20"/>
          </w:rPr>
          <w:fldChar w:fldCharType="end"/>
        </w:r>
        <w:r w:rsidRPr="002078F0">
          <w:rPr>
            <w:sz w:val="20"/>
            <w:szCs w:val="20"/>
          </w:rPr>
          <w:t xml:space="preserve"> | </w:t>
        </w:r>
        <w:r w:rsidRPr="002078F0">
          <w:rPr>
            <w:color w:val="808080" w:themeColor="background1" w:themeShade="80"/>
            <w:spacing w:val="60"/>
            <w:sz w:val="20"/>
            <w:szCs w:val="20"/>
          </w:rPr>
          <w:t>Page</w:t>
        </w:r>
      </w:p>
    </w:sdtContent>
  </w:sdt>
  <w:p w14:paraId="09BD5F50" w14:textId="77777777" w:rsidR="00415528" w:rsidRDefault="00415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009740"/>
      <w:docPartObj>
        <w:docPartGallery w:val="Page Numbers (Bottom of Page)"/>
        <w:docPartUnique/>
      </w:docPartObj>
    </w:sdtPr>
    <w:sdtEndPr>
      <w:rPr>
        <w:color w:val="808080" w:themeColor="background1" w:themeShade="80"/>
        <w:spacing w:val="60"/>
        <w:sz w:val="20"/>
        <w:szCs w:val="20"/>
      </w:rPr>
    </w:sdtEndPr>
    <w:sdtContent>
      <w:p w14:paraId="729922F8" w14:textId="3D9D3AFE" w:rsidR="00415528" w:rsidRPr="002078F0" w:rsidRDefault="00415528" w:rsidP="002078F0">
        <w:pPr>
          <w:pStyle w:val="Footer"/>
          <w:pBdr>
            <w:top w:val="single" w:sz="4" w:space="1" w:color="D9D9D9" w:themeColor="background1" w:themeShade="D9"/>
          </w:pBdr>
          <w:tabs>
            <w:tab w:val="clear" w:pos="4680"/>
          </w:tabs>
          <w:rPr>
            <w:sz w:val="20"/>
            <w:szCs w:val="20"/>
          </w:rPr>
        </w:pPr>
        <w:r w:rsidRPr="002078F0">
          <w:rPr>
            <w:sz w:val="20"/>
            <w:szCs w:val="20"/>
          </w:rPr>
          <w:t>CANADIAN URBAN ENVIRONMENTAL HEALTH RESEARCH CONSORTIUM</w:t>
        </w:r>
        <w:r w:rsidRPr="002078F0">
          <w:rPr>
            <w:sz w:val="20"/>
            <w:szCs w:val="20"/>
          </w:rPr>
          <w:tab/>
          <w:t xml:space="preserve"> </w:t>
        </w:r>
        <w:r w:rsidRPr="002078F0">
          <w:rPr>
            <w:sz w:val="20"/>
            <w:szCs w:val="20"/>
          </w:rPr>
          <w:fldChar w:fldCharType="begin"/>
        </w:r>
        <w:r w:rsidRPr="002078F0">
          <w:rPr>
            <w:sz w:val="20"/>
            <w:szCs w:val="20"/>
          </w:rPr>
          <w:instrText xml:space="preserve"> PAGE   \* MERGEFORMAT </w:instrText>
        </w:r>
        <w:r w:rsidRPr="002078F0">
          <w:rPr>
            <w:sz w:val="20"/>
            <w:szCs w:val="20"/>
          </w:rPr>
          <w:fldChar w:fldCharType="separate"/>
        </w:r>
        <w:r w:rsidR="00EB7B7E">
          <w:rPr>
            <w:noProof/>
            <w:sz w:val="20"/>
            <w:szCs w:val="20"/>
          </w:rPr>
          <w:t>10</w:t>
        </w:r>
        <w:r w:rsidRPr="002078F0">
          <w:rPr>
            <w:noProof/>
            <w:sz w:val="20"/>
            <w:szCs w:val="20"/>
          </w:rPr>
          <w:fldChar w:fldCharType="end"/>
        </w:r>
        <w:r w:rsidRPr="002078F0">
          <w:rPr>
            <w:sz w:val="20"/>
            <w:szCs w:val="20"/>
          </w:rPr>
          <w:t xml:space="preserve"> | </w:t>
        </w:r>
        <w:r w:rsidRPr="002078F0">
          <w:rPr>
            <w:color w:val="808080" w:themeColor="background1" w:themeShade="80"/>
            <w:spacing w:val="60"/>
            <w:sz w:val="20"/>
            <w:szCs w:val="20"/>
          </w:rPr>
          <w:t>Page</w:t>
        </w:r>
      </w:p>
    </w:sdtContent>
  </w:sdt>
  <w:p w14:paraId="77DF76E1" w14:textId="77777777" w:rsidR="00415528" w:rsidRDefault="00415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53185" w14:textId="77777777" w:rsidR="00BE233A" w:rsidRDefault="00BE233A" w:rsidP="004B0858">
      <w:pPr>
        <w:spacing w:after="0" w:line="240" w:lineRule="auto"/>
      </w:pPr>
      <w:r>
        <w:separator/>
      </w:r>
    </w:p>
  </w:footnote>
  <w:footnote w:type="continuationSeparator" w:id="0">
    <w:p w14:paraId="66D279F0" w14:textId="77777777" w:rsidR="00BE233A" w:rsidRDefault="00BE233A" w:rsidP="004B0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7698"/>
    </w:tblGrid>
    <w:tr w:rsidR="00415528" w14:paraId="0633F020" w14:textId="77777777" w:rsidTr="00926C7E">
      <w:trPr>
        <w:trHeight w:val="840"/>
      </w:trPr>
      <w:tc>
        <w:tcPr>
          <w:tcW w:w="1668" w:type="dxa"/>
          <w:vMerge w:val="restart"/>
          <w:tcBorders>
            <w:bottom w:val="single" w:sz="4" w:space="0" w:color="auto"/>
          </w:tcBorders>
        </w:tcPr>
        <w:p w14:paraId="24797AC2" w14:textId="77777777" w:rsidR="00415528" w:rsidRDefault="00415528">
          <w:pPr>
            <w:pStyle w:val="Header"/>
          </w:pPr>
          <w:r w:rsidRPr="005E222B">
            <w:rPr>
              <w:b/>
              <w:noProof/>
              <w:sz w:val="20"/>
              <w:szCs w:val="20"/>
              <w:lang w:val="en-US" w:eastAsia="zh-CN"/>
            </w:rPr>
            <w:drawing>
              <wp:inline distT="0" distB="0" distL="0" distR="0" wp14:anchorId="1930FCAA" wp14:editId="0759B797">
                <wp:extent cx="783771" cy="804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U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771" cy="804671"/>
                        </a:xfrm>
                        <a:prstGeom prst="rect">
                          <a:avLst/>
                        </a:prstGeom>
                      </pic:spPr>
                    </pic:pic>
                  </a:graphicData>
                </a:graphic>
              </wp:inline>
            </w:drawing>
          </w:r>
        </w:p>
      </w:tc>
      <w:tc>
        <w:tcPr>
          <w:tcW w:w="7908" w:type="dxa"/>
          <w:tcBorders>
            <w:bottom w:val="nil"/>
          </w:tcBorders>
          <w:vAlign w:val="center"/>
        </w:tcPr>
        <w:p w14:paraId="63671F98" w14:textId="77777777" w:rsidR="00415528" w:rsidRPr="004B0858" w:rsidRDefault="00415528" w:rsidP="006662B3">
          <w:pPr>
            <w:pStyle w:val="Header"/>
            <w:rPr>
              <w:sz w:val="24"/>
            </w:rPr>
          </w:pPr>
        </w:p>
      </w:tc>
    </w:tr>
    <w:tr w:rsidR="00415528" w14:paraId="2DFAFA5B" w14:textId="77777777" w:rsidTr="00926C7E">
      <w:tc>
        <w:tcPr>
          <w:tcW w:w="1668" w:type="dxa"/>
          <w:vMerge/>
          <w:tcBorders>
            <w:bottom w:val="single" w:sz="4" w:space="0" w:color="auto"/>
          </w:tcBorders>
        </w:tcPr>
        <w:p w14:paraId="118FB04E" w14:textId="77777777" w:rsidR="00415528" w:rsidRDefault="00415528">
          <w:pPr>
            <w:pStyle w:val="Header"/>
          </w:pPr>
        </w:p>
      </w:tc>
      <w:tc>
        <w:tcPr>
          <w:tcW w:w="7908" w:type="dxa"/>
          <w:tcBorders>
            <w:bottom w:val="single" w:sz="4" w:space="0" w:color="auto"/>
          </w:tcBorders>
        </w:tcPr>
        <w:p w14:paraId="506B480C" w14:textId="3278EB3F" w:rsidR="00415528" w:rsidRPr="00E37B77" w:rsidRDefault="00B57F0F" w:rsidP="004B0858">
          <w:pPr>
            <w:jc w:val="center"/>
            <w:rPr>
              <w:b/>
              <w:sz w:val="20"/>
              <w:szCs w:val="20"/>
            </w:rPr>
          </w:pPr>
          <w:r>
            <w:rPr>
              <w:b/>
              <w:sz w:val="20"/>
              <w:szCs w:val="20"/>
            </w:rPr>
            <w:t>March 2020</w:t>
          </w:r>
        </w:p>
        <w:p w14:paraId="3EB7D88A" w14:textId="77777777" w:rsidR="00415528" w:rsidRDefault="00415528">
          <w:pPr>
            <w:pStyle w:val="Header"/>
          </w:pPr>
        </w:p>
      </w:tc>
    </w:tr>
  </w:tbl>
  <w:p w14:paraId="10632ED5" w14:textId="77777777" w:rsidR="00415528" w:rsidRDefault="00415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C41"/>
    <w:multiLevelType w:val="hybridMultilevel"/>
    <w:tmpl w:val="667886F2"/>
    <w:lvl w:ilvl="0" w:tplc="1E70287C">
      <w:numFmt w:val="bullet"/>
      <w:lvlText w:val="-"/>
      <w:lvlJc w:val="left"/>
      <w:pPr>
        <w:ind w:left="720" w:hanging="360"/>
      </w:pPr>
      <w:rPr>
        <w:rFonts w:ascii="Calibri" w:eastAsiaTheme="minorHAnsi" w:hAnsi="Calibri" w:cs="Calibri" w:hint="default"/>
        <w:b/>
        <w:sz w:val="3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hdrShapeDefaults>
    <o:shapedefaults v:ext="edit" spidmax="2049" style="mso-height-percent:200;mso-width-relative:margin;mso-height-relative:margin" fillcolor="white" stroke="f">
      <v:fill color="white"/>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F"/>
    <w:rsid w:val="00003E68"/>
    <w:rsid w:val="0000736C"/>
    <w:rsid w:val="00010A2D"/>
    <w:rsid w:val="00015D5E"/>
    <w:rsid w:val="00027DD9"/>
    <w:rsid w:val="0004728E"/>
    <w:rsid w:val="00050B70"/>
    <w:rsid w:val="00064975"/>
    <w:rsid w:val="00067481"/>
    <w:rsid w:val="000811AB"/>
    <w:rsid w:val="0008726D"/>
    <w:rsid w:val="0009032D"/>
    <w:rsid w:val="000B1A76"/>
    <w:rsid w:val="000D5257"/>
    <w:rsid w:val="000D6612"/>
    <w:rsid w:val="000F5ADA"/>
    <w:rsid w:val="0011010B"/>
    <w:rsid w:val="00123FEB"/>
    <w:rsid w:val="00125431"/>
    <w:rsid w:val="0012688A"/>
    <w:rsid w:val="00132EF3"/>
    <w:rsid w:val="00137583"/>
    <w:rsid w:val="00146F84"/>
    <w:rsid w:val="001471C2"/>
    <w:rsid w:val="00147532"/>
    <w:rsid w:val="0016690B"/>
    <w:rsid w:val="00174E05"/>
    <w:rsid w:val="0018478E"/>
    <w:rsid w:val="0019120E"/>
    <w:rsid w:val="0019634C"/>
    <w:rsid w:val="00197325"/>
    <w:rsid w:val="001A5D00"/>
    <w:rsid w:val="001C0EF4"/>
    <w:rsid w:val="001D06A5"/>
    <w:rsid w:val="001D12B7"/>
    <w:rsid w:val="001D559B"/>
    <w:rsid w:val="001D7858"/>
    <w:rsid w:val="001E2F60"/>
    <w:rsid w:val="00202D26"/>
    <w:rsid w:val="002078F0"/>
    <w:rsid w:val="00230FDB"/>
    <w:rsid w:val="002405BA"/>
    <w:rsid w:val="002448AB"/>
    <w:rsid w:val="0024548E"/>
    <w:rsid w:val="00251746"/>
    <w:rsid w:val="00265FFB"/>
    <w:rsid w:val="002706CE"/>
    <w:rsid w:val="002801A9"/>
    <w:rsid w:val="00284F9D"/>
    <w:rsid w:val="002857C5"/>
    <w:rsid w:val="0029261D"/>
    <w:rsid w:val="002949DD"/>
    <w:rsid w:val="002A1F26"/>
    <w:rsid w:val="002A4338"/>
    <w:rsid w:val="002A76BC"/>
    <w:rsid w:val="002C01B3"/>
    <w:rsid w:val="002C0E8D"/>
    <w:rsid w:val="002C4D10"/>
    <w:rsid w:val="002D05E7"/>
    <w:rsid w:val="002D259C"/>
    <w:rsid w:val="002D389B"/>
    <w:rsid w:val="00317AE2"/>
    <w:rsid w:val="00322B89"/>
    <w:rsid w:val="00355060"/>
    <w:rsid w:val="00361413"/>
    <w:rsid w:val="003905C2"/>
    <w:rsid w:val="00390E71"/>
    <w:rsid w:val="003A641A"/>
    <w:rsid w:val="003C110E"/>
    <w:rsid w:val="003C13FA"/>
    <w:rsid w:val="003C4A7B"/>
    <w:rsid w:val="003D3050"/>
    <w:rsid w:val="003D6BA6"/>
    <w:rsid w:val="003E015D"/>
    <w:rsid w:val="00415528"/>
    <w:rsid w:val="00415C27"/>
    <w:rsid w:val="004223DE"/>
    <w:rsid w:val="00436235"/>
    <w:rsid w:val="004430E0"/>
    <w:rsid w:val="0047417C"/>
    <w:rsid w:val="004759DC"/>
    <w:rsid w:val="0049168B"/>
    <w:rsid w:val="004A4A1B"/>
    <w:rsid w:val="004B0858"/>
    <w:rsid w:val="004B479F"/>
    <w:rsid w:val="004C54CC"/>
    <w:rsid w:val="004E0955"/>
    <w:rsid w:val="004E54A6"/>
    <w:rsid w:val="004E6066"/>
    <w:rsid w:val="004F61AB"/>
    <w:rsid w:val="0050695D"/>
    <w:rsid w:val="00511BF8"/>
    <w:rsid w:val="00512757"/>
    <w:rsid w:val="00522413"/>
    <w:rsid w:val="00531F31"/>
    <w:rsid w:val="005412F4"/>
    <w:rsid w:val="005429F4"/>
    <w:rsid w:val="00561C51"/>
    <w:rsid w:val="00577948"/>
    <w:rsid w:val="005800C5"/>
    <w:rsid w:val="00581727"/>
    <w:rsid w:val="00595345"/>
    <w:rsid w:val="005A1AC1"/>
    <w:rsid w:val="005A7763"/>
    <w:rsid w:val="005B40D0"/>
    <w:rsid w:val="005B6313"/>
    <w:rsid w:val="005C3063"/>
    <w:rsid w:val="005C593C"/>
    <w:rsid w:val="005D17D6"/>
    <w:rsid w:val="005D5870"/>
    <w:rsid w:val="005D7E89"/>
    <w:rsid w:val="005E222B"/>
    <w:rsid w:val="00605978"/>
    <w:rsid w:val="006662B3"/>
    <w:rsid w:val="00681932"/>
    <w:rsid w:val="0068704A"/>
    <w:rsid w:val="00692872"/>
    <w:rsid w:val="006B197D"/>
    <w:rsid w:val="006C32C4"/>
    <w:rsid w:val="006D4DEC"/>
    <w:rsid w:val="006E59B5"/>
    <w:rsid w:val="006F6316"/>
    <w:rsid w:val="00701041"/>
    <w:rsid w:val="00723552"/>
    <w:rsid w:val="00725381"/>
    <w:rsid w:val="007635B7"/>
    <w:rsid w:val="00767151"/>
    <w:rsid w:val="00767949"/>
    <w:rsid w:val="00771D79"/>
    <w:rsid w:val="007721BE"/>
    <w:rsid w:val="007721DE"/>
    <w:rsid w:val="00784D21"/>
    <w:rsid w:val="007855F4"/>
    <w:rsid w:val="00785D7C"/>
    <w:rsid w:val="0079069D"/>
    <w:rsid w:val="00796B1C"/>
    <w:rsid w:val="007A5B12"/>
    <w:rsid w:val="007A5F93"/>
    <w:rsid w:val="007B27E6"/>
    <w:rsid w:val="007B76D4"/>
    <w:rsid w:val="007C68AF"/>
    <w:rsid w:val="007C7259"/>
    <w:rsid w:val="007D2C05"/>
    <w:rsid w:val="007E21B6"/>
    <w:rsid w:val="008104CC"/>
    <w:rsid w:val="008128BA"/>
    <w:rsid w:val="00830C6C"/>
    <w:rsid w:val="00853D71"/>
    <w:rsid w:val="0085494B"/>
    <w:rsid w:val="00856B89"/>
    <w:rsid w:val="00862616"/>
    <w:rsid w:val="008739BC"/>
    <w:rsid w:val="00875602"/>
    <w:rsid w:val="00880EDF"/>
    <w:rsid w:val="00885E20"/>
    <w:rsid w:val="00892D2D"/>
    <w:rsid w:val="008A7B50"/>
    <w:rsid w:val="008D619D"/>
    <w:rsid w:val="008F0305"/>
    <w:rsid w:val="00922AA9"/>
    <w:rsid w:val="00926C7E"/>
    <w:rsid w:val="00927DBC"/>
    <w:rsid w:val="00944E0C"/>
    <w:rsid w:val="00945E29"/>
    <w:rsid w:val="00965887"/>
    <w:rsid w:val="009672BF"/>
    <w:rsid w:val="0097318F"/>
    <w:rsid w:val="009771A4"/>
    <w:rsid w:val="009809C7"/>
    <w:rsid w:val="00984998"/>
    <w:rsid w:val="00996DFC"/>
    <w:rsid w:val="009C7559"/>
    <w:rsid w:val="009D7313"/>
    <w:rsid w:val="009F14FA"/>
    <w:rsid w:val="00A47A68"/>
    <w:rsid w:val="00A50BBC"/>
    <w:rsid w:val="00A511AD"/>
    <w:rsid w:val="00A520C6"/>
    <w:rsid w:val="00A64392"/>
    <w:rsid w:val="00A7273A"/>
    <w:rsid w:val="00A774D1"/>
    <w:rsid w:val="00A81487"/>
    <w:rsid w:val="00A81902"/>
    <w:rsid w:val="00A90A95"/>
    <w:rsid w:val="00AB41A3"/>
    <w:rsid w:val="00AC6BCF"/>
    <w:rsid w:val="00AD7AE1"/>
    <w:rsid w:val="00AE077C"/>
    <w:rsid w:val="00AE44CE"/>
    <w:rsid w:val="00AF213F"/>
    <w:rsid w:val="00B158AE"/>
    <w:rsid w:val="00B20CC1"/>
    <w:rsid w:val="00B44BC6"/>
    <w:rsid w:val="00B50E85"/>
    <w:rsid w:val="00B57F0F"/>
    <w:rsid w:val="00B64E08"/>
    <w:rsid w:val="00B91DFE"/>
    <w:rsid w:val="00BB3C2B"/>
    <w:rsid w:val="00BC0CB1"/>
    <w:rsid w:val="00BC6350"/>
    <w:rsid w:val="00BD192A"/>
    <w:rsid w:val="00BD694B"/>
    <w:rsid w:val="00BE19AE"/>
    <w:rsid w:val="00BE233A"/>
    <w:rsid w:val="00BF31A0"/>
    <w:rsid w:val="00C063EC"/>
    <w:rsid w:val="00C2792C"/>
    <w:rsid w:val="00C36CB6"/>
    <w:rsid w:val="00C507E8"/>
    <w:rsid w:val="00C61066"/>
    <w:rsid w:val="00C66E1D"/>
    <w:rsid w:val="00C76384"/>
    <w:rsid w:val="00C77326"/>
    <w:rsid w:val="00C80285"/>
    <w:rsid w:val="00C83514"/>
    <w:rsid w:val="00C84FED"/>
    <w:rsid w:val="00C9106D"/>
    <w:rsid w:val="00C93A23"/>
    <w:rsid w:val="00C967CB"/>
    <w:rsid w:val="00C97948"/>
    <w:rsid w:val="00CA020E"/>
    <w:rsid w:val="00CB61EB"/>
    <w:rsid w:val="00CB7369"/>
    <w:rsid w:val="00CE1F9E"/>
    <w:rsid w:val="00CE2B5D"/>
    <w:rsid w:val="00CE40D3"/>
    <w:rsid w:val="00CF1B81"/>
    <w:rsid w:val="00CF4E0E"/>
    <w:rsid w:val="00D21395"/>
    <w:rsid w:val="00D44646"/>
    <w:rsid w:val="00D45D4D"/>
    <w:rsid w:val="00D53F4E"/>
    <w:rsid w:val="00D71351"/>
    <w:rsid w:val="00D725DD"/>
    <w:rsid w:val="00D961EF"/>
    <w:rsid w:val="00DA276D"/>
    <w:rsid w:val="00DA5889"/>
    <w:rsid w:val="00DC096A"/>
    <w:rsid w:val="00DF01A0"/>
    <w:rsid w:val="00E10127"/>
    <w:rsid w:val="00E11CB1"/>
    <w:rsid w:val="00E33BB8"/>
    <w:rsid w:val="00E3450C"/>
    <w:rsid w:val="00E3764A"/>
    <w:rsid w:val="00E37B77"/>
    <w:rsid w:val="00E60783"/>
    <w:rsid w:val="00E757AF"/>
    <w:rsid w:val="00E80716"/>
    <w:rsid w:val="00EA3FAB"/>
    <w:rsid w:val="00EB27A4"/>
    <w:rsid w:val="00EB7B7E"/>
    <w:rsid w:val="00EC21A2"/>
    <w:rsid w:val="00EC551A"/>
    <w:rsid w:val="00EE4D3A"/>
    <w:rsid w:val="00EF243A"/>
    <w:rsid w:val="00F05B42"/>
    <w:rsid w:val="00F15F57"/>
    <w:rsid w:val="00F24EF3"/>
    <w:rsid w:val="00F25797"/>
    <w:rsid w:val="00F34CAB"/>
    <w:rsid w:val="00F813CA"/>
    <w:rsid w:val="00F8213F"/>
    <w:rsid w:val="00F83D33"/>
    <w:rsid w:val="00F95AAB"/>
    <w:rsid w:val="00FA143C"/>
    <w:rsid w:val="00FA485B"/>
    <w:rsid w:val="00FB08E2"/>
    <w:rsid w:val="00FB0CF3"/>
    <w:rsid w:val="00FB5CD5"/>
    <w:rsid w:val="00FB5EB3"/>
    <w:rsid w:val="00FC168A"/>
    <w:rsid w:val="00FC3AC1"/>
    <w:rsid w:val="00FC67E9"/>
    <w:rsid w:val="00FC7A6C"/>
    <w:rsid w:val="00FD0EE9"/>
    <w:rsid w:val="00FD1A56"/>
    <w:rsid w:val="00FF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14:docId w14:val="3EBF2F64"/>
  <w15:docId w15:val="{32A0E458-2754-4FF9-8CD4-6A6E9F6F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259"/>
  </w:style>
  <w:style w:type="paragraph" w:styleId="Heading1">
    <w:name w:val="heading 1"/>
    <w:basedOn w:val="Normal"/>
    <w:link w:val="Heading1Char"/>
    <w:uiPriority w:val="9"/>
    <w:qFormat/>
    <w:rsid w:val="001D7858"/>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CA"/>
    </w:rPr>
  </w:style>
  <w:style w:type="paragraph" w:styleId="Heading2">
    <w:name w:val="heading 2"/>
    <w:basedOn w:val="Normal"/>
    <w:link w:val="Heading2Char"/>
    <w:uiPriority w:val="9"/>
    <w:qFormat/>
    <w:rsid w:val="00AF213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link w:val="Heading5Char"/>
    <w:uiPriority w:val="9"/>
    <w:qFormat/>
    <w:rsid w:val="00AF213F"/>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858"/>
    <w:rPr>
      <w:rFonts w:asciiTheme="majorHAnsi" w:eastAsia="Times New Roman" w:hAnsiTheme="majorHAnsi" w:cs="Times New Roman"/>
      <w:b/>
      <w:bCs/>
      <w:kern w:val="36"/>
      <w:sz w:val="24"/>
      <w:szCs w:val="48"/>
      <w:lang w:eastAsia="en-CA"/>
    </w:rPr>
  </w:style>
  <w:style w:type="character" w:customStyle="1" w:styleId="Heading2Char">
    <w:name w:val="Heading 2 Char"/>
    <w:basedOn w:val="DefaultParagraphFont"/>
    <w:link w:val="Heading2"/>
    <w:uiPriority w:val="9"/>
    <w:rsid w:val="00AF213F"/>
    <w:rPr>
      <w:rFonts w:ascii="Times New Roman" w:eastAsia="Times New Roman" w:hAnsi="Times New Roman" w:cs="Times New Roman"/>
      <w:b/>
      <w:bCs/>
      <w:sz w:val="36"/>
      <w:szCs w:val="36"/>
      <w:lang w:eastAsia="en-CA"/>
    </w:rPr>
  </w:style>
  <w:style w:type="character" w:customStyle="1" w:styleId="Heading5Char">
    <w:name w:val="Heading 5 Char"/>
    <w:basedOn w:val="DefaultParagraphFont"/>
    <w:link w:val="Heading5"/>
    <w:uiPriority w:val="9"/>
    <w:rsid w:val="00AF213F"/>
    <w:rPr>
      <w:rFonts w:ascii="Times New Roman" w:eastAsia="Times New Roman" w:hAnsi="Times New Roman" w:cs="Times New Roman"/>
      <w:b/>
      <w:bCs/>
      <w:sz w:val="20"/>
      <w:szCs w:val="20"/>
      <w:lang w:eastAsia="en-CA"/>
    </w:rPr>
  </w:style>
  <w:style w:type="paragraph" w:styleId="NormalWeb">
    <w:name w:val="Normal (Web)"/>
    <w:basedOn w:val="Normal"/>
    <w:uiPriority w:val="99"/>
    <w:unhideWhenUsed/>
    <w:rsid w:val="00AF21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ite">
    <w:name w:val="HTML Cite"/>
    <w:basedOn w:val="DefaultParagraphFont"/>
    <w:uiPriority w:val="99"/>
    <w:semiHidden/>
    <w:unhideWhenUsed/>
    <w:rsid w:val="00AF213F"/>
    <w:rPr>
      <w:i/>
      <w:iCs/>
    </w:rPr>
  </w:style>
  <w:style w:type="character" w:styleId="Hyperlink">
    <w:name w:val="Hyperlink"/>
    <w:basedOn w:val="DefaultParagraphFont"/>
    <w:uiPriority w:val="99"/>
    <w:unhideWhenUsed/>
    <w:rsid w:val="00AF213F"/>
    <w:rPr>
      <w:color w:val="0000FF"/>
      <w:u w:val="single"/>
    </w:rPr>
  </w:style>
  <w:style w:type="character" w:styleId="CommentReference">
    <w:name w:val="annotation reference"/>
    <w:basedOn w:val="DefaultParagraphFont"/>
    <w:uiPriority w:val="99"/>
    <w:semiHidden/>
    <w:unhideWhenUsed/>
    <w:rsid w:val="008104CC"/>
    <w:rPr>
      <w:sz w:val="16"/>
      <w:szCs w:val="16"/>
    </w:rPr>
  </w:style>
  <w:style w:type="paragraph" w:styleId="CommentText">
    <w:name w:val="annotation text"/>
    <w:basedOn w:val="Normal"/>
    <w:link w:val="CommentTextChar"/>
    <w:uiPriority w:val="99"/>
    <w:semiHidden/>
    <w:unhideWhenUsed/>
    <w:rsid w:val="008104CC"/>
    <w:pPr>
      <w:spacing w:line="240" w:lineRule="auto"/>
    </w:pPr>
    <w:rPr>
      <w:sz w:val="20"/>
      <w:szCs w:val="20"/>
    </w:rPr>
  </w:style>
  <w:style w:type="character" w:customStyle="1" w:styleId="CommentTextChar">
    <w:name w:val="Comment Text Char"/>
    <w:basedOn w:val="DefaultParagraphFont"/>
    <w:link w:val="CommentText"/>
    <w:uiPriority w:val="99"/>
    <w:semiHidden/>
    <w:rsid w:val="008104CC"/>
    <w:rPr>
      <w:sz w:val="20"/>
      <w:szCs w:val="20"/>
    </w:rPr>
  </w:style>
  <w:style w:type="paragraph" w:styleId="CommentSubject">
    <w:name w:val="annotation subject"/>
    <w:basedOn w:val="CommentText"/>
    <w:next w:val="CommentText"/>
    <w:link w:val="CommentSubjectChar"/>
    <w:uiPriority w:val="99"/>
    <w:semiHidden/>
    <w:unhideWhenUsed/>
    <w:rsid w:val="008104CC"/>
    <w:rPr>
      <w:b/>
      <w:bCs/>
    </w:rPr>
  </w:style>
  <w:style w:type="character" w:customStyle="1" w:styleId="CommentSubjectChar">
    <w:name w:val="Comment Subject Char"/>
    <w:basedOn w:val="CommentTextChar"/>
    <w:link w:val="CommentSubject"/>
    <w:uiPriority w:val="99"/>
    <w:semiHidden/>
    <w:rsid w:val="008104CC"/>
    <w:rPr>
      <w:b/>
      <w:bCs/>
      <w:sz w:val="20"/>
      <w:szCs w:val="20"/>
    </w:rPr>
  </w:style>
  <w:style w:type="paragraph" w:styleId="BalloonText">
    <w:name w:val="Balloon Text"/>
    <w:basedOn w:val="Normal"/>
    <w:link w:val="BalloonTextChar"/>
    <w:uiPriority w:val="99"/>
    <w:semiHidden/>
    <w:unhideWhenUsed/>
    <w:rsid w:val="00810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4CC"/>
    <w:rPr>
      <w:rFonts w:ascii="Segoe UI" w:hAnsi="Segoe UI" w:cs="Segoe UI"/>
      <w:sz w:val="18"/>
      <w:szCs w:val="18"/>
    </w:rPr>
  </w:style>
  <w:style w:type="character" w:customStyle="1" w:styleId="UnresolvedMention1">
    <w:name w:val="Unresolved Mention1"/>
    <w:basedOn w:val="DefaultParagraphFont"/>
    <w:uiPriority w:val="99"/>
    <w:semiHidden/>
    <w:unhideWhenUsed/>
    <w:rsid w:val="0068704A"/>
    <w:rPr>
      <w:color w:val="808080"/>
      <w:shd w:val="clear" w:color="auto" w:fill="E6E6E6"/>
    </w:rPr>
  </w:style>
  <w:style w:type="table" w:styleId="TableGrid">
    <w:name w:val="Table Grid"/>
    <w:basedOn w:val="TableNormal"/>
    <w:uiPriority w:val="39"/>
    <w:rsid w:val="005B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58"/>
  </w:style>
  <w:style w:type="paragraph" w:styleId="Footer">
    <w:name w:val="footer"/>
    <w:basedOn w:val="Normal"/>
    <w:link w:val="FooterChar"/>
    <w:uiPriority w:val="99"/>
    <w:unhideWhenUsed/>
    <w:rsid w:val="004B0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58"/>
  </w:style>
  <w:style w:type="paragraph" w:styleId="TOCHeading">
    <w:name w:val="TOC Heading"/>
    <w:basedOn w:val="Heading1"/>
    <w:next w:val="Normal"/>
    <w:uiPriority w:val="39"/>
    <w:semiHidden/>
    <w:unhideWhenUsed/>
    <w:qFormat/>
    <w:rsid w:val="00FC67E9"/>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FC67E9"/>
    <w:pPr>
      <w:spacing w:after="100"/>
    </w:pPr>
  </w:style>
  <w:style w:type="paragraph" w:styleId="NoSpacing">
    <w:name w:val="No Spacing"/>
    <w:link w:val="NoSpacingChar"/>
    <w:uiPriority w:val="1"/>
    <w:qFormat/>
    <w:rsid w:val="00FC6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67E9"/>
    <w:rPr>
      <w:rFonts w:eastAsiaTheme="minorEastAsia"/>
      <w:lang w:val="en-US"/>
    </w:rPr>
  </w:style>
  <w:style w:type="paragraph" w:styleId="ListParagraph">
    <w:name w:val="List Paragraph"/>
    <w:basedOn w:val="Normal"/>
    <w:uiPriority w:val="34"/>
    <w:qFormat/>
    <w:rsid w:val="00666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15273">
      <w:bodyDiv w:val="1"/>
      <w:marLeft w:val="0"/>
      <w:marRight w:val="0"/>
      <w:marTop w:val="0"/>
      <w:marBottom w:val="0"/>
      <w:divBdr>
        <w:top w:val="none" w:sz="0" w:space="0" w:color="auto"/>
        <w:left w:val="none" w:sz="0" w:space="0" w:color="auto"/>
        <w:bottom w:val="none" w:sz="0" w:space="0" w:color="auto"/>
        <w:right w:val="none" w:sz="0" w:space="0" w:color="auto"/>
      </w:divBdr>
    </w:div>
    <w:div w:id="852841587">
      <w:bodyDiv w:val="1"/>
      <w:marLeft w:val="0"/>
      <w:marRight w:val="0"/>
      <w:marTop w:val="0"/>
      <w:marBottom w:val="0"/>
      <w:divBdr>
        <w:top w:val="none" w:sz="0" w:space="0" w:color="auto"/>
        <w:left w:val="none" w:sz="0" w:space="0" w:color="auto"/>
        <w:bottom w:val="none" w:sz="0" w:space="0" w:color="auto"/>
        <w:right w:val="none" w:sz="0" w:space="0" w:color="auto"/>
      </w:divBdr>
    </w:div>
    <w:div w:id="1312754611">
      <w:bodyDiv w:val="1"/>
      <w:marLeft w:val="0"/>
      <w:marRight w:val="0"/>
      <w:marTop w:val="0"/>
      <w:marBottom w:val="0"/>
      <w:divBdr>
        <w:top w:val="none" w:sz="0" w:space="0" w:color="auto"/>
        <w:left w:val="none" w:sz="0" w:space="0" w:color="auto"/>
        <w:bottom w:val="none" w:sz="0" w:space="0" w:color="auto"/>
        <w:right w:val="none" w:sz="0" w:space="0" w:color="auto"/>
      </w:divBdr>
      <w:divsChild>
        <w:div w:id="1750617566">
          <w:marLeft w:val="0"/>
          <w:marRight w:val="0"/>
          <w:marTop w:val="0"/>
          <w:marBottom w:val="0"/>
          <w:divBdr>
            <w:top w:val="none" w:sz="0" w:space="0" w:color="auto"/>
            <w:left w:val="none" w:sz="0" w:space="0" w:color="auto"/>
            <w:bottom w:val="none" w:sz="0" w:space="0" w:color="auto"/>
            <w:right w:val="none" w:sz="0" w:space="0" w:color="auto"/>
          </w:divBdr>
          <w:divsChild>
            <w:div w:id="126818428">
              <w:marLeft w:val="0"/>
              <w:marRight w:val="0"/>
              <w:marTop w:val="0"/>
              <w:marBottom w:val="0"/>
              <w:divBdr>
                <w:top w:val="none" w:sz="0" w:space="0" w:color="auto"/>
                <w:left w:val="none" w:sz="0" w:space="0" w:color="auto"/>
                <w:bottom w:val="none" w:sz="0" w:space="0" w:color="auto"/>
                <w:right w:val="none" w:sz="0" w:space="0" w:color="auto"/>
              </w:divBdr>
              <w:divsChild>
                <w:div w:id="475220257">
                  <w:marLeft w:val="0"/>
                  <w:marRight w:val="0"/>
                  <w:marTop w:val="0"/>
                  <w:marBottom w:val="0"/>
                  <w:divBdr>
                    <w:top w:val="none" w:sz="0" w:space="0" w:color="auto"/>
                    <w:left w:val="none" w:sz="0" w:space="0" w:color="auto"/>
                    <w:bottom w:val="none" w:sz="0" w:space="0" w:color="auto"/>
                    <w:right w:val="none" w:sz="0" w:space="0" w:color="auto"/>
                  </w:divBdr>
                  <w:divsChild>
                    <w:div w:id="2000576433">
                      <w:marLeft w:val="0"/>
                      <w:marRight w:val="0"/>
                      <w:marTop w:val="0"/>
                      <w:marBottom w:val="0"/>
                      <w:divBdr>
                        <w:top w:val="none" w:sz="0" w:space="0" w:color="auto"/>
                        <w:left w:val="none" w:sz="0" w:space="0" w:color="auto"/>
                        <w:bottom w:val="none" w:sz="0" w:space="0" w:color="auto"/>
                        <w:right w:val="none" w:sz="0" w:space="0" w:color="auto"/>
                      </w:divBdr>
                      <w:divsChild>
                        <w:div w:id="1957251914">
                          <w:marLeft w:val="0"/>
                          <w:marRight w:val="0"/>
                          <w:marTop w:val="0"/>
                          <w:marBottom w:val="0"/>
                          <w:divBdr>
                            <w:top w:val="none" w:sz="0" w:space="0" w:color="auto"/>
                            <w:left w:val="none" w:sz="0" w:space="0" w:color="auto"/>
                            <w:bottom w:val="none" w:sz="0" w:space="0" w:color="auto"/>
                            <w:right w:val="none" w:sz="0" w:space="0" w:color="auto"/>
                          </w:divBdr>
                          <w:divsChild>
                            <w:div w:id="3121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155153">
      <w:bodyDiv w:val="1"/>
      <w:marLeft w:val="0"/>
      <w:marRight w:val="0"/>
      <w:marTop w:val="0"/>
      <w:marBottom w:val="0"/>
      <w:divBdr>
        <w:top w:val="none" w:sz="0" w:space="0" w:color="auto"/>
        <w:left w:val="none" w:sz="0" w:space="0" w:color="auto"/>
        <w:bottom w:val="none" w:sz="0" w:space="0" w:color="auto"/>
        <w:right w:val="none" w:sz="0" w:space="0" w:color="auto"/>
      </w:divBdr>
    </w:div>
    <w:div w:id="1635408312">
      <w:bodyDiv w:val="1"/>
      <w:marLeft w:val="0"/>
      <w:marRight w:val="0"/>
      <w:marTop w:val="0"/>
      <w:marBottom w:val="0"/>
      <w:divBdr>
        <w:top w:val="none" w:sz="0" w:space="0" w:color="auto"/>
        <w:left w:val="none" w:sz="0" w:space="0" w:color="auto"/>
        <w:bottom w:val="none" w:sz="0" w:space="0" w:color="auto"/>
        <w:right w:val="none" w:sz="0" w:space="0" w:color="auto"/>
      </w:divBdr>
    </w:div>
    <w:div w:id="1682774893">
      <w:bodyDiv w:val="1"/>
      <w:marLeft w:val="0"/>
      <w:marRight w:val="0"/>
      <w:marTop w:val="0"/>
      <w:marBottom w:val="0"/>
      <w:divBdr>
        <w:top w:val="none" w:sz="0" w:space="0" w:color="auto"/>
        <w:left w:val="none" w:sz="0" w:space="0" w:color="auto"/>
        <w:bottom w:val="none" w:sz="0" w:space="0" w:color="auto"/>
        <w:right w:val="none" w:sz="0" w:space="0" w:color="auto"/>
      </w:divBdr>
    </w:div>
    <w:div w:id="1743093468">
      <w:bodyDiv w:val="1"/>
      <w:marLeft w:val="0"/>
      <w:marRight w:val="0"/>
      <w:marTop w:val="0"/>
      <w:marBottom w:val="0"/>
      <w:divBdr>
        <w:top w:val="none" w:sz="0" w:space="0" w:color="auto"/>
        <w:left w:val="none" w:sz="0" w:space="0" w:color="auto"/>
        <w:bottom w:val="none" w:sz="0" w:space="0" w:color="auto"/>
        <w:right w:val="none" w:sz="0" w:space="0" w:color="auto"/>
      </w:divBdr>
    </w:div>
    <w:div w:id="18767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A5C1-B371-48A7-952E-3CD29607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8793</Words>
  <Characters>50123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Seed</dc:creator>
  <cp:lastModifiedBy>Henry Luan</cp:lastModifiedBy>
  <cp:revision>7</cp:revision>
  <cp:lastPrinted>2017-10-30T17:12:00Z</cp:lastPrinted>
  <dcterms:created xsi:type="dcterms:W3CDTF">2020-03-23T16:26:00Z</dcterms:created>
  <dcterms:modified xsi:type="dcterms:W3CDTF">2020-03-23T16:29:00Z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432bd7d3-d940-36ce-b0d2-ca3b21aeb197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http://www.zotero.org/styles/computers-environment-and-urban-systems</vt:lpwstr>
  </property>
  <property fmtid="{D5CDD505-2E9C-101B-9397-08002B2CF9AE}" pid="10" name="Mendeley Recent Style Name 2_1">
    <vt:lpwstr>Computers, Environment and Urban Systems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http://www.zotero.org/styles/health-and-place</vt:lpwstr>
  </property>
  <property fmtid="{D5CDD505-2E9C-101B-9397-08002B2CF9AE}" pid="14" name="Mendeley Recent Style Name 4_1">
    <vt:lpwstr>Health and Place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