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4009725"/>
        <w:docPartObj>
          <w:docPartGallery w:val="Cover Pages"/>
          <w:docPartUnique/>
        </w:docPartObj>
      </w:sdtPr>
      <w:sdtEndPr>
        <w:rPr>
          <w:bCs/>
          <w:szCs w:val="20"/>
        </w:rPr>
      </w:sdtEndPr>
      <w:sdtContent>
        <w:p w14:paraId="404C70B7" w14:textId="77777777" w:rsidR="00FC67E9" w:rsidRDefault="00FC67E9"/>
        <w:p w14:paraId="4F8D02C2" w14:textId="77777777" w:rsidR="00FC67E9" w:rsidRDefault="00FC67E9"/>
        <w:p w14:paraId="6FAFA3FD" w14:textId="77777777" w:rsidR="00FC67E9" w:rsidRDefault="00FC67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8"/>
            <w:gridCol w:w="6562"/>
          </w:tblGrid>
          <w:tr w:rsidR="002949DD" w14:paraId="3912ECC5" w14:textId="77777777" w:rsidTr="002949DD">
            <w:tc>
              <w:tcPr>
                <w:tcW w:w="2808" w:type="dxa"/>
              </w:tcPr>
              <w:p w14:paraId="4033271B" w14:textId="77777777" w:rsidR="002949DD" w:rsidRDefault="002949DD">
                <w:r>
                  <w:rPr>
                    <w:noProof/>
                    <w:lang w:val="en-US" w:eastAsia="zh-CN"/>
                  </w:rPr>
                  <w:drawing>
                    <wp:inline distT="0" distB="0" distL="0" distR="0" wp14:anchorId="725A7DE8" wp14:editId="149D1895">
                      <wp:extent cx="1524000" cy="1590675"/>
                      <wp:effectExtent l="0" t="0" r="0" b="0"/>
                      <wp:docPr id="6" name="Picture 5" descr="CANUE-logo-monichromatic-sm-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UE-logo-monichromatic-sm-wt.png"/>
                              <pic:cNvPicPr/>
                            </pic:nvPicPr>
                            <pic:blipFill>
                              <a:blip r:embed="rId8" cstate="print"/>
                              <a:stretch>
                                <a:fillRect/>
                              </a:stretch>
                            </pic:blipFill>
                            <pic:spPr>
                              <a:xfrm>
                                <a:off x="0" y="0"/>
                                <a:ext cx="1524000" cy="1590675"/>
                              </a:xfrm>
                              <a:prstGeom prst="rect">
                                <a:avLst/>
                              </a:prstGeom>
                            </pic:spPr>
                          </pic:pic>
                        </a:graphicData>
                      </a:graphic>
                    </wp:inline>
                  </w:drawing>
                </w:r>
              </w:p>
            </w:tc>
            <w:tc>
              <w:tcPr>
                <w:tcW w:w="6768" w:type="dxa"/>
                <w:vAlign w:val="center"/>
              </w:tcPr>
              <w:p w14:paraId="05701CF1" w14:textId="77777777" w:rsidR="002949DD" w:rsidRPr="0085494B" w:rsidRDefault="002949DD" w:rsidP="002949DD">
                <w:pPr>
                  <w:jc w:val="center"/>
                  <w:rPr>
                    <w:rFonts w:ascii="Montserrat" w:hAnsi="Montserrat"/>
                  </w:rPr>
                </w:pPr>
                <w:r w:rsidRPr="0085494B">
                  <w:rPr>
                    <w:rFonts w:ascii="Montserrat" w:hAnsi="Montserrat"/>
                    <w:sz w:val="32"/>
                  </w:rPr>
                  <w:t>CANADIAN URBAN ENVIRONMENTAL HEALTH RESEARCH CONSORTIUM</w:t>
                </w:r>
              </w:p>
            </w:tc>
          </w:tr>
        </w:tbl>
        <w:p w14:paraId="26120348" w14:textId="77777777" w:rsidR="00FC67E9" w:rsidRDefault="00FC67E9"/>
        <w:p w14:paraId="1C14A019" w14:textId="77777777" w:rsidR="00FC67E9" w:rsidRDefault="00FC67E9"/>
        <w:p w14:paraId="5E4EA8BC" w14:textId="77777777" w:rsidR="002949DD" w:rsidRDefault="002949DD" w:rsidP="002949DD">
          <w:pPr>
            <w:jc w:val="center"/>
            <w:rPr>
              <w:b/>
              <w:sz w:val="36"/>
            </w:rPr>
          </w:pPr>
        </w:p>
        <w:p w14:paraId="604F8C69" w14:textId="4141217B" w:rsidR="006662B3" w:rsidRDefault="006662B3" w:rsidP="004759DC">
          <w:pPr>
            <w:jc w:val="center"/>
            <w:rPr>
              <w:b/>
              <w:sz w:val="36"/>
            </w:rPr>
          </w:pPr>
          <w:r>
            <w:rPr>
              <w:b/>
              <w:sz w:val="36"/>
            </w:rPr>
            <w:t xml:space="preserve">Measuring </w:t>
          </w:r>
          <w:r w:rsidR="004759DC">
            <w:rPr>
              <w:b/>
              <w:sz w:val="36"/>
            </w:rPr>
            <w:t xml:space="preserve">urban </w:t>
          </w:r>
          <w:r>
            <w:rPr>
              <w:b/>
              <w:sz w:val="36"/>
            </w:rPr>
            <w:t>sprawl across Canada</w:t>
          </w:r>
          <w:r w:rsidR="004759DC">
            <w:rPr>
              <w:b/>
              <w:sz w:val="36"/>
            </w:rPr>
            <w:t xml:space="preserve"> at a small-area level</w:t>
          </w:r>
        </w:p>
        <w:p w14:paraId="56F970C2" w14:textId="10464C91" w:rsidR="00E757AF" w:rsidRPr="00E757AF" w:rsidRDefault="00E757AF" w:rsidP="004759DC">
          <w:pPr>
            <w:jc w:val="center"/>
            <w:rPr>
              <w:sz w:val="28"/>
              <w:szCs w:val="28"/>
            </w:rPr>
          </w:pPr>
          <w:r w:rsidRPr="00E757AF">
            <w:rPr>
              <w:sz w:val="28"/>
              <w:szCs w:val="28"/>
            </w:rPr>
            <w:t>-- A Bayesian spatial statistical approach</w:t>
          </w:r>
        </w:p>
        <w:p w14:paraId="66CA83AA" w14:textId="77777777" w:rsidR="006662B3" w:rsidRDefault="006662B3" w:rsidP="006662B3">
          <w:pPr>
            <w:pStyle w:val="ListParagraph"/>
          </w:pPr>
        </w:p>
        <w:p w14:paraId="022A03B4" w14:textId="4F47E7C0" w:rsidR="006662B3" w:rsidRDefault="006662B3" w:rsidP="006662B3">
          <w:pPr>
            <w:pStyle w:val="ListParagraph"/>
            <w:jc w:val="center"/>
          </w:pPr>
          <w:r>
            <w:t>Hui Luan and Daniel Fuller</w:t>
          </w:r>
        </w:p>
        <w:p w14:paraId="20DCB5EF" w14:textId="77777777" w:rsidR="002949DD" w:rsidRDefault="002949DD" w:rsidP="002949DD">
          <w:pPr>
            <w:jc w:val="center"/>
          </w:pPr>
        </w:p>
        <w:p w14:paraId="4E3C4560" w14:textId="722CD8AA" w:rsidR="002949DD" w:rsidRPr="002949DD" w:rsidRDefault="006662B3" w:rsidP="002949DD">
          <w:pPr>
            <w:jc w:val="center"/>
            <w:rPr>
              <w:b/>
            </w:rPr>
          </w:pPr>
          <w:r>
            <w:rPr>
              <w:b/>
            </w:rPr>
            <w:t>March</w:t>
          </w:r>
          <w:r w:rsidR="002C01B3">
            <w:rPr>
              <w:b/>
            </w:rPr>
            <w:t xml:space="preserve"> </w:t>
          </w:r>
          <w:r w:rsidR="00EB7B7E">
            <w:rPr>
              <w:b/>
            </w:rPr>
            <w:t>23</w:t>
          </w:r>
          <w:r w:rsidR="002949DD" w:rsidRPr="002949DD">
            <w:rPr>
              <w:b/>
            </w:rPr>
            <w:t>, 20</w:t>
          </w:r>
          <w:r w:rsidR="00EB7B7E">
            <w:rPr>
              <w:b/>
            </w:rPr>
            <w:t>20</w:t>
          </w:r>
        </w:p>
        <w:p w14:paraId="793E6384" w14:textId="77777777" w:rsidR="00FC67E9" w:rsidRDefault="00FC67E9" w:rsidP="002949DD">
          <w:pPr>
            <w:jc w:val="center"/>
          </w:pPr>
        </w:p>
        <w:p w14:paraId="697CB184" w14:textId="77777777" w:rsidR="00FC67E9" w:rsidRDefault="00FC67E9"/>
        <w:p w14:paraId="6FB30AD0" w14:textId="77777777" w:rsidR="002949DD" w:rsidRDefault="002949DD"/>
        <w:p w14:paraId="42B2C30D" w14:textId="77777777" w:rsidR="002949DD" w:rsidRDefault="002949DD"/>
        <w:p w14:paraId="5EF19C5E" w14:textId="77777777" w:rsidR="002949DD" w:rsidRDefault="002949DD"/>
        <w:p w14:paraId="7608A966" w14:textId="77777777" w:rsidR="002949DD" w:rsidRDefault="002949DD"/>
        <w:p w14:paraId="4557936F" w14:textId="77777777" w:rsidR="002949DD" w:rsidRDefault="002949DD"/>
        <w:p w14:paraId="4BBFDA06" w14:textId="77777777" w:rsidR="002949DD" w:rsidRDefault="002949DD"/>
        <w:p w14:paraId="1A1BE3B6" w14:textId="77777777" w:rsidR="002949DD" w:rsidRDefault="002949DD"/>
        <w:p w14:paraId="3AFB7431" w14:textId="77777777" w:rsidR="00FC67E9" w:rsidRDefault="002949DD">
          <w:r>
            <w:rPr>
              <w:noProof/>
              <w:lang w:val="en-US" w:eastAsia="zh-CN"/>
            </w:rPr>
            <w:lastRenderedPageBreak/>
            <w:drawing>
              <wp:inline distT="0" distB="0" distL="0" distR="0" wp14:anchorId="69C4C3CC" wp14:editId="3C9867BD">
                <wp:extent cx="5943600" cy="120287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202871"/>
                        </a:xfrm>
                        <a:prstGeom prst="rect">
                          <a:avLst/>
                        </a:prstGeom>
                        <a:noFill/>
                        <a:ln w="9525">
                          <a:noFill/>
                          <a:miter lim="800000"/>
                          <a:headEnd/>
                          <a:tailEnd/>
                        </a:ln>
                      </pic:spPr>
                    </pic:pic>
                  </a:graphicData>
                </a:graphic>
              </wp:inline>
            </w:drawing>
          </w:r>
        </w:p>
        <w:p w14:paraId="5BA542AE" w14:textId="77777777" w:rsidR="00FC67E9" w:rsidRDefault="00FC67E9"/>
        <w:p w14:paraId="6DFC06F8" w14:textId="77777777" w:rsidR="006662B3" w:rsidRDefault="006662B3">
          <w:pPr>
            <w:sectPr w:rsidR="006662B3" w:rsidSect="00FC67E9">
              <w:pgSz w:w="12240" w:h="15840"/>
              <w:pgMar w:top="1440" w:right="1440" w:bottom="1440" w:left="1440" w:header="708" w:footer="708" w:gutter="0"/>
              <w:pgNumType w:fmt="lowerRoman" w:start="1"/>
              <w:cols w:space="708"/>
              <w:docGrid w:linePitch="360"/>
            </w:sectPr>
          </w:pPr>
        </w:p>
        <w:p w14:paraId="78A4384C" w14:textId="77777777" w:rsidR="00FC67E9" w:rsidRDefault="009E6611">
          <w:pPr>
            <w:rPr>
              <w:b/>
              <w:szCs w:val="20"/>
            </w:rPr>
          </w:pPr>
        </w:p>
      </w:sdtContent>
    </w:sdt>
    <w:sdt>
      <w:sdtPr>
        <w:rPr>
          <w:rFonts w:asciiTheme="minorHAnsi" w:eastAsiaTheme="minorHAnsi" w:hAnsiTheme="minorHAnsi" w:cstheme="minorBidi"/>
          <w:b w:val="0"/>
          <w:bCs w:val="0"/>
          <w:color w:val="auto"/>
          <w:sz w:val="22"/>
          <w:szCs w:val="22"/>
          <w:lang w:val="en-CA"/>
        </w:rPr>
        <w:id w:val="1554009718"/>
        <w:docPartObj>
          <w:docPartGallery w:val="Table of Contents"/>
          <w:docPartUnique/>
        </w:docPartObj>
      </w:sdtPr>
      <w:sdtEndPr/>
      <w:sdtContent>
        <w:p w14:paraId="4F10C481" w14:textId="77777777" w:rsidR="00FC67E9" w:rsidRDefault="00FC67E9">
          <w:pPr>
            <w:pStyle w:val="TOCHeading"/>
            <w:rPr>
              <w:rFonts w:asciiTheme="minorHAnsi" w:hAnsiTheme="minorHAnsi"/>
              <w:color w:val="708D6E"/>
            </w:rPr>
          </w:pPr>
          <w:r w:rsidRPr="00FC67E9">
            <w:rPr>
              <w:rFonts w:asciiTheme="minorHAnsi" w:hAnsiTheme="minorHAnsi"/>
              <w:color w:val="708D6E"/>
              <w:sz w:val="32"/>
            </w:rPr>
            <w:t>Contents</w:t>
          </w:r>
        </w:p>
        <w:p w14:paraId="514F5D4F" w14:textId="77777777" w:rsidR="00FC67E9" w:rsidRPr="00FC67E9" w:rsidRDefault="00FC67E9" w:rsidP="00FC67E9">
          <w:pPr>
            <w:rPr>
              <w:lang w:val="en-US"/>
            </w:rPr>
          </w:pPr>
        </w:p>
        <w:p w14:paraId="300A130A" w14:textId="77777777" w:rsidR="00415528" w:rsidRDefault="0018478E">
          <w:pPr>
            <w:pStyle w:val="TOC1"/>
            <w:tabs>
              <w:tab w:val="right" w:leader="dot" w:pos="9350"/>
            </w:tabs>
            <w:rPr>
              <w:rFonts w:eastAsiaTheme="minorEastAsia"/>
              <w:noProof/>
              <w:lang w:eastAsia="zh-CN"/>
            </w:rPr>
          </w:pPr>
          <w:r>
            <w:fldChar w:fldCharType="begin"/>
          </w:r>
          <w:r w:rsidR="00FC67E9">
            <w:instrText xml:space="preserve"> TOC \o "1-3" \h \z \u </w:instrText>
          </w:r>
          <w:r>
            <w:fldChar w:fldCharType="separate"/>
          </w:r>
          <w:hyperlink w:anchor="_Toc517700804" w:history="1">
            <w:r w:rsidR="00415528" w:rsidRPr="00DC6FDA">
              <w:rPr>
                <w:rStyle w:val="Hyperlink"/>
                <w:noProof/>
              </w:rPr>
              <w:t>Abstract</w:t>
            </w:r>
            <w:r w:rsidR="00415528">
              <w:rPr>
                <w:noProof/>
                <w:webHidden/>
              </w:rPr>
              <w:tab/>
            </w:r>
            <w:r w:rsidR="00415528">
              <w:rPr>
                <w:noProof/>
                <w:webHidden/>
              </w:rPr>
              <w:fldChar w:fldCharType="begin"/>
            </w:r>
            <w:r w:rsidR="00415528">
              <w:rPr>
                <w:noProof/>
                <w:webHidden/>
              </w:rPr>
              <w:instrText xml:space="preserve"> PAGEREF _Toc517700804 \h </w:instrText>
            </w:r>
            <w:r w:rsidR="00415528">
              <w:rPr>
                <w:noProof/>
                <w:webHidden/>
              </w:rPr>
            </w:r>
            <w:r w:rsidR="00415528">
              <w:rPr>
                <w:noProof/>
                <w:webHidden/>
              </w:rPr>
              <w:fldChar w:fldCharType="separate"/>
            </w:r>
            <w:r w:rsidR="00415528">
              <w:rPr>
                <w:noProof/>
                <w:webHidden/>
              </w:rPr>
              <w:t>1</w:t>
            </w:r>
            <w:r w:rsidR="00415528">
              <w:rPr>
                <w:noProof/>
                <w:webHidden/>
              </w:rPr>
              <w:fldChar w:fldCharType="end"/>
            </w:r>
          </w:hyperlink>
        </w:p>
        <w:p w14:paraId="0D8939F5" w14:textId="77777777" w:rsidR="00415528" w:rsidRDefault="009E6611">
          <w:pPr>
            <w:pStyle w:val="TOC1"/>
            <w:tabs>
              <w:tab w:val="right" w:leader="dot" w:pos="9350"/>
            </w:tabs>
            <w:rPr>
              <w:rFonts w:eastAsiaTheme="minorEastAsia"/>
              <w:noProof/>
              <w:lang w:eastAsia="zh-CN"/>
            </w:rPr>
          </w:pPr>
          <w:hyperlink w:anchor="_Toc517700805" w:history="1">
            <w:r w:rsidR="00415528" w:rsidRPr="00DC6FDA">
              <w:rPr>
                <w:rStyle w:val="Hyperlink"/>
                <w:noProof/>
              </w:rPr>
              <w:t>Chapter 1: Background</w:t>
            </w:r>
            <w:r w:rsidR="00415528">
              <w:rPr>
                <w:noProof/>
                <w:webHidden/>
              </w:rPr>
              <w:tab/>
            </w:r>
            <w:r w:rsidR="00415528">
              <w:rPr>
                <w:noProof/>
                <w:webHidden/>
              </w:rPr>
              <w:fldChar w:fldCharType="begin"/>
            </w:r>
            <w:r w:rsidR="00415528">
              <w:rPr>
                <w:noProof/>
                <w:webHidden/>
              </w:rPr>
              <w:instrText xml:space="preserve"> PAGEREF _Toc517700805 \h </w:instrText>
            </w:r>
            <w:r w:rsidR="00415528">
              <w:rPr>
                <w:noProof/>
                <w:webHidden/>
              </w:rPr>
            </w:r>
            <w:r w:rsidR="00415528">
              <w:rPr>
                <w:noProof/>
                <w:webHidden/>
              </w:rPr>
              <w:fldChar w:fldCharType="separate"/>
            </w:r>
            <w:r w:rsidR="00415528">
              <w:rPr>
                <w:noProof/>
                <w:webHidden/>
              </w:rPr>
              <w:t>2</w:t>
            </w:r>
            <w:r w:rsidR="00415528">
              <w:rPr>
                <w:noProof/>
                <w:webHidden/>
              </w:rPr>
              <w:fldChar w:fldCharType="end"/>
            </w:r>
          </w:hyperlink>
        </w:p>
        <w:p w14:paraId="64811EE1" w14:textId="77777777" w:rsidR="00415528" w:rsidRDefault="009E6611">
          <w:pPr>
            <w:pStyle w:val="TOC1"/>
            <w:tabs>
              <w:tab w:val="right" w:leader="dot" w:pos="9350"/>
            </w:tabs>
            <w:rPr>
              <w:rFonts w:eastAsiaTheme="minorEastAsia"/>
              <w:noProof/>
              <w:lang w:eastAsia="zh-CN"/>
            </w:rPr>
          </w:pPr>
          <w:hyperlink w:anchor="_Toc517700806" w:history="1">
            <w:r w:rsidR="00415528" w:rsidRPr="00DC6FDA">
              <w:rPr>
                <w:rStyle w:val="Hyperlink"/>
                <w:noProof/>
              </w:rPr>
              <w:t>Chapter 2: Sprawl score indicators</w:t>
            </w:r>
            <w:r w:rsidR="00415528">
              <w:rPr>
                <w:noProof/>
                <w:webHidden/>
              </w:rPr>
              <w:tab/>
            </w:r>
            <w:r w:rsidR="00415528">
              <w:rPr>
                <w:noProof/>
                <w:webHidden/>
              </w:rPr>
              <w:fldChar w:fldCharType="begin"/>
            </w:r>
            <w:r w:rsidR="00415528">
              <w:rPr>
                <w:noProof/>
                <w:webHidden/>
              </w:rPr>
              <w:instrText xml:space="preserve"> PAGEREF _Toc517700806 \h </w:instrText>
            </w:r>
            <w:r w:rsidR="00415528">
              <w:rPr>
                <w:noProof/>
                <w:webHidden/>
              </w:rPr>
            </w:r>
            <w:r w:rsidR="00415528">
              <w:rPr>
                <w:noProof/>
                <w:webHidden/>
              </w:rPr>
              <w:fldChar w:fldCharType="separate"/>
            </w:r>
            <w:r w:rsidR="00415528">
              <w:rPr>
                <w:noProof/>
                <w:webHidden/>
              </w:rPr>
              <w:t>4</w:t>
            </w:r>
            <w:r w:rsidR="00415528">
              <w:rPr>
                <w:noProof/>
                <w:webHidden/>
              </w:rPr>
              <w:fldChar w:fldCharType="end"/>
            </w:r>
          </w:hyperlink>
        </w:p>
        <w:p w14:paraId="488A8464" w14:textId="77777777" w:rsidR="00415528" w:rsidRDefault="009E6611">
          <w:pPr>
            <w:pStyle w:val="TOC1"/>
            <w:tabs>
              <w:tab w:val="right" w:leader="dot" w:pos="9350"/>
            </w:tabs>
            <w:rPr>
              <w:rFonts w:eastAsiaTheme="minorEastAsia"/>
              <w:noProof/>
              <w:lang w:eastAsia="zh-CN"/>
            </w:rPr>
          </w:pPr>
          <w:hyperlink w:anchor="_Toc517700807" w:history="1">
            <w:r w:rsidR="00415528" w:rsidRPr="00DC6FDA">
              <w:rPr>
                <w:rStyle w:val="Hyperlink"/>
                <w:noProof/>
              </w:rPr>
              <w:t>Chapter 3: Statistical Method</w:t>
            </w:r>
            <w:r w:rsidR="00415528">
              <w:rPr>
                <w:noProof/>
                <w:webHidden/>
              </w:rPr>
              <w:tab/>
            </w:r>
            <w:r w:rsidR="00415528">
              <w:rPr>
                <w:noProof/>
                <w:webHidden/>
              </w:rPr>
              <w:fldChar w:fldCharType="begin"/>
            </w:r>
            <w:r w:rsidR="00415528">
              <w:rPr>
                <w:noProof/>
                <w:webHidden/>
              </w:rPr>
              <w:instrText xml:space="preserve"> PAGEREF _Toc517700807 \h </w:instrText>
            </w:r>
            <w:r w:rsidR="00415528">
              <w:rPr>
                <w:noProof/>
                <w:webHidden/>
              </w:rPr>
            </w:r>
            <w:r w:rsidR="00415528">
              <w:rPr>
                <w:noProof/>
                <w:webHidden/>
              </w:rPr>
              <w:fldChar w:fldCharType="separate"/>
            </w:r>
            <w:r w:rsidR="00415528">
              <w:rPr>
                <w:noProof/>
                <w:webHidden/>
              </w:rPr>
              <w:t>5</w:t>
            </w:r>
            <w:r w:rsidR="00415528">
              <w:rPr>
                <w:noProof/>
                <w:webHidden/>
              </w:rPr>
              <w:fldChar w:fldCharType="end"/>
            </w:r>
          </w:hyperlink>
        </w:p>
        <w:p w14:paraId="0505C454" w14:textId="77777777" w:rsidR="00415528" w:rsidRDefault="009E6611">
          <w:pPr>
            <w:pStyle w:val="TOC1"/>
            <w:tabs>
              <w:tab w:val="right" w:leader="dot" w:pos="9350"/>
            </w:tabs>
            <w:rPr>
              <w:rFonts w:eastAsiaTheme="minorEastAsia"/>
              <w:noProof/>
              <w:lang w:eastAsia="zh-CN"/>
            </w:rPr>
          </w:pPr>
          <w:hyperlink w:anchor="_Toc517700808" w:history="1">
            <w:r w:rsidR="00415528" w:rsidRPr="00DC6FDA">
              <w:rPr>
                <w:rStyle w:val="Hyperlink"/>
                <w:noProof/>
              </w:rPr>
              <w:t>Chapter 4: Limitations</w:t>
            </w:r>
            <w:r w:rsidR="00415528">
              <w:rPr>
                <w:noProof/>
                <w:webHidden/>
              </w:rPr>
              <w:tab/>
            </w:r>
            <w:r w:rsidR="00415528">
              <w:rPr>
                <w:noProof/>
                <w:webHidden/>
              </w:rPr>
              <w:fldChar w:fldCharType="begin"/>
            </w:r>
            <w:r w:rsidR="00415528">
              <w:rPr>
                <w:noProof/>
                <w:webHidden/>
              </w:rPr>
              <w:instrText xml:space="preserve"> PAGEREF _Toc517700808 \h </w:instrText>
            </w:r>
            <w:r w:rsidR="00415528">
              <w:rPr>
                <w:noProof/>
                <w:webHidden/>
              </w:rPr>
            </w:r>
            <w:r w:rsidR="00415528">
              <w:rPr>
                <w:noProof/>
                <w:webHidden/>
              </w:rPr>
              <w:fldChar w:fldCharType="separate"/>
            </w:r>
            <w:r w:rsidR="00415528">
              <w:rPr>
                <w:noProof/>
                <w:webHidden/>
              </w:rPr>
              <w:t>6</w:t>
            </w:r>
            <w:r w:rsidR="00415528">
              <w:rPr>
                <w:noProof/>
                <w:webHidden/>
              </w:rPr>
              <w:fldChar w:fldCharType="end"/>
            </w:r>
          </w:hyperlink>
        </w:p>
        <w:p w14:paraId="49496F61" w14:textId="77777777" w:rsidR="00415528" w:rsidRDefault="009E6611">
          <w:pPr>
            <w:pStyle w:val="TOC1"/>
            <w:tabs>
              <w:tab w:val="right" w:leader="dot" w:pos="9350"/>
            </w:tabs>
            <w:rPr>
              <w:rFonts w:eastAsiaTheme="minorEastAsia"/>
              <w:noProof/>
              <w:lang w:eastAsia="zh-CN"/>
            </w:rPr>
          </w:pPr>
          <w:hyperlink w:anchor="_Toc517700809" w:history="1">
            <w:r w:rsidR="00415528" w:rsidRPr="00DC6FDA">
              <w:rPr>
                <w:rStyle w:val="Hyperlink"/>
                <w:noProof/>
              </w:rPr>
              <w:t>Chapter 5: Metadata</w:t>
            </w:r>
            <w:r w:rsidR="00415528">
              <w:rPr>
                <w:noProof/>
                <w:webHidden/>
              </w:rPr>
              <w:tab/>
            </w:r>
            <w:r w:rsidR="00415528">
              <w:rPr>
                <w:noProof/>
                <w:webHidden/>
              </w:rPr>
              <w:fldChar w:fldCharType="begin"/>
            </w:r>
            <w:r w:rsidR="00415528">
              <w:rPr>
                <w:noProof/>
                <w:webHidden/>
              </w:rPr>
              <w:instrText xml:space="preserve"> PAGEREF _Toc517700809 \h </w:instrText>
            </w:r>
            <w:r w:rsidR="00415528">
              <w:rPr>
                <w:noProof/>
                <w:webHidden/>
              </w:rPr>
            </w:r>
            <w:r w:rsidR="00415528">
              <w:rPr>
                <w:noProof/>
                <w:webHidden/>
              </w:rPr>
              <w:fldChar w:fldCharType="separate"/>
            </w:r>
            <w:r w:rsidR="00415528">
              <w:rPr>
                <w:noProof/>
                <w:webHidden/>
              </w:rPr>
              <w:t>7</w:t>
            </w:r>
            <w:r w:rsidR="00415528">
              <w:rPr>
                <w:noProof/>
                <w:webHidden/>
              </w:rPr>
              <w:fldChar w:fldCharType="end"/>
            </w:r>
          </w:hyperlink>
        </w:p>
        <w:p w14:paraId="2142C42B" w14:textId="77777777" w:rsidR="00415528" w:rsidRDefault="009E6611">
          <w:pPr>
            <w:pStyle w:val="TOC1"/>
            <w:tabs>
              <w:tab w:val="right" w:leader="dot" w:pos="9350"/>
            </w:tabs>
            <w:rPr>
              <w:rFonts w:eastAsiaTheme="minorEastAsia"/>
              <w:noProof/>
              <w:lang w:eastAsia="zh-CN"/>
            </w:rPr>
          </w:pPr>
          <w:hyperlink w:anchor="_Toc517700810" w:history="1">
            <w:r w:rsidR="00415528" w:rsidRPr="00DC6FDA">
              <w:rPr>
                <w:rStyle w:val="Hyperlink"/>
                <w:noProof/>
              </w:rPr>
              <w:t>References</w:t>
            </w:r>
            <w:r w:rsidR="00415528">
              <w:rPr>
                <w:noProof/>
                <w:webHidden/>
              </w:rPr>
              <w:tab/>
            </w:r>
            <w:r w:rsidR="00415528">
              <w:rPr>
                <w:noProof/>
                <w:webHidden/>
              </w:rPr>
              <w:fldChar w:fldCharType="begin"/>
            </w:r>
            <w:r w:rsidR="00415528">
              <w:rPr>
                <w:noProof/>
                <w:webHidden/>
              </w:rPr>
              <w:instrText xml:space="preserve"> PAGEREF _Toc517700810 \h </w:instrText>
            </w:r>
            <w:r w:rsidR="00415528">
              <w:rPr>
                <w:noProof/>
                <w:webHidden/>
              </w:rPr>
            </w:r>
            <w:r w:rsidR="00415528">
              <w:rPr>
                <w:noProof/>
                <w:webHidden/>
              </w:rPr>
              <w:fldChar w:fldCharType="separate"/>
            </w:r>
            <w:r w:rsidR="00415528">
              <w:rPr>
                <w:noProof/>
                <w:webHidden/>
              </w:rPr>
              <w:t>8</w:t>
            </w:r>
            <w:r w:rsidR="00415528">
              <w:rPr>
                <w:noProof/>
                <w:webHidden/>
              </w:rPr>
              <w:fldChar w:fldCharType="end"/>
            </w:r>
          </w:hyperlink>
        </w:p>
        <w:p w14:paraId="206D5748" w14:textId="77777777" w:rsidR="00FC67E9" w:rsidRDefault="0018478E">
          <w:r>
            <w:fldChar w:fldCharType="end"/>
          </w:r>
        </w:p>
      </w:sdtContent>
    </w:sdt>
    <w:p w14:paraId="1DBA3076" w14:textId="77777777" w:rsidR="001D7858" w:rsidRDefault="001D7858" w:rsidP="00AF213F">
      <w:pPr>
        <w:rPr>
          <w:b/>
          <w:szCs w:val="20"/>
        </w:rPr>
        <w:sectPr w:rsidR="001D7858" w:rsidSect="00FC67E9">
          <w:headerReference w:type="default" r:id="rId10"/>
          <w:footerReference w:type="default" r:id="rId11"/>
          <w:pgSz w:w="12240" w:h="15840"/>
          <w:pgMar w:top="1440" w:right="1440" w:bottom="1440" w:left="1440" w:header="708" w:footer="708" w:gutter="0"/>
          <w:pgNumType w:fmt="lowerRoman" w:start="1"/>
          <w:cols w:space="708"/>
          <w:docGrid w:linePitch="360"/>
        </w:sectPr>
      </w:pPr>
    </w:p>
    <w:p w14:paraId="4C5FE73E" w14:textId="77777777" w:rsidR="007855F4" w:rsidRDefault="006662B3" w:rsidP="001D7858">
      <w:pPr>
        <w:pStyle w:val="Heading1"/>
      </w:pPr>
      <w:bookmarkStart w:id="0" w:name="_Toc517700805"/>
      <w:bookmarkStart w:id="1" w:name="_GoBack"/>
      <w:bookmarkEnd w:id="1"/>
      <w:r>
        <w:lastRenderedPageBreak/>
        <w:t>Chapter 1: Background</w:t>
      </w:r>
      <w:bookmarkEnd w:id="0"/>
    </w:p>
    <w:p w14:paraId="1637204D" w14:textId="7278011E" w:rsidR="00015D5E" w:rsidRPr="0033383C" w:rsidRDefault="00015D5E" w:rsidP="00015D5E">
      <w:pPr>
        <w:rPr>
          <w:rFonts w:cs="Arial"/>
          <w:szCs w:val="20"/>
        </w:rPr>
      </w:pPr>
      <w:r w:rsidRPr="0033383C">
        <w:rPr>
          <w:rFonts w:cs="Arial"/>
          <w:szCs w:val="20"/>
        </w:rPr>
        <w:t>In past decades, urban sprawl has gained increasing attention</w:t>
      </w:r>
      <w:r>
        <w:rPr>
          <w:rFonts w:cs="Arial"/>
          <w:szCs w:val="20"/>
        </w:rPr>
        <w:t>s</w:t>
      </w:r>
      <w:r w:rsidRPr="0033383C">
        <w:rPr>
          <w:rFonts w:cs="Arial"/>
          <w:szCs w:val="20"/>
        </w:rPr>
        <w:t xml:space="preserve"> from researchers in multiple disciplines including, but not limited to, urban planning, public health, economics, and transportation engineering</w:t>
      </w:r>
      <w:r>
        <w:rPr>
          <w:rFonts w:cs="Arial"/>
          <w:szCs w:val="20"/>
        </w:rPr>
        <w:t xml:space="preserve"> </w:t>
      </w:r>
      <w:r>
        <w:rPr>
          <w:rFonts w:cs="Arial"/>
          <w:szCs w:val="20"/>
        </w:rPr>
        <w:fldChar w:fldCharType="begin" w:fldLock="1"/>
      </w:r>
      <w:r w:rsidR="008A7B50">
        <w:rPr>
          <w:rFonts w:cs="Arial"/>
          <w:szCs w:val="20"/>
        </w:rPr>
        <w:instrText>ADDIN CSL_CITATION { "citationItems" : [ { "id" : "ITEM-1", "itemData" : { "DOI" : "Yes", "abstract" : "In this paper we review and discuss multiple approaches of measuring urban sprawl. Our intent is not to propose new measures or methods but to present in a single paper an overview of approaches to measuring sprawl taken by scholars trained in a variety of disciplines. Our intent instead is to describe general approaches and to provide references to key sources for further examination. Based on our review, we draw two conclusions. First, over the last two decades we have made substantial progress in our ability to measure and analyze spatial patterns that constitute the problem known as urban sprawl. Second, because of the disciplinary boundaries in which this progress has been made, we understand parts of the problem better than we understand the problem as a whole.", "author" : [ { "dropping-particle" : "", "family" : "Knaap", "given" : "Gerrit-Jan", "non-dropping-particle" : "", "parse-names" : false, "suffix" : "" }, { "dropping-particle" : "", "family" : "Song", "given" : "Yan", "non-dropping-particle" : "", "parse-names" : false, "suffix" : "" }, { "dropping-particle" : "", "family" : "Ewing", "given" : "Reid", "non-dropping-particle" : "", "parse-names" : false, "suffix" : "" }, { "dropping-particle" : "", "family" : "Clifton", "given" : "Kelly", "non-dropping-particle" : "", "parse-names" : false, "suffix" : "" } ], "container-title" : "Landscape Ecology", "id" : "ITEM-1", "issued" : { "date-parts" : [ [ "2005" ] ] }, "page" : "1-46", "title" : "Seeing the Elephant : Multi-disciplinary Measures of Urban Sprawl", "type" : "article-journal" }, "uris" : [ "http://www.mendeley.com/documents/?uuid=bfe7671d-6b95-4d68-b2fe-2bc11f70605e" ] } ], "mendeley" : { "formattedCitation" : "(Knaap, Song, Ewing, &amp; Clifton, 2005)", "plainTextFormattedCitation" : "(Knaap, Song, Ewing, &amp; Clifton, 2005)", "previouslyFormattedCitation" : "(Knaap, Song, Ewing, &amp; Clifton, 2005)" }, "properties" : { "noteIndex" : 0 }, "schema" : "https://github.com/citation-style-language/schema/raw/master/csl-citation.json" }</w:instrText>
      </w:r>
      <w:r>
        <w:rPr>
          <w:rFonts w:cs="Arial"/>
          <w:szCs w:val="20"/>
        </w:rPr>
        <w:fldChar w:fldCharType="separate"/>
      </w:r>
      <w:r w:rsidR="008A7B50" w:rsidRPr="008A7B50">
        <w:rPr>
          <w:rFonts w:cs="Arial"/>
          <w:noProof/>
          <w:szCs w:val="20"/>
        </w:rPr>
        <w:t>(Knaap, Song, Ewing, &amp; Clifton, 2005)</w:t>
      </w:r>
      <w:r>
        <w:rPr>
          <w:rFonts w:cs="Arial"/>
          <w:szCs w:val="20"/>
        </w:rPr>
        <w:fldChar w:fldCharType="end"/>
      </w:r>
      <w:r w:rsidRPr="0033383C">
        <w:rPr>
          <w:rFonts w:cs="Arial"/>
          <w:szCs w:val="20"/>
        </w:rPr>
        <w:t>. A consensus on the definition of urban sprawl however, is still lacking. In the literature, urban sprawl is loosely defined as inefficient, unordered, and unorganized urban growth, which manifests in the forms of decentralization, fragmentation, and low-density of residence</w:t>
      </w:r>
      <w:r>
        <w:rPr>
          <w:rFonts w:cs="Arial"/>
          <w:szCs w:val="20"/>
        </w:rPr>
        <w:t xml:space="preserve"> </w:t>
      </w:r>
      <w:r>
        <w:rPr>
          <w:rFonts w:cs="Arial"/>
          <w:szCs w:val="20"/>
        </w:rPr>
        <w:fldChar w:fldCharType="begin" w:fldLock="1"/>
      </w:r>
      <w:r w:rsidR="008A7B50">
        <w:rPr>
          <w:rFonts w:cs="Arial"/>
          <w:szCs w:val="20"/>
        </w:rPr>
        <w:instrText>ADDIN CSL_CITATION { "citationItems" : [ { "id" : "ITEM-1", "itemData" : { "DOI" : "Cited By (since 1996) 164\\rExport Date 14 August 2012", "ISBN" : "0309085659", "ISSN" : "0361-1981", "PMID" : "965482", "abstract" : "Much as Justice Potter Stewart said of pornography, most people would be hard pressed to define urban sprawl, but they know it when they see it. Increasingly, however, that is not good enough. As more and more metropolitan areas debate the costs and consequences of poorly managed expansion there is an increasing need to be clear about the terms of the discussion. Politicians and planners aiming to contain sprawl also must have an agreed-upon way to define and measure it in order to track their progress. Beyond that, it is important for policy makers to be able to demonstrate how, and to what degree, sprawl has real implications for real people. The study underlying this report, the product of three years of research by Reid Ewing of Rutgers University and Rolf Pendall of Cornell University, represents the most comprehensive effort yet undertaken to define, measure and evaluate metropolitan sprawl and its impacts. This report is the first in a series of findings to be issued based on the ongoing analysis of that work.", "author" : [ { "dropping-particle" : "", "family" : "Ewing", "given" : "Reid", "non-dropping-particle" : "", "parse-names" : false, "suffix" : "" }, { "dropping-particle" : "", "family" : "Pendall", "given" : "Rolf", "non-dropping-particle" : "", "parse-names" : false, "suffix" : "" }, { "dropping-particle" : "", "family" : "Chen", "given" : "Don", "non-dropping-particle" : "", "parse-names" : false, "suffix" : "" } ], "container-title" : "Smart Growth America", "id" : "ITEM-1", "issued" : { "date-parts" : [ [ "2002" ] ] }, "number-of-pages" : "42", "title" : "Measuring Sprawl and Its Impact", "type" : "report" }, "uris" : [ "http://www.mendeley.com/documents/?uuid=01c2ba1a-4ad7-4e7f-a2cf-759fbf9fb73a" ] } ], "mendeley" : { "formattedCitation" : "(Ewing, Pendall, &amp; Chen, 2002)", "plainTextFormattedCitation" : "(Ewing, Pendall, &amp; Chen, 2002)", "previouslyFormattedCitation" : "(Ewing, Pendall, &amp; Chen, 2002)"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Pendall, &amp; Chen, 2002)</w:t>
      </w:r>
      <w:r>
        <w:rPr>
          <w:rFonts w:cs="Arial"/>
          <w:szCs w:val="20"/>
        </w:rPr>
        <w:fldChar w:fldCharType="end"/>
      </w:r>
      <w:r w:rsidRPr="0033383C">
        <w:rPr>
          <w:rFonts w:cs="Arial"/>
          <w:szCs w:val="20"/>
        </w:rPr>
        <w:t xml:space="preserve">. </w:t>
      </w:r>
    </w:p>
    <w:p w14:paraId="434FCF6A" w14:textId="72DF401C" w:rsidR="00796B1C" w:rsidRDefault="00015D5E" w:rsidP="00C9106D">
      <w:pPr>
        <w:ind w:firstLine="720"/>
        <w:rPr>
          <w:rFonts w:cs="Arial"/>
          <w:szCs w:val="20"/>
        </w:rPr>
      </w:pPr>
      <w:r w:rsidRPr="0033383C">
        <w:rPr>
          <w:rFonts w:cs="Arial"/>
          <w:szCs w:val="20"/>
        </w:rPr>
        <w:t>The nega</w:t>
      </w:r>
      <w:r>
        <w:rPr>
          <w:rFonts w:cs="Arial"/>
          <w:szCs w:val="20"/>
        </w:rPr>
        <w:t>tive impacts of urban sprawl have</w:t>
      </w:r>
      <w:r w:rsidRPr="0033383C">
        <w:rPr>
          <w:rFonts w:cs="Arial"/>
          <w:szCs w:val="20"/>
        </w:rPr>
        <w:t xml:space="preserve"> been widely acknowledged. There is ample evidence that urban sprawl significantly correlates with increased energy use, pollution, traffic congestion</w:t>
      </w:r>
      <w:r w:rsidR="00796B1C">
        <w:rPr>
          <w:rFonts w:cs="Arial"/>
          <w:szCs w:val="20"/>
        </w:rPr>
        <w:t xml:space="preserve"> </w:t>
      </w:r>
      <w:r w:rsidR="00796B1C">
        <w:rPr>
          <w:rFonts w:cs="Arial"/>
          <w:szCs w:val="20"/>
        </w:rPr>
        <w:fldChar w:fldCharType="begin" w:fldLock="1"/>
      </w:r>
      <w:r w:rsidR="008A7B50">
        <w:rPr>
          <w:rFonts w:cs="Arial"/>
          <w:szCs w:val="20"/>
        </w:rPr>
        <w:instrText>ADDIN CSL_CITATION { "citationItems" : [ { "id" : "ITEM-1", "itemData" : { "DOI" : "10.1177/0885412215595439", "ISSN" : "0743-1635", "author" : [ { "dropping-particle" : "", "family" : "Ewing", "given" : "Reid", "non-dropping-particle" : "", "parse-names" : false, "suffix" : "" }, { "dropping-particle" : "", "family" : "Hamidi", "given" : "Shima", "non-dropping-particle" : "", "parse-names" : false, "suffix" : "" } ], "container-title" : "Journal of Planning Literature", "id" : "ITEM-1", "issue" : "4", "issued" : { "date-parts" : [ [ "2015" ] ] }, "page" : "413-432", "title" : "Compactness versus Sprawl: A Review of Recent Evidence from the United States", "type" : "article-journal", "volume" : "30" }, "uris" : [ "http://www.mendeley.com/documents/?uuid=4bea761c-ed0a-423e-afd2-20697f0c0841" ] } ], "mendeley" : { "formattedCitation" : "(Ewing &amp; Hamidi, 2015)", "plainTextFormattedCitation" : "(Ewing &amp; Hamidi, 2015)", "previouslyFormattedCitation" : "(Ewing &amp; Hamidi, 2015)" }, "properties" : { "noteIndex" : 0 }, "schema" : "https://github.com/citation-style-language/schema/raw/master/csl-citation.json" }</w:instrText>
      </w:r>
      <w:r w:rsidR="00796B1C">
        <w:rPr>
          <w:rFonts w:cs="Arial"/>
          <w:szCs w:val="20"/>
        </w:rPr>
        <w:fldChar w:fldCharType="separate"/>
      </w:r>
      <w:r w:rsidR="008A7B50" w:rsidRPr="008A7B50">
        <w:rPr>
          <w:rFonts w:cs="Arial"/>
          <w:noProof/>
          <w:szCs w:val="20"/>
        </w:rPr>
        <w:t>(Ewing &amp; Hamidi, 2015)</w:t>
      </w:r>
      <w:r w:rsidR="00796B1C">
        <w:rPr>
          <w:rFonts w:cs="Arial"/>
          <w:szCs w:val="20"/>
        </w:rPr>
        <w:fldChar w:fldCharType="end"/>
      </w:r>
      <w:r w:rsidRPr="0033383C">
        <w:rPr>
          <w:rFonts w:cs="Arial"/>
          <w:szCs w:val="20"/>
        </w:rPr>
        <w:t xml:space="preserve">. It also contributes to a decline in community cohesiveness and the deconstruction of wildlife habitats. </w:t>
      </w:r>
      <w:r>
        <w:rPr>
          <w:rFonts w:cs="Arial"/>
          <w:szCs w:val="20"/>
        </w:rPr>
        <w:t xml:space="preserve">The impact of urban sprawl on public health has also been extensively studied. Past research has suggested that urban sprawl is significantly associated with physical inactivity </w:t>
      </w:r>
      <w:r>
        <w:rPr>
          <w:rFonts w:cs="Arial"/>
          <w:szCs w:val="20"/>
        </w:rPr>
        <w:fldChar w:fldCharType="begin" w:fldLock="1"/>
      </w:r>
      <w:r w:rsidR="008A7B50">
        <w:rPr>
          <w:rFonts w:cs="Arial"/>
          <w:szCs w:val="20"/>
        </w:rPr>
        <w:instrText>ADDIN CSL_CITATION { "citationItems" : [ { "id" : "ITEM-1", "itemData" : { "DOI" : "10.1177/1476127005050030", "ISBN" : "1461445604", "ISSN" : "00031224", "PMID" : "125", "author" : [ { "dropping-particle" : "", "family" : "Frumkin", "given" : "Howard", "non-dropping-particle" : "", "parse-names" : false, "suffix" : "" } ], "container-title" : "Public Health Reports", "id" : "ITEM-1", "issue" : "3", "issued" : { "date-parts" : [ [ "2002" ] ] }, "page" : "201-217", "title" : "Urban Sprawl and Public Health", "type" : "article-journal", "volume" : "117" }, "uris" : [ "http://www.mendeley.com/documents/?uuid=be0e282b-10c6-4f6b-b397-1f41bf384ca7" ] } ], "mendeley" : { "formattedCitation" : "(Frumkin, 2002)", "plainTextFormattedCitation" : "(Frumkin, 2002)", "previouslyFormattedCitation" : "(Frumkin, 2002)" }, "properties" : { "noteIndex" : 0 }, "schema" : "https://github.com/citation-style-language/schema/raw/master/csl-citation.json" }</w:instrText>
      </w:r>
      <w:r>
        <w:rPr>
          <w:rFonts w:cs="Arial"/>
          <w:szCs w:val="20"/>
        </w:rPr>
        <w:fldChar w:fldCharType="separate"/>
      </w:r>
      <w:r w:rsidR="008A7B50" w:rsidRPr="008A7B50">
        <w:rPr>
          <w:rFonts w:cs="Arial"/>
          <w:noProof/>
          <w:szCs w:val="20"/>
        </w:rPr>
        <w:t>(Frumkin, 2002)</w:t>
      </w:r>
      <w:r>
        <w:rPr>
          <w:rFonts w:cs="Arial"/>
          <w:szCs w:val="20"/>
        </w:rPr>
        <w:fldChar w:fldCharType="end"/>
      </w:r>
      <w:r>
        <w:rPr>
          <w:rFonts w:cs="Arial"/>
          <w:szCs w:val="20"/>
        </w:rPr>
        <w:t xml:space="preserve">,  higher Body Mass Index (BMI) </w:t>
      </w:r>
      <w:r>
        <w:rPr>
          <w:rFonts w:cs="Arial"/>
          <w:szCs w:val="20"/>
        </w:rPr>
        <w:fldChar w:fldCharType="begin" w:fldLock="1"/>
      </w:r>
      <w:r w:rsidR="008A7B50">
        <w:rPr>
          <w:rFonts w:cs="Arial"/>
          <w:szCs w:val="20"/>
        </w:rPr>
        <w:instrText>ADDIN CSL_CITATION { "citationItems" : [ { "id" : "ITEM-1", "itemData" : { "DOI" : "10.2105/AJPH.2004.060954", "ISSN" : "1541-0048", "PMID" : "17267734", "abstract" : "OBJECTIVES: We investigated the influence of neighborhood and metropolitan area characteristics on body mass index (BMI) in urban Canada in 2001.\n\nMETHODS: We conducted a multilevel analysis with data collected from a cross-sectional survey of men and women nested in neighborhoods and metropolitan areas in urban Canada during 2001.\n\nRESULTS: After we controlled for individual sociodemographic characteristics and behaviors, the average BMIs of residents of neighborhoods in which a large proportion of individuals had less than a high school education were higher than those BMIs of residents in neighborhoods with small proportions of such individuals (P&lt; .01). Living in a neighborhood with a high proportion of recent immigrants was associated with lower BMI for men (P&lt;.01), but not for women. Neighborhood dwelling density was not associated with BMI for either gender. Metropolitan sprawl was associated with higher BMI for men (P=.02), but the effect was not significant for women (P= .09).\n\nCONCLUSIONS: BMI is strongly patterned by an individual's social position in urban Canada. A neighborhood's social condition has an incremental influence on the average BMI of its residents. However, BMI is not influenced by dwelling density. Metropolitan sprawl is associated with higher BMI for Canadian men, which supports recent evidence of this same association among American men. Individuals and their environments collectively influence BMI in urban Canada.", "author" : [ { "dropping-particle" : "", "family" : "Ross", "given" : "Nancy a", "non-dropping-particle" : "", "parse-names" : false, "suffix" : "" }, { "dropping-particle" : "", "family" : "Tremblay", "given" : "Stephane", "non-dropping-particle" : "", "parse-names" : false, "suffix" : "" }, { "dropping-particle" : "", "family" : "Khan", "given" : "Saeeda", "non-dropping-particle" : "", "parse-names" : false, "suffix" : "" }, { "dropping-particle" : "", "family" : "Crouse", "given" : "Daniel", "non-dropping-particle" : "", "parse-names" : false, "suffix" : "" }, { "dropping-particle" : "", "family" : "Tremblay", "given" : "Mark", "non-dropping-particle" : "", "parse-names" : false, "suffix" : "" }, { "dropping-particle" : "", "family" : "Berthelot", "given" : "Jean-Marie", "non-dropping-particle" : "", "parse-names" : false, "suffix" : "" } ], "container-title" : "American journal of public health", "id" : "ITEM-1", "issue" : "3", "issued" : { "date-parts" : [ [ "2007", "3" ] ] }, "page" : "500-8", "title" : "Body mass index in urban Canada: neighborhood and metropolitan area effects.", "type" : "article-journal", "volume" : "97" }, "uris" : [ "http://www.mendeley.com/documents/?uuid=85afd7c6-ca2c-4d20-a197-5653e5e84f2a" ] } ], "mendeley" : { "formattedCitation" : "(Ross et al., 2007)", "plainTextFormattedCitation" : "(Ross et al., 2007)", "previouslyFormattedCitation" : "(Ross et al., 2007)" }, "properties" : { "noteIndex" : 0 }, "schema" : "https://github.com/citation-style-language/schema/raw/master/csl-citation.json" }</w:instrText>
      </w:r>
      <w:r>
        <w:rPr>
          <w:rFonts w:cs="Arial"/>
          <w:szCs w:val="20"/>
        </w:rPr>
        <w:fldChar w:fldCharType="separate"/>
      </w:r>
      <w:r w:rsidR="008A7B50" w:rsidRPr="008A7B50">
        <w:rPr>
          <w:rFonts w:cs="Arial"/>
          <w:noProof/>
          <w:szCs w:val="20"/>
        </w:rPr>
        <w:t>(Ross et al., 2007)</w:t>
      </w:r>
      <w:r>
        <w:rPr>
          <w:rFonts w:cs="Arial"/>
          <w:szCs w:val="20"/>
        </w:rPr>
        <w:fldChar w:fldCharType="end"/>
      </w:r>
      <w:r>
        <w:rPr>
          <w:rFonts w:cs="Arial"/>
          <w:szCs w:val="20"/>
        </w:rPr>
        <w:t xml:space="preserve"> and odds of being obese </w:t>
      </w:r>
      <w:r>
        <w:rPr>
          <w:rFonts w:cs="Arial"/>
          <w:szCs w:val="20"/>
        </w:rPr>
        <w:fldChar w:fldCharType="begin" w:fldLock="1"/>
      </w:r>
      <w:r w:rsidR="008A7B50">
        <w:rPr>
          <w:rFonts w:cs="Arial"/>
          <w:szCs w:val="20"/>
        </w:rPr>
        <w:instrText>ADDIN CSL_CITATION { "citationItems" : [ { "id" : "ITEM-1", "itemData" : { "DOI" : "10.1016/j.amepre.2006.08.020", "ISBN" : "0749-3797", "ISSN" : "07493797", "PMID" : "17169708", "abstract" : "Background: Among United States youth there is an obesity epidemic with potential life-long health implications. To date, relationships between the built environment and body mass index (BMI) have not been evaluated for youth, and have not been evaluated longitudinally. Objectives: To determine if urban sprawl is associated with BMI for U.S. youth. Methods: Using data from the 1997 National Longitudinal Survey of Youth (NLSY97), both cross-sectional and longitudinal analyses were conducted. Hierarchical modeling was used to relate characteristics of individuals, households, and places to BMI. Individual and household data were extracted from the NLSY97. The independent variable of interest was the county sprawl index, which was derived with principal components analyses from census and other data. Results: In a cross-sectional analysis, the likelihood of U.S. adolescents (aged 12-17 years) being overweight or at risk of overweight (???85th percentile relative to the Centers for Disease Control growth charts) was associated with county sprawl (p=0.022). In another cross-sectional analysis, after controlling for sociodemographic and behavioral covariates, the likelihood of young adults (aged 18-23 years) being obese was also associated with county sprawl (p=0.048). By contrast, in longitudinal analyses, BMI growth curves for individual youth over the 7 years of NLSY97, and BMI changes for individual youth who moved between counties, were not related to county sprawl (although coefficient signs were as expected). Conclusions: Cross-sectional analyses suggest that urban form is associated with being overweight among U.S. youth. The strength of these relationships proved comparable to those previously reported for adults. Longitudinal analyses show no such relationship. It is unclear why these approaches give different results, but sample sizes, latent effects, and confounders may contribute. ?? 2006 American Journal of Preventive Medicine.", "author" : [ { "dropping-particle" : "", "family" : "Ewing", "given" : "Reid", "non-dropping-particle" : "", "parse-names" : false, "suffix" : "" }, { "dropping-particle" : "", "family" : "Brownson", "given" : "Ross C.", "non-dropping-particle" : "", "parse-names" : false, "suffix" : "" }, { "dropping-particle" : "", "family" : "Berrigan", "given" : "David", "non-dropping-particle" : "", "parse-names" : false, "suffix" : "" } ], "container-title" : "American Journal of Preventive Medicine", "id" : "ITEM-1", "issue" : "6", "issued" : { "date-parts" : [ [ "2006" ] ] }, "page" : "464-474", "title" : "Relationship Between Urban Sprawl and Weight of United States Youth", "type" : "article-journal", "volume" : "31" }, "uris" : [ "http://www.mendeley.com/documents/?uuid=e3d9b8cc-bbd7-406a-a01d-de244ff87d42" ] } ], "mendeley" : { "formattedCitation" : "(Ewing, Brownson, &amp; Berrigan, 2006)", "plainTextFormattedCitation" : "(Ewing, Brownson, &amp; Berrigan, 2006)", "previouslyFormattedCitation" : "(Ewing, Brownson, &amp; Berrigan, 2006)"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Brownson, &amp; Berrigan, 2006)</w:t>
      </w:r>
      <w:r>
        <w:rPr>
          <w:rFonts w:cs="Arial"/>
          <w:szCs w:val="20"/>
        </w:rPr>
        <w:fldChar w:fldCharType="end"/>
      </w:r>
      <w:r>
        <w:rPr>
          <w:rFonts w:cs="Arial"/>
          <w:szCs w:val="20"/>
        </w:rPr>
        <w:t xml:space="preserve">, lower traffic safety </w:t>
      </w:r>
      <w:r>
        <w:rPr>
          <w:rFonts w:cs="Arial"/>
          <w:szCs w:val="20"/>
        </w:rPr>
        <w:fldChar w:fldCharType="begin" w:fldLock="1"/>
      </w:r>
      <w:r w:rsidR="008A7B50">
        <w:rPr>
          <w:rFonts w:cs="Arial"/>
          <w:szCs w:val="20"/>
        </w:rPr>
        <w:instrText>ADDIN CSL_CITATION { "citationItems" : [ { "id" : "ITEM-1", "itemData" : { "DOI" : "10.1177/0885412209335553", "ISBN" : "0885-4122", "ISSN" : "0885-4122, 1552-6593", "abstract" : "The article reaches two conclusions counter to accepted transportation engineering theory. First, the traffic environments of dense urban areas appear to be safer than the lower-volume environments of the suburbs. The reason is that many fewer miles are driven on a per capita basis, and the driving that is done is at lower speeds that are less likely to produce fatal crashes. Second, at least in dense urban areas, less-\u201cforgiving\u201d design treatments\u2014such as narrow lanes, traffic-calming measures, and street trees close to the roadway\u2014appear to enhance a roadway's safety performance when compared to more conventional roadway designs. The reason for this apparent anomaly may be that less-forgiving designs provide drivers with clear information on safe and appropriate operating speeds.", "author" : [ { "dropping-particle" : "", "family" : "Ewing", "given" : "Reid", "non-dropping-particle" : "", "parse-names" : false, "suffix" : "" }, { "dropping-particle" : "", "family" : "Dumbaugh", "given" : "Eric", "non-dropping-particle" : "", "parse-names" : false, "suffix" : "" } ], "container-title" : "Journal of Planning Literature", "id" : "ITEM-1", "issue" : "4", "issued" : { "date-parts" : [ [ "2009" ] ] }, "page" : "347-367", "title" : "The Built Environment and Traffic Safety A Review of Empirical Evidence", "type" : "article-journal", "volume" : "23" }, "uris" : [ "http://www.mendeley.com/documents/?uuid=d1183a91-c08e-429a-ab36-87bd9e14395c" ] } ], "mendeley" : { "formattedCitation" : "(Ewing &amp; Dumbaugh, 2009)", "plainTextFormattedCitation" : "(Ewing &amp; Dumbaugh, 2009)", "previouslyFormattedCitation" : "(Ewing &amp; Dumbaugh, 2009)"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&amp; Dumbaugh, 2009)</w:t>
      </w:r>
      <w:r>
        <w:rPr>
          <w:rFonts w:cs="Arial"/>
          <w:szCs w:val="20"/>
        </w:rPr>
        <w:fldChar w:fldCharType="end"/>
      </w:r>
      <w:r>
        <w:rPr>
          <w:rFonts w:cs="Arial"/>
          <w:szCs w:val="20"/>
        </w:rPr>
        <w:t xml:space="preserve">, and higher prevalence of heart disease </w:t>
      </w:r>
      <w:r>
        <w:rPr>
          <w:rFonts w:cs="Arial"/>
          <w:szCs w:val="20"/>
        </w:rPr>
        <w:fldChar w:fldCharType="begin" w:fldLock="1"/>
      </w:r>
      <w:r w:rsidR="008A7B50">
        <w:rPr>
          <w:rFonts w:cs="Arial"/>
          <w:szCs w:val="20"/>
        </w:rPr>
        <w:instrText>ADDIN CSL_CITATION { "citationItems" : [ { "id" : "ITEM-1", "itemData" : { "DOI" : "10.1016/j.healthplace.2012.11.003", "ISBN" : "1353-8292", "ISSN" : "1873-2054", "PMID" : "23376728", "abstract" : "Studies have reported relationships between urban sprawl, physical activity, and obesity, but - to date - no studies have considered the relationship between sprawl and coronary heart disease (CHD) endpoints. In this analysis, we use longitudinal data on post-menopausal women from the Women's Health Initiative (WHI) Clinical Trial to analyze the relationship between metropolitan statistical area (MSA)-level urban compactness (the opposite of sprawl) and CHD endpoints including death, any CHD event, and myocardial infarction. Models control for individual and neighborhood socio-demographic characteristics. Women who lived in more compact communities at baseline had a lower probability of experiencing a CHD event and CHD death or MI during the study follow-up period. One component of compactness, high residential density, had a particularly noteworthy effect on outcomes. Finally, exploratory analyses showed evidence that the effects of compactness were moderated by race and region.", "author" : [ { "dropping-particle" : "", "family" : "Griffin", "given" : "Beth Ann", "non-dropping-particle" : "", "parse-names" : false, "suffix" : "" }, { "dropping-particle" : "", "family" : "Eibner", "given" : "Christine", "non-dropping-particle" : "", "parse-names" : false, "suffix" : "" }, { "dropping-particle" : "", "family" : "Bird", "given" : "Chloe E", "non-dropping-particle" : "", "parse-names" : false, "suffix" : "" }, { "dropping-particle" : "", "family" : "Jewell", "given" : "Adria", "non-dropping-particle" : "", "parse-names" : false, "suffix" : "" }, { "dropping-particle" : "", "family" : "Margolis", "given" : "Karen", "non-dropping-particle" : "", "parse-names" : false, "suffix" : "" }, { "dropping-particle" : "", "family" : "Shih", "given" : "Regina", "non-dropping-particle" : "", "parse-names" : false, "suffix" : "" }, { "dropping-particle" : "", "family" : "Ellen Slaughter", "given" : "Mary", "non-dropping-particle" : "", "parse-names" : false, "suffix" : "" }, { "dropping-particle" : "", "family" : "Whitsel", "given" : "Eric A", "non-dropping-particle" : "", "parse-names" : false, "suffix" : "" }, { "dropping-particle" : "", "family" : "Allison", "given" : "Matthew", "non-dropping-particle" : "", "parse-names" : false, "suffix" : "" }, { "dropping-particle" : "", "family" : "Escarce", "given" : "Jose J", "non-dropping-particle" : "", "parse-names" : false, "suffix" : "" } ], "container-title" : "Health &amp; place", "id" : "ITEM-1", "issued" : { "date-parts" : [ [ "2013" ] ] }, "page" : "51-61", "publisher" : "Elsevier", "title" : "The relationship between urban sprawl and coronary heart disease in women.", "type" : "article-journal", "volume" : "20" }, "uris" : [ "http://www.mendeley.com/documents/?uuid=d2a768c7-b360-46d1-95f7-e8850d29d55f" ] } ], "mendeley" : { "formattedCitation" : "(Griffin et al., 2013)", "plainTextFormattedCitation" : "(Griffin et al., 2013)", "previouslyFormattedCitation" : "(Griffin et al., 2013)" }, "properties" : { "noteIndex" : 0 }, "schema" : "https://github.com/citation-style-language/schema/raw/master/csl-citation.json" }</w:instrText>
      </w:r>
      <w:r>
        <w:rPr>
          <w:rFonts w:cs="Arial"/>
          <w:szCs w:val="20"/>
        </w:rPr>
        <w:fldChar w:fldCharType="separate"/>
      </w:r>
      <w:r w:rsidR="008A7B50" w:rsidRPr="008A7B50">
        <w:rPr>
          <w:rFonts w:cs="Arial"/>
          <w:noProof/>
          <w:szCs w:val="20"/>
        </w:rPr>
        <w:t>(Griffin et al., 2013)</w:t>
      </w:r>
      <w:r>
        <w:rPr>
          <w:rFonts w:cs="Arial"/>
          <w:szCs w:val="20"/>
        </w:rPr>
        <w:fldChar w:fldCharType="end"/>
      </w:r>
      <w:r>
        <w:rPr>
          <w:rFonts w:cs="Arial"/>
          <w:szCs w:val="20"/>
        </w:rPr>
        <w:t xml:space="preserve">. </w:t>
      </w:r>
    </w:p>
    <w:p w14:paraId="50F88328" w14:textId="16E37FE3" w:rsidR="00C9106D" w:rsidRDefault="00C9106D" w:rsidP="00015D5E">
      <w:pPr>
        <w:rPr>
          <w:rFonts w:cs="Arial"/>
          <w:szCs w:val="20"/>
        </w:rPr>
      </w:pPr>
      <w:r>
        <w:rPr>
          <w:rFonts w:cs="Arial"/>
          <w:szCs w:val="20"/>
        </w:rPr>
        <w:tab/>
        <w:t xml:space="preserve">Numerous multi-dimensional approaches have been developed to construct urban sprawl indices. </w:t>
      </w:r>
      <w:r w:rsidRPr="0033383C">
        <w:rPr>
          <w:rFonts w:cs="Arial"/>
          <w:szCs w:val="20"/>
        </w:rPr>
        <w:t xml:space="preserve">For example, </w:t>
      </w:r>
      <w:proofErr w:type="spellStart"/>
      <w:r w:rsidRPr="0033383C">
        <w:rPr>
          <w:rFonts w:cs="Arial"/>
          <w:szCs w:val="20"/>
        </w:rPr>
        <w:t>Galster</w:t>
      </w:r>
      <w:proofErr w:type="spellEnd"/>
      <w:r w:rsidRPr="0033383C">
        <w:rPr>
          <w:rFonts w:cs="Arial"/>
          <w:szCs w:val="20"/>
        </w:rPr>
        <w:t xml:space="preserve"> et al. </w:t>
      </w:r>
      <w:r w:rsidRPr="0033383C">
        <w:rPr>
          <w:rFonts w:cs="Arial"/>
          <w:szCs w:val="20"/>
        </w:rPr>
        <w:fldChar w:fldCharType="begin" w:fldLock="1"/>
      </w:r>
      <w:r w:rsidR="008A7B50">
        <w:rPr>
          <w:rFonts w:cs="Arial"/>
          <w:szCs w:val="20"/>
        </w:rPr>
        <w:instrText>ADDIN CSL_CITATION { "citationItems" : [ { "id" : "ITEM-1", "itemData" : { "DOI" : "10.1080/10511482.2001.9521426", "ISBN" : "1051-1482", "ISSN" : "1051-1482", "abstract" : "The literature on urban sprawl confuses causes, consequences, and conditions. This article presents a conceptual definition of sprawl based on eight distinct dimensions of land use patterns: density, continuity, concentration, clustering, centrality, nuclearity, mixed uses, and proximity. Sprawl is defined as a condition of land use that is represented by low values on one or more of these dimensions. Each dimension is operationally defined and tested in 13 urbanized areas. Results for six dimensions are reported for each area, and an initial comparison of the extent of sprawl in the 13 areas is provided. The test confirms the utility of the approach and suggests that a clearer conceptual and operational definition can facilitate research on the causes and consequences of sprawl.", "author" : [ { "dropping-particle" : "", "family" : "Galster", "given" : "George", "non-dropping-particle" : "", "parse-names" : false, "suffix" : "" }, { "dropping-particle" : "", "family" : "Hanson", "given" : "Royce", "non-dropping-particle" : "", "parse-names" : false, "suffix" : "" }, { "dropping-particle" : "", "family" : "Ratcliffe", "given" : "Michael R.", "non-dropping-particle" : "", "parse-names" : false, "suffix" : "" }, { "dropping-particle" : "", "family" : "Wolman", "given" : "Harold", "non-dropping-particle" : "", "parse-names" : false, "suffix" : "" }, { "dropping-particle" : "", "family" : "Coleman", "given" : "Stephen", "non-dropping-particle" : "", "parse-names" : false, "suffix" : "" }, { "dropping-particle" : "", "family" : "Freihage", "given" : "Jason", "non-dropping-particle" : "", "parse-names" : false, "suffix" : "" } ], "container-title" : "Housing Policy Debate", "id" : "ITEM-1", "issue" : "4", "issued" : { "date-parts" : [ [ "2001" ] ] }, "page" : "681-717", "title" : "Wrestling Sprawl to the Ground: Defining and measuring an elusive concept", "type" : "article-journal", "volume" : "12" }, "uris" : [ "http://www.mendeley.com/documents/?uuid=9e7b62b7-a74f-4f07-abf6-0f14c06b2a75" ] } ], "mendeley" : { "formattedCitation" : "(Galster et al., 2001)", "manualFormatting" : "(2001)", "plainTextFormattedCitation" : "(Galster et al., 2001)", "previouslyFormattedCitation" : "(Galster et al., 2001)" }, "properties" : { "noteIndex" : 0 }, "schema" : "https://github.com/citation-style-language/schema/raw/master/csl-citation.json" }</w:instrText>
      </w:r>
      <w:r w:rsidRPr="0033383C">
        <w:rPr>
          <w:rFonts w:cs="Arial"/>
          <w:szCs w:val="20"/>
        </w:rPr>
        <w:fldChar w:fldCharType="separate"/>
      </w:r>
      <w:r w:rsidRPr="0033383C">
        <w:rPr>
          <w:rFonts w:cs="Arial"/>
          <w:noProof/>
          <w:szCs w:val="20"/>
        </w:rPr>
        <w:t>(2001)</w:t>
      </w:r>
      <w:r w:rsidRPr="0033383C">
        <w:rPr>
          <w:rFonts w:cs="Arial"/>
          <w:szCs w:val="20"/>
        </w:rPr>
        <w:fldChar w:fldCharType="end"/>
      </w:r>
      <w:r w:rsidRPr="0033383C">
        <w:rPr>
          <w:rFonts w:cs="Arial"/>
          <w:szCs w:val="20"/>
        </w:rPr>
        <w:t xml:space="preserve"> conceptually defined urban sprawl with eight distinct dimensions: density, continuity, concentration, clustering, centrality, </w:t>
      </w:r>
      <w:proofErr w:type="spellStart"/>
      <w:r w:rsidRPr="0033383C">
        <w:rPr>
          <w:rFonts w:cs="Arial"/>
          <w:szCs w:val="20"/>
        </w:rPr>
        <w:t>nuclear</w:t>
      </w:r>
      <w:r>
        <w:rPr>
          <w:rFonts w:cs="Arial"/>
          <w:szCs w:val="20"/>
        </w:rPr>
        <w:t>ity</w:t>
      </w:r>
      <w:proofErr w:type="spellEnd"/>
      <w:r>
        <w:rPr>
          <w:rFonts w:cs="Arial"/>
          <w:szCs w:val="20"/>
        </w:rPr>
        <w:t xml:space="preserve">, mixed uses, and proximity. </w:t>
      </w:r>
      <w:r w:rsidRPr="0033383C">
        <w:rPr>
          <w:rFonts w:cs="Arial"/>
          <w:szCs w:val="20"/>
        </w:rPr>
        <w:t xml:space="preserve">Ewing et al. </w:t>
      </w:r>
      <w:r>
        <w:rPr>
          <w:rFonts w:cs="Arial"/>
          <w:szCs w:val="20"/>
        </w:rPr>
        <w:fldChar w:fldCharType="begin" w:fldLock="1"/>
      </w:r>
      <w:r w:rsidR="008A7B50">
        <w:rPr>
          <w:rFonts w:cs="Arial"/>
          <w:szCs w:val="20"/>
        </w:rPr>
        <w:instrText>ADDIN CSL_CITATION { "citationItems" : [ { "id" : "ITEM-1",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"ITEM-1", "issue" : "1", "issued" : { "date-parts" : [ [ "2003" ] ] }, "page" : "47-57", "title" : "Relationship between urban sprawl and physical activity, obesity, and morbidity", "type" : "article-journal", "volume" : "18" }, "uris" : [ "http://www.mendeley.com/documents/?uuid=377221b7-6d65-454c-ab8b-aa9c389b73f5" ] } ], "mendeley" : { "formattedCitation" : "(Ewing, Schmid, Killingsworth, Zlot, &amp; Raudenbush, 2003)", "manualFormatting" : "(2003)", "plainTextFormattedCitation" : "(Ewing, Schmid, Killingsworth, Zlot, &amp; Raudenbush, 2003)", "previouslyFormattedCitation" : "(Ewing, Schmid, Killingsworth, Zlot, &amp; Raudenbush, 2003)" }, "properties" : { "noteIndex" : 0 }, "schema" : "https://github.com/citation-style-language/schema/raw/master/csl-citation.json" }</w:instrText>
      </w:r>
      <w:r>
        <w:rPr>
          <w:rFonts w:cs="Arial"/>
          <w:szCs w:val="20"/>
        </w:rPr>
        <w:fldChar w:fldCharType="separate"/>
      </w:r>
      <w:r w:rsidRPr="00330802">
        <w:rPr>
          <w:rFonts w:cs="Arial"/>
          <w:noProof/>
          <w:szCs w:val="20"/>
        </w:rPr>
        <w:t>(2003)</w:t>
      </w:r>
      <w:r>
        <w:rPr>
          <w:rFonts w:cs="Arial"/>
          <w:szCs w:val="20"/>
        </w:rPr>
        <w:fldChar w:fldCharType="end"/>
      </w:r>
      <w:r>
        <w:rPr>
          <w:rFonts w:cs="Arial"/>
          <w:szCs w:val="20"/>
        </w:rPr>
        <w:t xml:space="preserve"> </w:t>
      </w:r>
      <w:r w:rsidRPr="0033383C">
        <w:rPr>
          <w:rFonts w:cs="Arial"/>
          <w:szCs w:val="20"/>
        </w:rPr>
        <w:t xml:space="preserve">developed an urban sprawl index at the metropolitan area level with four dimensions of urban forms, namely residential density, street accessibility, land use mix, and degree of centering. This index was developed at the county level as well but with the first two dimensions only. Their research team recently updated the county-level index with all four dimensions, in parallel with the metropolitan area level index </w:t>
      </w:r>
      <w:r w:rsidRPr="0033383C">
        <w:rPr>
          <w:rFonts w:cs="Arial"/>
          <w:szCs w:val="20"/>
        </w:rPr>
        <w:fldChar w:fldCharType="begin" w:fldLock="1"/>
      </w:r>
      <w:r w:rsidR="008A7B50">
        <w:rPr>
          <w:rFonts w:cs="Arial"/>
          <w:szCs w:val="20"/>
        </w:rPr>
        <w:instrText>ADDIN CSL_CITATION { "citationItems" : [ { "id" : "ITEM-1",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"ITEM-1", "issued" : { "date-parts" : [ [ "2014" ] ] }, "page" : "118-126", "publisher" : "Elsevier", "title" : "Relationship between urban sprawl and physical activity, obesity, and morbidity - Update and refinement", "type" : "article-journal", "volume" : "26" }, "uris" : [ "http://www.mendeley.com/documents/?uuid=26d066bb-2745-448d-b0f9-c1cda592d6f8" ] } ], "mendeley" : { "formattedCitation" : "(Ewing, Meakins, Hamidi, &amp; Nelson, 2014)", "manualFormatting" : "(Ewing et al., 2014)", "plainTextFormattedCitation" : "(Ewing, Meakins, Hamidi, &amp; Nelson, 2014)", "previouslyFormattedCitation" : "(Ewing, Meakins, Hamidi, &amp; Nelson, 2014)" }, "properties" : { "noteIndex" : 0 }, "schema" : "https://github.com/citation-style-language/schema/raw/master/csl-citation.json" }</w:instrText>
      </w:r>
      <w:r w:rsidRPr="0033383C">
        <w:rPr>
          <w:rFonts w:cs="Arial"/>
          <w:szCs w:val="20"/>
        </w:rPr>
        <w:fldChar w:fldCharType="separate"/>
      </w:r>
      <w:r w:rsidRPr="0033383C">
        <w:rPr>
          <w:rFonts w:cs="Arial"/>
          <w:noProof/>
          <w:szCs w:val="20"/>
        </w:rPr>
        <w:t>(Ewing et al., 2014)</w:t>
      </w:r>
      <w:r w:rsidRPr="0033383C">
        <w:rPr>
          <w:rFonts w:cs="Arial"/>
          <w:szCs w:val="20"/>
        </w:rPr>
        <w:fldChar w:fldCharType="end"/>
      </w:r>
      <w:r>
        <w:rPr>
          <w:rFonts w:cs="Arial"/>
          <w:szCs w:val="20"/>
        </w:rPr>
        <w:t>.</w:t>
      </w:r>
      <w:r w:rsidRPr="0033383C">
        <w:rPr>
          <w:rFonts w:cs="Arial"/>
          <w:szCs w:val="20"/>
        </w:rPr>
        <w:t xml:space="preserve"> Frenkel and Ashkenazi </w:t>
      </w:r>
      <w:r w:rsidRPr="0033383C">
        <w:rPr>
          <w:rFonts w:cs="Arial"/>
          <w:szCs w:val="20"/>
        </w:rPr>
        <w:fldChar w:fldCharType="begin" w:fldLock="1"/>
      </w:r>
      <w:r w:rsidR="008A7B50">
        <w:rPr>
          <w:rFonts w:cs="Arial"/>
          <w:szCs w:val="20"/>
        </w:rPr>
        <w:instrText>ADDIN CSL_CITATION { "citationItems" : [ { "id" : "ITEM-1", "itemData" : { "DOI" : "10.1068/b32155", "ISBN" : "02658135 (ISSN)", "ISSN" : "02658135", "abstract" : "Measuring urban sprawl is a controversial topic among scholars who investigate the urban landscape. This study attempts to measure sprawl from a landscape perspective. The measures and indices used are derived from various research disciplines, such as urban research, ecological research, and fractal geometry. The examination was based on an urban land-use survey performed in seventy-eight urban settlements in Israel over the course of fifteen years. Measures of sprawl were calculated at each settlement and were then weighted into one integrated sprawl index through factor analysis, thus enabling a description of sprawl rates and their dynamics over a time period of approximately two decades. The results reveal that urban sprawl is a multidimensional phenomenon that is best quantified by various measures.", "author" : [ { "dropping-particle" : "", "family" : "Frenkel", "given" : "Amnon", "non-dropping-particle" : "", "parse-names" : false, "suffix" : "" }, { "dropping-particle" : "", "family" : "Ashkenazi", "given" : "Maya", "non-dropping-particle" : "", "parse-names" : false, "suffix" : "" } ], "container-title" : "Environment and Planning B: Urban Analytics and City Science", "id" : "ITEM-1", "issue" : "1", "issued" : { "date-parts" : [ [ "2008" ] ] }, "page" : "56-79", "title" : "Measuring urban sprawl: How can we deal with it?", "type" : "article-journal", "volume" : "35" }, "uris" : [ "http://www.mendeley.com/documents/?uuid=4f9197ca-59f0-4330-a8c9-bc4883f69b61" ] } ], "mendeley" : { "formattedCitation" : "(Frenkel &amp; Ashkenazi, 2008)", "manualFormatting" : "(2008)", "plainTextFormattedCitation" : "(Frenkel &amp; Ashkenazi, 2008)", "previouslyFormattedCitation" : "(Frenkel &amp; Ashkenazi, 2008)" }, "properties" : { "noteIndex" : 0 }, "schema" : "https://github.com/citation-style-language/schema/raw/master/csl-citation.json" }</w:instrText>
      </w:r>
      <w:r w:rsidRPr="0033383C">
        <w:rPr>
          <w:rFonts w:cs="Arial"/>
          <w:szCs w:val="20"/>
        </w:rPr>
        <w:fldChar w:fldCharType="separate"/>
      </w:r>
      <w:r w:rsidRPr="0033383C">
        <w:rPr>
          <w:rFonts w:cs="Arial"/>
          <w:noProof/>
          <w:szCs w:val="20"/>
        </w:rPr>
        <w:t>(2008)</w:t>
      </w:r>
      <w:r w:rsidRPr="0033383C">
        <w:rPr>
          <w:rFonts w:cs="Arial"/>
          <w:szCs w:val="20"/>
        </w:rPr>
        <w:fldChar w:fldCharType="end"/>
      </w:r>
      <w:r w:rsidRPr="0033383C">
        <w:rPr>
          <w:rFonts w:cs="Arial"/>
          <w:szCs w:val="20"/>
        </w:rPr>
        <w:t xml:space="preserve"> measured urban sprawl by weighting thirteen variables from three dimensions – density, </w:t>
      </w:r>
      <w:proofErr w:type="spellStart"/>
      <w:r w:rsidRPr="0033383C">
        <w:rPr>
          <w:rFonts w:cs="Arial"/>
          <w:szCs w:val="20"/>
        </w:rPr>
        <w:t>scatter</w:t>
      </w:r>
      <w:r>
        <w:rPr>
          <w:rFonts w:cs="Arial"/>
          <w:szCs w:val="20"/>
        </w:rPr>
        <w:t>ness</w:t>
      </w:r>
      <w:proofErr w:type="spellEnd"/>
      <w:r>
        <w:rPr>
          <w:rFonts w:cs="Arial"/>
          <w:szCs w:val="20"/>
        </w:rPr>
        <w:t xml:space="preserve">, and mixture of land uses; </w:t>
      </w:r>
      <w:proofErr w:type="spellStart"/>
      <w:r>
        <w:rPr>
          <w:rFonts w:cs="Arial"/>
          <w:szCs w:val="20"/>
        </w:rPr>
        <w:t>Arribas</w:t>
      </w:r>
      <w:proofErr w:type="spellEnd"/>
      <w:r>
        <w:rPr>
          <w:rFonts w:cs="Arial"/>
          <w:szCs w:val="20"/>
        </w:rPr>
        <w:t xml:space="preserve">-Bel et al. </w:t>
      </w:r>
      <w:r>
        <w:rPr>
          <w:rFonts w:cs="Arial"/>
          <w:szCs w:val="20"/>
        </w:rPr>
        <w:fldChar w:fldCharType="begin" w:fldLock="1"/>
      </w:r>
      <w:r w:rsidR="008A7B50">
        <w:rPr>
          <w:rFonts w:cs="Arial"/>
          <w:szCs w:val="20"/>
        </w:rPr>
        <w:instrText>ADDIN CSL_CITATION { "citationItems" : [ { "id" : "ITEM-1", "itemData" : { "DOI" : "10.1016/j.compenvurbsys.2010.10.002", "ISBN" : "0198-9715", "ISSN" : "01989715", "abstract" : "The present paper addresses the issue of urban sprawl in Europe from a multidimensional point of view, identifying the most sprawled areas and characterizing them in terms of population size. The literature is reviewed to categorize and extract the most relevant six dimensions that define the concept and several indices are specified to implement them. These are then calculated for a sample of the main European cities that uses several sources to obtain the best possible dataset to measure urban sprawl. All this information is brought together using the self-organizing map (SOM) algorithm to be visualized and further studied, taking advantage of its properties as a data-reduction as well as a clustering technique. The analysis locates the hot-spots of urban sprawl in Europe in the centre of the continent, around Germany, and characterizes such urban areas as small, always half the size of the average city of the sample. ?? 2010 Elsevier Ltd.", "author" : [ { "dropping-particle" : "", "family" : "Arribas-Bel", "given" : "Daniel", "non-dropping-particle" : "", "parse-names" : false, "suffix" : "" }, { "dropping-particle" : "", "family" : "Nijkamp", "given" : "Peter", "non-dropping-particle" : "", "parse-names" : false, "suffix" : "" }, { "dropping-particle" : "", "family" : "Scholten", "given" : "Henk", "non-dropping-particle" : "", "parse-names" : false, "suffix" : "" } ], "container-title" : "Computers, Environment and Urban Systems", "id" : "ITEM-1", "issue" : "4", "issued" : { "date-parts" : [ [ "2011" ] ] }, "page" : "263-275", "publisher" : "Elsevier Ltd", "title" : "Multidimensional urban sprawl in Europe: A self-organizing map approach", "type" : "article-journal", "volume" : "35" }, "uris" : [ "http://www.mendeley.com/documents/?uuid=d5993353-d7dc-48cc-817b-6e431bc26d59" ] } ], "mendeley" : { "formattedCitation" : "(Arribas-Bel, Nijkamp, &amp; Scholten, 2011)", "manualFormatting" : "(2011)", "plainTextFormattedCitation" : "(Arribas-Bel, Nijkamp, &amp; Scholten, 2011)", "previouslyFormattedCitation" : "(Arribas-Bel, Nijkamp, &amp; Scholten, 2011)" }, "properties" : { "noteIndex" : 0 }, "schema" : "https://github.com/citation-style-language/schema/raw/master/csl-citation.json" }</w:instrText>
      </w:r>
      <w:r>
        <w:rPr>
          <w:rFonts w:cs="Arial"/>
          <w:szCs w:val="20"/>
        </w:rPr>
        <w:fldChar w:fldCharType="separate"/>
      </w:r>
      <w:r w:rsidRPr="00FC6A22">
        <w:rPr>
          <w:rFonts w:cs="Arial"/>
          <w:noProof/>
          <w:szCs w:val="20"/>
        </w:rPr>
        <w:t>(2011)</w:t>
      </w:r>
      <w:r>
        <w:rPr>
          <w:rFonts w:cs="Arial"/>
          <w:szCs w:val="20"/>
        </w:rPr>
        <w:fldChar w:fldCharType="end"/>
      </w:r>
      <w:r>
        <w:rPr>
          <w:rFonts w:cs="Arial"/>
          <w:szCs w:val="20"/>
        </w:rPr>
        <w:t xml:space="preserve"> proposed a conceptual framework for measuring urban sprawl which is composed of two categories: one, urban morphology with dimensions scattering, connectivity, and availability of open space; and two, internal composition with dimensions density, decentralization, and land-use mix.</w:t>
      </w:r>
    </w:p>
    <w:p w14:paraId="31638418" w14:textId="7CF14D23" w:rsidR="00C9106D" w:rsidRDefault="00C9106D" w:rsidP="00015D5E">
      <w:pPr>
        <w:rPr>
          <w:rFonts w:cs="Arial"/>
          <w:szCs w:val="20"/>
        </w:rPr>
      </w:pPr>
      <w:r>
        <w:rPr>
          <w:rFonts w:cs="Arial"/>
          <w:szCs w:val="20"/>
        </w:rPr>
        <w:tab/>
        <w:t>Previous studies</w:t>
      </w:r>
      <w:r w:rsidR="005C593C">
        <w:rPr>
          <w:rFonts w:cs="Arial"/>
          <w:szCs w:val="20"/>
        </w:rPr>
        <w:t xml:space="preserve"> </w:t>
      </w:r>
      <w:r>
        <w:rPr>
          <w:rFonts w:cs="Arial"/>
          <w:szCs w:val="20"/>
        </w:rPr>
        <w:t xml:space="preserve">fall short by predominantly exploring </w:t>
      </w:r>
      <w:r w:rsidRPr="0033383C">
        <w:rPr>
          <w:rFonts w:cs="Arial"/>
          <w:szCs w:val="20"/>
        </w:rPr>
        <w:t>urban sprawl at large-area levels, for example, Census Metropolitan Area. Analyzing urban sprawl at a finer geographical scale (i.e., smaller area level such as Census Tract)</w:t>
      </w:r>
      <w:r>
        <w:rPr>
          <w:rFonts w:cs="Arial"/>
          <w:szCs w:val="20"/>
        </w:rPr>
        <w:t xml:space="preserve"> however,</w:t>
      </w:r>
      <w:r w:rsidRPr="0033383C">
        <w:rPr>
          <w:rFonts w:cs="Arial"/>
          <w:szCs w:val="20"/>
        </w:rPr>
        <w:t xml:space="preserve"> is more justifiable. Built environments in a small area are </w:t>
      </w:r>
      <w:r>
        <w:rPr>
          <w:rFonts w:cs="Arial"/>
          <w:szCs w:val="20"/>
        </w:rPr>
        <w:t xml:space="preserve">more homogeneous with </w:t>
      </w:r>
      <w:r w:rsidRPr="0033383C">
        <w:rPr>
          <w:rFonts w:cs="Arial"/>
          <w:szCs w:val="20"/>
        </w:rPr>
        <w:t>central and outlying areas</w:t>
      </w:r>
      <w:r>
        <w:rPr>
          <w:rFonts w:cs="Arial"/>
          <w:szCs w:val="20"/>
        </w:rPr>
        <w:t xml:space="preserve"> being more similar</w:t>
      </w:r>
      <w:r w:rsidRPr="0033383C">
        <w:rPr>
          <w:rFonts w:cs="Arial"/>
          <w:szCs w:val="20"/>
        </w:rPr>
        <w:t>, thus better representing residents’ day-to-day activities</w:t>
      </w:r>
      <w:r>
        <w:rPr>
          <w:rFonts w:cs="Arial"/>
          <w:szCs w:val="20"/>
        </w:rPr>
        <w:t xml:space="preserve"> </w:t>
      </w:r>
      <w:r>
        <w:rPr>
          <w:rFonts w:cs="Arial"/>
          <w:szCs w:val="20"/>
        </w:rPr>
        <w:fldChar w:fldCharType="begin" w:fldLock="1"/>
      </w:r>
      <w:r w:rsidR="008A7B50">
        <w:rPr>
          <w:rFonts w:cs="Arial"/>
          <w:szCs w:val="20"/>
        </w:rPr>
        <w:instrText>ADDIN CSL_CITATION { "citationItems" : [ { "id" : "ITEM-1",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"ITEM-1", "issue" : "1", "issued" : { "date-parts" : [ [ "2003" ] ] }, "page" : "47-57", "title" : "Relationship between urban sprawl and physical activity, obesity, and morbidity", "type" : "article-journal", "volume" : "18" }, "uris" : [ "http://www.mendeley.com/documents/?uuid=377221b7-6d65-454c-ab8b-aa9c389b73f5" ] }, { "id" : "ITEM-2",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"ITEM-2", "issued" : { "date-parts" : [ [ "2014" ] ] }, "page" : "118-126", "publisher" : "Elsevier", "title" : "Relationship between urban sprawl and physical activity, obesity, and morbidity - Update and refinement", "type" : "article-journal", "volume" : "26" }, "uris" : [ "http://www.mendeley.com/documents/?uuid=26d066bb-2745-448d-b0f9-c1cda592d6f8" ] } ], "mendeley" : { "formattedCitation" : "(Ewing et al., 2014, 2003)", "plainTextFormattedCitation" : "(Ewing et al., 2014, 2003)", "previouslyFormattedCitation" : "(Ewing et al., 2014, 2003)" }, "properties" : { "noteIndex" : 0 }, "schema" : "https://github.com/citation-style-language/schema/raw/master/csl-citation.json" }</w:instrText>
      </w:r>
      <w:r>
        <w:rPr>
          <w:rFonts w:cs="Arial"/>
          <w:szCs w:val="20"/>
        </w:rPr>
        <w:fldChar w:fldCharType="separate"/>
      </w:r>
      <w:r w:rsidR="008A7B50" w:rsidRPr="008A7B50">
        <w:rPr>
          <w:rFonts w:cs="Arial"/>
          <w:noProof/>
          <w:szCs w:val="20"/>
        </w:rPr>
        <w:t>(Ewing et al., 2014, 2003)</w:t>
      </w:r>
      <w:r>
        <w:rPr>
          <w:rFonts w:cs="Arial"/>
          <w:szCs w:val="20"/>
        </w:rPr>
        <w:fldChar w:fldCharType="end"/>
      </w:r>
      <w:r w:rsidRPr="0033383C">
        <w:rPr>
          <w:rFonts w:cs="Arial"/>
          <w:szCs w:val="20"/>
        </w:rPr>
        <w:t xml:space="preserve">. This improvement could potentially lead to the increased explanatory and predictive power of urban sprawl on health outcomes, especially when individual-level rather than ecological analysis is conducted. </w:t>
      </w:r>
      <w:r>
        <w:rPr>
          <w:rFonts w:cs="Arial"/>
          <w:szCs w:val="20"/>
        </w:rPr>
        <w:t xml:space="preserve">Developing urban sprawl indices at small-area levels poses challenges for statistical modelling. A majority of past research applies </w:t>
      </w:r>
      <w:r w:rsidRPr="0033383C">
        <w:rPr>
          <w:rFonts w:cs="Arial"/>
          <w:szCs w:val="20"/>
        </w:rPr>
        <w:t>non-spatial</w:t>
      </w:r>
      <w:r>
        <w:rPr>
          <w:rFonts w:cs="Arial"/>
          <w:szCs w:val="20"/>
        </w:rPr>
        <w:t xml:space="preserve"> modelling</w:t>
      </w:r>
      <w:r w:rsidRPr="0033383C">
        <w:rPr>
          <w:rFonts w:cs="Arial"/>
          <w:szCs w:val="20"/>
        </w:rPr>
        <w:t>. While this might not be an issue for analyses at large-area level</w:t>
      </w:r>
      <w:r>
        <w:rPr>
          <w:rFonts w:cs="Arial"/>
          <w:szCs w:val="20"/>
        </w:rPr>
        <w:t>s</w:t>
      </w:r>
      <w:r w:rsidRPr="0033383C">
        <w:rPr>
          <w:rFonts w:cs="Arial"/>
          <w:szCs w:val="20"/>
        </w:rPr>
        <w:t>, it is potentially problematic for small-area a</w:t>
      </w:r>
      <w:r>
        <w:rPr>
          <w:rFonts w:cs="Arial"/>
          <w:szCs w:val="20"/>
        </w:rPr>
        <w:t xml:space="preserve">nalyses, given that small-area sprawl indicators (e.g., population density) tend to be </w:t>
      </w:r>
      <w:r>
        <w:rPr>
          <w:rFonts w:cs="Arial"/>
          <w:szCs w:val="20"/>
        </w:rPr>
        <w:lastRenderedPageBreak/>
        <w:t>similar in adjacent areas (a.k.a. the spatial autocorrelation issue). To address this issue, a spatial version of dimension-reduction statistical approaches such as spatial factor analysis is needed. Otherwise, biased and imprecise inferences could be obtained for urban sprawl estimations.</w:t>
      </w:r>
    </w:p>
    <w:p w14:paraId="764155B8" w14:textId="7368C0BF" w:rsidR="005C593C" w:rsidRDefault="005C593C" w:rsidP="005C593C">
      <w:pPr>
        <w:ind w:firstLine="720"/>
        <w:rPr>
          <w:rFonts w:cs="Arial"/>
          <w:szCs w:val="20"/>
        </w:rPr>
      </w:pPr>
      <w:r w:rsidRPr="0033383C">
        <w:rPr>
          <w:rFonts w:cs="Arial"/>
          <w:szCs w:val="20"/>
        </w:rPr>
        <w:t xml:space="preserve">Although urban sprawl is a global issue, previous studies have been </w:t>
      </w:r>
      <w:r>
        <w:rPr>
          <w:rFonts w:cs="Arial"/>
          <w:szCs w:val="20"/>
        </w:rPr>
        <w:t>primarily</w:t>
      </w:r>
      <w:r w:rsidRPr="0033383C">
        <w:rPr>
          <w:rFonts w:cs="Arial"/>
          <w:szCs w:val="20"/>
        </w:rPr>
        <w:t xml:space="preserve"> conducted in the United States. The website of National Cancer Institute (https://gis.cancer.gov/tools/urban-sprawl/) provides </w:t>
      </w:r>
      <w:r>
        <w:rPr>
          <w:rFonts w:cs="Arial"/>
          <w:szCs w:val="20"/>
        </w:rPr>
        <w:t xml:space="preserve">nationwide </w:t>
      </w:r>
      <w:r w:rsidRPr="0033383C">
        <w:rPr>
          <w:rFonts w:cs="Arial"/>
          <w:szCs w:val="20"/>
        </w:rPr>
        <w:t>urban sprawl indices</w:t>
      </w:r>
      <w:r>
        <w:rPr>
          <w:rFonts w:cs="Arial"/>
          <w:szCs w:val="20"/>
        </w:rPr>
        <w:t xml:space="preserve"> at multiple geographical levels (i.e., metropolitan, county, and census tract) in the United States. In contrast, </w:t>
      </w:r>
      <w:r w:rsidRPr="00123FEB">
        <w:rPr>
          <w:rFonts w:cs="Arial"/>
          <w:szCs w:val="20"/>
        </w:rPr>
        <w:t>there have been much fewer studies that explore urban sprawl in the Canadian context, usually at large-area levels</w:t>
      </w:r>
      <w:r w:rsidRPr="0033383C">
        <w:rPr>
          <w:rFonts w:cs="Arial"/>
          <w:szCs w:val="20"/>
        </w:rPr>
        <w:t xml:space="preserve">. For example, </w:t>
      </w:r>
      <w:r>
        <w:rPr>
          <w:rFonts w:cs="Arial"/>
          <w:szCs w:val="20"/>
        </w:rPr>
        <w:t>R</w:t>
      </w:r>
      <w:r>
        <w:rPr>
          <w:rFonts w:cs="Arial" w:hint="eastAsia"/>
          <w:szCs w:val="20"/>
        </w:rPr>
        <w:t>oss</w:t>
      </w:r>
      <w:r>
        <w:rPr>
          <w:rFonts w:cs="Arial"/>
          <w:szCs w:val="20"/>
        </w:rPr>
        <w:t xml:space="preserve"> et al. </w:t>
      </w:r>
      <w:r>
        <w:rPr>
          <w:rFonts w:cs="Arial"/>
          <w:szCs w:val="20"/>
        </w:rPr>
        <w:fldChar w:fldCharType="begin" w:fldLock="1"/>
      </w:r>
      <w:r w:rsidR="008A7B50">
        <w:rPr>
          <w:rFonts w:cs="Arial"/>
          <w:szCs w:val="20"/>
        </w:rPr>
        <w:instrText>ADDIN CSL_CITATION { "citationItems" : [ { "id" : "ITEM-1", "itemData" : { "DOI" : "10.2105/AJPH.2004.060954", "ISSN" : "1541-0048", "PMID" : "17267734", "abstract" : "OBJECTIVES: We investigated the influence of neighborhood and metropolitan area characteristics on body mass index (BMI) in urban Canada in 2001.\n\nMETHODS: We conducted a multilevel analysis with data collected from a cross-sectional survey of men and women nested in neighborhoods and metropolitan areas in urban Canada during 2001.\n\nRESULTS: After we controlled for individual sociodemographic characteristics and behaviors, the average BMIs of residents of neighborhoods in which a large proportion of individuals had less than a high school education were higher than those BMIs of residents in neighborhoods with small proportions of such individuals (P&lt; .01). Living in a neighborhood with a high proportion of recent immigrants was associated with lower BMI for men (P&lt;.01), but not for women. Neighborhood dwelling density was not associated with BMI for either gender. Metropolitan sprawl was associated with higher BMI for men (P=.02), but the effect was not significant for women (P= .09).\n\nCONCLUSIONS: BMI is strongly patterned by an individual's social position in urban Canada. A neighborhood's social condition has an incremental influence on the average BMI of its residents. However, BMI is not influenced by dwelling density. Metropolitan sprawl is associated with higher BMI for Canadian men, which supports recent evidence of this same association among American men. Individuals and their environments collectively influence BMI in urban Canada.", "author" : [ { "dropping-particle" : "", "family" : "Ross", "given" : "Nancy a", "non-dropping-particle" : "", "parse-names" : false, "suffix" : "" }, { "dropping-particle" : "", "family" : "Tremblay", "given" : "Stephane", "non-dropping-particle" : "", "parse-names" : false, "suffix" : "" }, { "dropping-particle" : "", "family" : "Khan", "given" : "Saeeda", "non-dropping-particle" : "", "parse-names" : false, "suffix" : "" }, { "dropping-particle" : "", "family" : "Crouse", "given" : "Daniel", "non-dropping-particle" : "", "parse-names" : false, "suffix" : "" }, { "dropping-particle" : "", "family" : "Tremblay", "given" : "Mark", "non-dropping-particle" : "", "parse-names" : false, "suffix" : "" }, { "dropping-particle" : "", "family" : "Berthelot", "given" : "Jean-Marie", "non-dropping-particle" : "", "parse-names" : false, "suffix" : "" } ], "container-title" : "American journal of public health", "id" : "ITEM-1", "issue" : "3", "issued" : { "date-parts" : [ [ "2007", "3" ] ] }, "page" : "500-8", "title" : "Body mass index in urban Canada: neighborhood and metropolitan area effects.", "type" : "article-journal", "volume" : "97" }, "uris" : [ "http://www.mendeley.com/documents/?uuid=85afd7c6-ca2c-4d20-a197-5653e5e84f2a" ] } ], "mendeley" : { "formattedCitation" : "(Ross et al., 2007)", "manualFormatting" : "(2007)", "plainTextFormattedCitation" : "(Ross et al., 2007)", "previouslyFormattedCitation" : "(Ross et al., 2007)" }, "properties" : { "noteIndex" : 0 }, "schema" : "https://github.com/citation-style-language/schema/raw/master/csl-citation.json" }</w:instrText>
      </w:r>
      <w:r>
        <w:rPr>
          <w:rFonts w:cs="Arial"/>
          <w:szCs w:val="20"/>
        </w:rPr>
        <w:fldChar w:fldCharType="separate"/>
      </w:r>
      <w:r w:rsidRPr="00776043">
        <w:rPr>
          <w:rFonts w:cs="Arial"/>
          <w:noProof/>
          <w:szCs w:val="20"/>
        </w:rPr>
        <w:t>(2007)</w:t>
      </w:r>
      <w:r>
        <w:rPr>
          <w:rFonts w:cs="Arial"/>
          <w:szCs w:val="20"/>
        </w:rPr>
        <w:fldChar w:fldCharType="end"/>
      </w:r>
      <w:r>
        <w:rPr>
          <w:rFonts w:cs="Arial"/>
          <w:szCs w:val="20"/>
        </w:rPr>
        <w:t xml:space="preserve"> created a urban sprawl index at the Canadian Metropolitan Area (CMA) level, which is an unweighted sum of three indicators, namely the proportion of single or detached dwellings in a CMA, dwelling density, and the percentage of CMA population living in an urban core. </w:t>
      </w:r>
    </w:p>
    <w:p w14:paraId="0E541228" w14:textId="7F335E2A" w:rsidR="005C593C" w:rsidRDefault="005C593C" w:rsidP="005C593C">
      <w:pPr>
        <w:ind w:firstLine="720"/>
        <w:rPr>
          <w:rFonts w:cs="Arial"/>
          <w:szCs w:val="20"/>
        </w:rPr>
      </w:pPr>
      <w:r>
        <w:rPr>
          <w:rFonts w:cs="Arial"/>
          <w:szCs w:val="20"/>
        </w:rPr>
        <w:t xml:space="preserve">The objective this </w:t>
      </w:r>
      <w:r w:rsidRPr="0033383C">
        <w:rPr>
          <w:rFonts w:cs="Arial"/>
          <w:szCs w:val="20"/>
        </w:rPr>
        <w:t>proposed research</w:t>
      </w:r>
      <w:r>
        <w:rPr>
          <w:rFonts w:cs="Arial"/>
          <w:szCs w:val="20"/>
        </w:rPr>
        <w:t xml:space="preserve"> is twofold. First, to</w:t>
      </w:r>
      <w:r w:rsidRPr="0033383C">
        <w:rPr>
          <w:rFonts w:cs="Arial"/>
          <w:szCs w:val="20"/>
        </w:rPr>
        <w:t xml:space="preserve"> develop a multi-dimensional, nationwide urban sprawl index for Canada at a small-area level (i.e., Census Tract</w:t>
      </w:r>
      <w:r>
        <w:rPr>
          <w:rFonts w:cs="Arial"/>
          <w:szCs w:val="20"/>
        </w:rPr>
        <w:t>, CT</w:t>
      </w:r>
      <w:r w:rsidRPr="0033383C">
        <w:rPr>
          <w:rFonts w:cs="Arial"/>
          <w:szCs w:val="20"/>
        </w:rPr>
        <w:t xml:space="preserve">) using robust spatial </w:t>
      </w:r>
      <w:r>
        <w:rPr>
          <w:rFonts w:cs="Arial"/>
          <w:szCs w:val="20"/>
        </w:rPr>
        <w:t>statistical modelling</w:t>
      </w:r>
      <w:r w:rsidRPr="0033383C">
        <w:rPr>
          <w:rFonts w:cs="Arial"/>
          <w:szCs w:val="20"/>
        </w:rPr>
        <w:t>, filling the gap that a comprehensive urban sprawl index at a fine spatial scale is missing in Canada</w:t>
      </w:r>
      <w:r>
        <w:rPr>
          <w:rFonts w:cs="Arial"/>
          <w:szCs w:val="20"/>
        </w:rPr>
        <w:t>. Second, to</w:t>
      </w:r>
      <w:r w:rsidRPr="0033383C">
        <w:rPr>
          <w:rFonts w:cs="Arial"/>
          <w:szCs w:val="20"/>
        </w:rPr>
        <w:t xml:space="preserve"> validate the usefulness of the created index by analyzing its relationship with health behavio</w:t>
      </w:r>
      <w:r>
        <w:rPr>
          <w:rFonts w:cs="Arial"/>
          <w:szCs w:val="20"/>
        </w:rPr>
        <w:t>u</w:t>
      </w:r>
      <w:r w:rsidRPr="0033383C">
        <w:rPr>
          <w:rFonts w:cs="Arial"/>
          <w:szCs w:val="20"/>
        </w:rPr>
        <w:t>rs and outcomes from a nationwide health survey.</w:t>
      </w:r>
    </w:p>
    <w:p w14:paraId="5BDED73A" w14:textId="67D4FD48" w:rsidR="006662B3" w:rsidRDefault="006662B3" w:rsidP="00015D5E">
      <w:pPr>
        <w:rPr>
          <w:rFonts w:asciiTheme="majorHAnsi" w:eastAsia="Times New Roman" w:hAnsiTheme="majorHAnsi" w:cs="Times New Roman"/>
          <w:b/>
          <w:bCs/>
          <w:kern w:val="36"/>
          <w:sz w:val="24"/>
          <w:szCs w:val="48"/>
          <w:lang w:eastAsia="en-CA"/>
        </w:rPr>
      </w:pPr>
      <w:r>
        <w:br w:type="page"/>
      </w:r>
    </w:p>
    <w:p w14:paraId="0EF3C130" w14:textId="13751B86" w:rsidR="006662B3" w:rsidRDefault="006662B3" w:rsidP="006662B3">
      <w:pPr>
        <w:pStyle w:val="Heading1"/>
      </w:pPr>
      <w:bookmarkStart w:id="2" w:name="_Toc517700806"/>
      <w:r>
        <w:lastRenderedPageBreak/>
        <w:t>Chapter 2: Sprawl score indicator</w:t>
      </w:r>
      <w:r w:rsidR="00CE40D3">
        <w:t>s</w:t>
      </w:r>
      <w:bookmarkEnd w:id="2"/>
    </w:p>
    <w:p w14:paraId="7AAE4867" w14:textId="40B04795" w:rsidR="004759DC" w:rsidRDefault="006B197D" w:rsidP="006B197D">
      <w:r>
        <w:t>T</w:t>
      </w:r>
      <w:r w:rsidR="004759DC" w:rsidRPr="00BD0D1A">
        <w:t>his study included urban sprawl indicators that belong to four dimensions, density, mix use, street connectivity, and centering. These dimensions have been widely used in the urban sprawl/compactness studies in North America</w:t>
      </w:r>
      <w:r w:rsidR="004759DC" w:rsidRPr="00BD0D1A">
        <w:fldChar w:fldCharType="begin" w:fldLock="1"/>
      </w:r>
      <w:r w:rsidR="008A7B50">
        <w:instrText>ADDIN CSL_CITATION { "citationItems" : [ { "id" : "ITEM-1",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"ITEM-1", "issued" : { "date-parts" : [ [ "2014" ] ] }, "page" : "118-126", "publisher" : "Elsevier", "title" : "Relationship between urban sprawl and physical activity, obesity, and morbidity - Update and refinement", "type" : "article-journal", "volume" : "26" }, "uris" : [ "http://www.mendeley.com/documents/?uuid=4c50e762-4168-4f80-bacc-cd7bc6ca93cc" ] }, { "id" : "ITEM-2",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"ITEM-2", "issue" : "1", "issued" : { "date-parts" : [ [ "2003" ] ] }, "page" : "47-57", "title" : "Relationship between urban sprawl and physical activity, obesity, and morbidity", "type" : "article-journal", "volume" : "18" }, "uris" : [ "http://www.mendeley.com/documents/?uuid=6a152f29-ebfd-48f4-ba60-377cfec03cb2" ] } ], "mendeley" : { "formattedCitation" : "(Ewing et al., 2014, 2003)", "plainTextFormattedCitation" : "(Ewing et al., 2014, 2003)", "previouslyFormattedCitation" : "(Ewing et al., 2014, 2003)" }, "properties" : { "noteIndex" : 0 }, "schema" : "https://github.com/citation-style-language/schema/raw/master/csl-citation.json" }</w:instrText>
      </w:r>
      <w:r w:rsidR="004759DC" w:rsidRPr="00BD0D1A">
        <w:fldChar w:fldCharType="separate"/>
      </w:r>
      <w:r w:rsidR="008A7B50" w:rsidRPr="008A7B50">
        <w:rPr>
          <w:noProof/>
        </w:rPr>
        <w:t>(Ewing et al., 2014, 2003)</w:t>
      </w:r>
      <w:r w:rsidR="004759DC" w:rsidRPr="00BD0D1A">
        <w:fldChar w:fldCharType="end"/>
      </w:r>
      <w:r w:rsidR="004759DC" w:rsidRPr="00BD0D1A">
        <w:t>. Descriptions of these indicators are provided in Table 1.</w:t>
      </w:r>
    </w:p>
    <w:p w14:paraId="06E3B95E" w14:textId="77777777" w:rsidR="006B197D" w:rsidRPr="00BD0D1A" w:rsidRDefault="006B197D" w:rsidP="006B197D">
      <w:pPr>
        <w:rPr>
          <w:rFonts w:cs="Times New Roman"/>
          <w:b/>
        </w:rPr>
      </w:pPr>
      <w:r w:rsidRPr="00BD0D1A">
        <w:rPr>
          <w:rFonts w:cs="Times New Roman"/>
          <w:b/>
        </w:rPr>
        <w:t>Table 1: Indicators used to develop the composite urban sprawl index</w:t>
      </w:r>
    </w:p>
    <w:tbl>
      <w:tblPr>
        <w:tblStyle w:val="TableGrid"/>
        <w:tblW w:w="9576" w:type="dxa"/>
        <w:tblLook w:val="04A0" w:firstRow="1" w:lastRow="0" w:firstColumn="1" w:lastColumn="0" w:noHBand="0" w:noVBand="1"/>
      </w:tblPr>
      <w:tblGrid>
        <w:gridCol w:w="2054"/>
        <w:gridCol w:w="2529"/>
        <w:gridCol w:w="3175"/>
        <w:gridCol w:w="1818"/>
      </w:tblGrid>
      <w:tr w:rsidR="00784D21" w:rsidRPr="00BD0D1A" w14:paraId="4D61A885" w14:textId="77777777" w:rsidTr="00784D21">
        <w:tc>
          <w:tcPr>
            <w:tcW w:w="2054" w:type="dxa"/>
          </w:tcPr>
          <w:p w14:paraId="12865979" w14:textId="22CB9CA9" w:rsidR="00784D21" w:rsidRPr="00BD0D1A" w:rsidRDefault="00784D21" w:rsidP="00FB0CF3">
            <w:pPr>
              <w:rPr>
                <w:rFonts w:cs="Times New Roman"/>
                <w:b/>
              </w:rPr>
            </w:pPr>
            <w:r>
              <w:rPr>
                <w:rFonts w:cs="Times New Roman"/>
                <w:b/>
              </w:rPr>
              <w:t>Sprawl dimension</w:t>
            </w:r>
          </w:p>
        </w:tc>
        <w:tc>
          <w:tcPr>
            <w:tcW w:w="2529" w:type="dxa"/>
          </w:tcPr>
          <w:p w14:paraId="694B0704" w14:textId="535C2F10" w:rsidR="00784D21" w:rsidRPr="00BD0D1A" w:rsidRDefault="00784D21" w:rsidP="00FB0CF3">
            <w:pPr>
              <w:rPr>
                <w:rFonts w:cs="Times New Roman"/>
                <w:b/>
              </w:rPr>
            </w:pPr>
            <w:r w:rsidRPr="00BD0D1A">
              <w:rPr>
                <w:rFonts w:cs="Times New Roman"/>
                <w:b/>
              </w:rPr>
              <w:t>Sprawl indicator</w:t>
            </w:r>
          </w:p>
        </w:tc>
        <w:tc>
          <w:tcPr>
            <w:tcW w:w="3175" w:type="dxa"/>
          </w:tcPr>
          <w:p w14:paraId="7E59034F" w14:textId="77777777" w:rsidR="00784D21" w:rsidRPr="00BD0D1A" w:rsidRDefault="00784D21" w:rsidP="00FB0CF3">
            <w:pPr>
              <w:rPr>
                <w:rFonts w:cs="Times New Roman"/>
                <w:b/>
              </w:rPr>
            </w:pPr>
            <w:r w:rsidRPr="00BD0D1A">
              <w:rPr>
                <w:rFonts w:cs="Times New Roman"/>
                <w:b/>
              </w:rPr>
              <w:t>Description</w:t>
            </w:r>
          </w:p>
        </w:tc>
        <w:tc>
          <w:tcPr>
            <w:tcW w:w="1818" w:type="dxa"/>
          </w:tcPr>
          <w:p w14:paraId="4AD44B82" w14:textId="77777777" w:rsidR="00784D21" w:rsidRPr="00BD0D1A" w:rsidRDefault="00784D21" w:rsidP="00FB0CF3">
            <w:pPr>
              <w:rPr>
                <w:rFonts w:cs="Times New Roman"/>
                <w:b/>
              </w:rPr>
            </w:pPr>
            <w:r w:rsidRPr="00BD0D1A">
              <w:rPr>
                <w:rFonts w:cs="Times New Roman"/>
                <w:b/>
              </w:rPr>
              <w:t>Data source</w:t>
            </w:r>
          </w:p>
        </w:tc>
      </w:tr>
      <w:tr w:rsidR="00784D21" w:rsidRPr="00BD0D1A" w14:paraId="5309DE33" w14:textId="77777777" w:rsidTr="00FD0EE9">
        <w:tc>
          <w:tcPr>
            <w:tcW w:w="2054" w:type="dxa"/>
            <w:vMerge w:val="restart"/>
            <w:vAlign w:val="center"/>
          </w:tcPr>
          <w:p w14:paraId="2CF1610C" w14:textId="668DFD4E" w:rsidR="00784D21" w:rsidRPr="00FD0EE9" w:rsidRDefault="00202D26" w:rsidP="00FD0EE9">
            <w:pPr>
              <w:jc w:val="center"/>
              <w:rPr>
                <w:rFonts w:cs="Times New Roman"/>
                <w:b/>
                <w:lang w:val="en-US"/>
              </w:rPr>
            </w:pPr>
            <w:r w:rsidRPr="00FD0EE9">
              <w:rPr>
                <w:rFonts w:cs="Times New Roman"/>
                <w:b/>
                <w:lang w:val="en-US"/>
              </w:rPr>
              <w:t>Density</w:t>
            </w:r>
          </w:p>
        </w:tc>
        <w:tc>
          <w:tcPr>
            <w:tcW w:w="2529" w:type="dxa"/>
          </w:tcPr>
          <w:p w14:paraId="368ADE8B" w14:textId="47233692" w:rsidR="00784D21" w:rsidRPr="00BD0D1A" w:rsidRDefault="00784D21" w:rsidP="00FB0CF3">
            <w:pPr>
              <w:rPr>
                <w:rFonts w:cs="Times New Roman"/>
              </w:rPr>
            </w:pPr>
            <w:r w:rsidRPr="00BD0D1A">
              <w:rPr>
                <w:rFonts w:cs="Times New Roman"/>
              </w:rPr>
              <w:t>Gross population density (person/mile</w:t>
            </w:r>
            <w:r w:rsidRPr="00BD0D1A">
              <w:rPr>
                <w:rFonts w:cs="Times New Roman"/>
                <w:vertAlign w:val="superscript"/>
              </w:rPr>
              <w:t>2</w:t>
            </w:r>
            <w:r w:rsidRPr="00BD0D1A">
              <w:rPr>
                <w:rFonts w:cs="Times New Roman"/>
              </w:rPr>
              <w:t>)</w:t>
            </w:r>
          </w:p>
        </w:tc>
        <w:tc>
          <w:tcPr>
            <w:tcW w:w="3175" w:type="dxa"/>
          </w:tcPr>
          <w:p w14:paraId="08884760" w14:textId="6756F37D" w:rsidR="00784D21" w:rsidRPr="00BD0D1A" w:rsidRDefault="00784D21" w:rsidP="00FB0CF3">
            <w:pPr>
              <w:rPr>
                <w:rFonts w:cs="Times New Roman"/>
              </w:rPr>
            </w:pPr>
            <w:r w:rsidRPr="00BD0D1A">
              <w:rPr>
                <w:rFonts w:cs="Times New Roman"/>
              </w:rPr>
              <w:t>Population divided by the land area of a CT</w:t>
            </w:r>
            <w:r w:rsidRPr="002C0E8D">
              <w:rPr>
                <w:rFonts w:cs="Times New Roman"/>
                <w:vertAlign w:val="superscript"/>
              </w:rPr>
              <w:t>1</w:t>
            </w:r>
          </w:p>
        </w:tc>
        <w:tc>
          <w:tcPr>
            <w:tcW w:w="1818" w:type="dxa"/>
            <w:vMerge w:val="restart"/>
          </w:tcPr>
          <w:p w14:paraId="43B6B350" w14:textId="77777777" w:rsidR="00784D21" w:rsidRPr="00BD0D1A" w:rsidRDefault="00784D21" w:rsidP="00FB0CF3">
            <w:pPr>
              <w:rPr>
                <w:rFonts w:cs="Times New Roman"/>
              </w:rPr>
            </w:pPr>
            <w:r w:rsidRPr="00BD0D1A">
              <w:rPr>
                <w:rFonts w:cs="Times New Roman"/>
              </w:rPr>
              <w:t>Canadian Census</w:t>
            </w:r>
          </w:p>
        </w:tc>
      </w:tr>
      <w:tr w:rsidR="00784D21" w:rsidRPr="00BD0D1A" w14:paraId="180F1390" w14:textId="77777777" w:rsidTr="00FD0EE9">
        <w:tc>
          <w:tcPr>
            <w:tcW w:w="2054" w:type="dxa"/>
            <w:vMerge/>
            <w:vAlign w:val="center"/>
          </w:tcPr>
          <w:p w14:paraId="76CB889D" w14:textId="77777777" w:rsidR="00784D21" w:rsidRPr="00FD0EE9" w:rsidRDefault="00784D21" w:rsidP="00FD0EE9">
            <w:pPr>
              <w:jc w:val="center"/>
              <w:rPr>
                <w:rFonts w:cs="Times New Roman"/>
                <w:b/>
              </w:rPr>
            </w:pPr>
          </w:p>
        </w:tc>
        <w:tc>
          <w:tcPr>
            <w:tcW w:w="2529" w:type="dxa"/>
          </w:tcPr>
          <w:p w14:paraId="3C9E3813" w14:textId="4324D350" w:rsidR="00784D21" w:rsidRPr="00BD0D1A" w:rsidRDefault="00784D21" w:rsidP="00FB0CF3">
            <w:pPr>
              <w:rPr>
                <w:rFonts w:cs="Times New Roman"/>
              </w:rPr>
            </w:pPr>
            <w:r w:rsidRPr="00BD0D1A">
              <w:rPr>
                <w:rFonts w:cs="Times New Roman"/>
              </w:rPr>
              <w:t>Gross employment density (person/mile</w:t>
            </w:r>
            <w:r w:rsidRPr="00BD0D1A">
              <w:rPr>
                <w:rFonts w:cs="Times New Roman"/>
                <w:vertAlign w:val="superscript"/>
              </w:rPr>
              <w:t>2</w:t>
            </w:r>
            <w:r w:rsidRPr="00BD0D1A">
              <w:rPr>
                <w:rFonts w:cs="Times New Roman"/>
              </w:rPr>
              <w:t>)</w:t>
            </w:r>
          </w:p>
        </w:tc>
        <w:tc>
          <w:tcPr>
            <w:tcW w:w="3175" w:type="dxa"/>
          </w:tcPr>
          <w:p w14:paraId="1CD9F9CF" w14:textId="77777777" w:rsidR="00784D21" w:rsidRPr="00BD0D1A" w:rsidRDefault="00784D21" w:rsidP="00FB0CF3">
            <w:pPr>
              <w:rPr>
                <w:rFonts w:cs="Times New Roman"/>
              </w:rPr>
            </w:pPr>
            <w:r w:rsidRPr="00BD0D1A">
              <w:rPr>
                <w:rFonts w:cs="Times New Roman"/>
              </w:rPr>
              <w:t>Employed population (15+) divided by the land area of a CT</w:t>
            </w:r>
          </w:p>
        </w:tc>
        <w:tc>
          <w:tcPr>
            <w:tcW w:w="1818" w:type="dxa"/>
            <w:vMerge/>
          </w:tcPr>
          <w:p w14:paraId="568DC6C3" w14:textId="77777777" w:rsidR="00784D21" w:rsidRPr="00BD0D1A" w:rsidRDefault="00784D21" w:rsidP="00FB0CF3">
            <w:pPr>
              <w:rPr>
                <w:rFonts w:cs="Times New Roman"/>
              </w:rPr>
            </w:pPr>
          </w:p>
        </w:tc>
      </w:tr>
      <w:tr w:rsidR="00202D26" w:rsidRPr="00BD0D1A" w14:paraId="10AD3A97" w14:textId="77777777" w:rsidTr="00FD0EE9">
        <w:tc>
          <w:tcPr>
            <w:tcW w:w="2054" w:type="dxa"/>
            <w:vMerge w:val="restart"/>
            <w:vAlign w:val="center"/>
          </w:tcPr>
          <w:p w14:paraId="633C18AF" w14:textId="3D821DD8" w:rsidR="00202D26" w:rsidRPr="00FD0EE9" w:rsidRDefault="00892D2D" w:rsidP="00FD0EE9">
            <w:pPr>
              <w:jc w:val="center"/>
              <w:rPr>
                <w:rFonts w:cs="Times New Roman"/>
                <w:b/>
              </w:rPr>
            </w:pPr>
            <w:r w:rsidRPr="00FD0EE9">
              <w:rPr>
                <w:rFonts w:cs="Times New Roman"/>
                <w:b/>
              </w:rPr>
              <w:t>Centering</w:t>
            </w:r>
          </w:p>
        </w:tc>
        <w:tc>
          <w:tcPr>
            <w:tcW w:w="2529" w:type="dxa"/>
          </w:tcPr>
          <w:p w14:paraId="156E444C" w14:textId="7944E618" w:rsidR="00202D26" w:rsidRPr="00BD0D1A" w:rsidRDefault="00202D26" w:rsidP="00FB0CF3">
            <w:pPr>
              <w:rPr>
                <w:rFonts w:cs="Times New Roman"/>
              </w:rPr>
            </w:pPr>
            <w:r>
              <w:rPr>
                <w:rFonts w:cs="Times New Roman"/>
              </w:rPr>
              <w:t>Coefficient of variation in DA</w:t>
            </w:r>
            <w:r w:rsidRPr="002C0E8D">
              <w:rPr>
                <w:rFonts w:cs="Times New Roman"/>
                <w:vertAlign w:val="superscript"/>
              </w:rPr>
              <w:t>2</w:t>
            </w:r>
            <w:r>
              <w:rPr>
                <w:rFonts w:cs="Times New Roman"/>
              </w:rPr>
              <w:t xml:space="preserve"> </w:t>
            </w:r>
            <w:r w:rsidRPr="00BD0D1A">
              <w:rPr>
                <w:rFonts w:cs="Times New Roman"/>
              </w:rPr>
              <w:t>population densities</w:t>
            </w:r>
          </w:p>
        </w:tc>
        <w:tc>
          <w:tcPr>
            <w:tcW w:w="3175" w:type="dxa"/>
          </w:tcPr>
          <w:p w14:paraId="423EC7F0" w14:textId="77777777" w:rsidR="00202D26" w:rsidRPr="00FB0CF3" w:rsidRDefault="00202D26" w:rsidP="00FB0CF3">
            <w:pPr>
              <w:rPr>
                <w:rFonts w:cs="Times New Roman"/>
                <w:lang w:val="en-US"/>
              </w:rPr>
            </w:pPr>
            <w:r w:rsidRPr="00BD0D1A">
              <w:rPr>
                <w:rFonts w:cs="Times New Roman"/>
              </w:rPr>
              <w:t>Standard deviation divided by the mean of DA population densities within a CT</w:t>
            </w:r>
          </w:p>
        </w:tc>
        <w:tc>
          <w:tcPr>
            <w:tcW w:w="1818" w:type="dxa"/>
            <w:vMerge/>
          </w:tcPr>
          <w:p w14:paraId="10EDDFBE" w14:textId="77777777" w:rsidR="00202D26" w:rsidRPr="00BD0D1A" w:rsidRDefault="00202D26" w:rsidP="00FB0CF3">
            <w:pPr>
              <w:rPr>
                <w:rFonts w:cs="Times New Roman"/>
              </w:rPr>
            </w:pPr>
          </w:p>
        </w:tc>
      </w:tr>
      <w:tr w:rsidR="00202D26" w:rsidRPr="00BD0D1A" w14:paraId="20B19CA9" w14:textId="77777777" w:rsidTr="00FD0EE9">
        <w:tc>
          <w:tcPr>
            <w:tcW w:w="2054" w:type="dxa"/>
            <w:vMerge/>
            <w:vAlign w:val="center"/>
          </w:tcPr>
          <w:p w14:paraId="769FA0D0" w14:textId="77777777" w:rsidR="00202D26" w:rsidRPr="00FD0EE9" w:rsidRDefault="00202D26" w:rsidP="00FD0EE9">
            <w:pPr>
              <w:jc w:val="center"/>
              <w:rPr>
                <w:rFonts w:cs="Times New Roman"/>
                <w:b/>
              </w:rPr>
            </w:pPr>
          </w:p>
        </w:tc>
        <w:tc>
          <w:tcPr>
            <w:tcW w:w="2529" w:type="dxa"/>
          </w:tcPr>
          <w:p w14:paraId="60AD8008" w14:textId="138BD60E" w:rsidR="00202D26" w:rsidRPr="00BD0D1A" w:rsidRDefault="00202D26" w:rsidP="00FB0CF3">
            <w:pPr>
              <w:rPr>
                <w:rFonts w:cs="Times New Roman"/>
              </w:rPr>
            </w:pPr>
            <w:r w:rsidRPr="00BD0D1A">
              <w:rPr>
                <w:rFonts w:cs="Times New Roman"/>
              </w:rPr>
              <w:t>Coefficient of variation in employment densities</w:t>
            </w:r>
          </w:p>
        </w:tc>
        <w:tc>
          <w:tcPr>
            <w:tcW w:w="3175" w:type="dxa"/>
          </w:tcPr>
          <w:p w14:paraId="7B159030" w14:textId="77777777" w:rsidR="00202D26" w:rsidRPr="00BD0D1A" w:rsidRDefault="00202D26" w:rsidP="00FB0CF3">
            <w:pPr>
              <w:rPr>
                <w:rFonts w:cs="Times New Roman"/>
              </w:rPr>
            </w:pPr>
            <w:r w:rsidRPr="00BD0D1A">
              <w:rPr>
                <w:rFonts w:cs="Times New Roman"/>
              </w:rPr>
              <w:t>Standard deviation divided by the mean of DA employment densities within a CT</w:t>
            </w:r>
          </w:p>
        </w:tc>
        <w:tc>
          <w:tcPr>
            <w:tcW w:w="1818" w:type="dxa"/>
            <w:vMerge/>
          </w:tcPr>
          <w:p w14:paraId="70D118CE" w14:textId="77777777" w:rsidR="00202D26" w:rsidRPr="00BD0D1A" w:rsidRDefault="00202D26" w:rsidP="00FB0CF3">
            <w:pPr>
              <w:rPr>
                <w:rFonts w:cs="Times New Roman"/>
              </w:rPr>
            </w:pPr>
          </w:p>
        </w:tc>
      </w:tr>
      <w:tr w:rsidR="00784D21" w:rsidRPr="00BD0D1A" w14:paraId="02B369FD" w14:textId="77777777" w:rsidTr="00FD0EE9">
        <w:tc>
          <w:tcPr>
            <w:tcW w:w="2054" w:type="dxa"/>
            <w:vAlign w:val="center"/>
          </w:tcPr>
          <w:p w14:paraId="63858189" w14:textId="69BF05AD" w:rsidR="00784D21" w:rsidRPr="00FD0EE9" w:rsidRDefault="00892D2D" w:rsidP="00FD0EE9">
            <w:pPr>
              <w:jc w:val="center"/>
              <w:rPr>
                <w:rFonts w:cs="Times New Roman"/>
                <w:b/>
              </w:rPr>
            </w:pPr>
            <w:r w:rsidRPr="00FD0EE9">
              <w:rPr>
                <w:rFonts w:cs="Times New Roman"/>
                <w:b/>
              </w:rPr>
              <w:t>Land use</w:t>
            </w:r>
          </w:p>
        </w:tc>
        <w:tc>
          <w:tcPr>
            <w:tcW w:w="2529" w:type="dxa"/>
          </w:tcPr>
          <w:p w14:paraId="58D3C2C1" w14:textId="64E94193" w:rsidR="00784D21" w:rsidRPr="00BD0D1A" w:rsidRDefault="00784D21" w:rsidP="00FB0CF3">
            <w:pPr>
              <w:rPr>
                <w:rFonts w:cs="Times New Roman"/>
              </w:rPr>
            </w:pPr>
            <w:r w:rsidRPr="00BD0D1A">
              <w:rPr>
                <w:rFonts w:cs="Times New Roman"/>
              </w:rPr>
              <w:t>Land-use mix</w:t>
            </w:r>
          </w:p>
        </w:tc>
        <w:tc>
          <w:tcPr>
            <w:tcW w:w="3175" w:type="dxa"/>
          </w:tcPr>
          <w:p w14:paraId="4EE34B44" w14:textId="0C971C0A" w:rsidR="00784D21" w:rsidRPr="00BD0D1A" w:rsidRDefault="00784D21" w:rsidP="00FB0CF3">
            <w:pPr>
              <w:rPr>
                <w:rFonts w:cs="Times New Roman"/>
              </w:rPr>
            </w:pPr>
            <w:r w:rsidRPr="00BD0D1A">
              <w:rPr>
                <w:rFonts w:cs="Times New Roman"/>
              </w:rPr>
              <w:t xml:space="preserve">Calculated based on the Entropy Index, </w:t>
            </w:r>
            <w:r w:rsidR="009E6611" w:rsidRPr="00BD0D1A">
              <w:rPr>
                <w:rFonts w:cs="Times New Roman"/>
                <w:noProof/>
                <w:position w:val="-22"/>
              </w:rPr>
              <w:object w:dxaOrig="1420" w:dyaOrig="499" w14:anchorId="75959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1.1pt;height:25.05pt;mso-width-percent:0;mso-height-percent:0;mso-width-percent:0;mso-height-percent:0" o:ole="">
                  <v:imagedata r:id="rId12" o:title=""/>
                </v:shape>
                <o:OLEObject Type="Embed" ProgID="Equation.DSMT4" ShapeID="_x0000_i1028" DrawAspect="Content" ObjectID="_1646725111" r:id="rId13"/>
              </w:object>
            </w:r>
            <w:r w:rsidRPr="00BD0D1A">
              <w:rPr>
                <w:rFonts w:cs="Times New Roman"/>
              </w:rPr>
              <w:t xml:space="preserve">, where </w:t>
            </w:r>
            <w:proofErr w:type="spellStart"/>
            <w:r w:rsidRPr="00BD0D1A">
              <w:rPr>
                <w:rFonts w:cs="Times New Roman"/>
              </w:rPr>
              <w:t>P</w:t>
            </w:r>
            <w:r w:rsidRPr="00BD0D1A">
              <w:rPr>
                <w:rFonts w:cs="Times New Roman"/>
                <w:vertAlign w:val="superscript"/>
              </w:rPr>
              <w:t>j</w:t>
            </w:r>
            <w:proofErr w:type="spellEnd"/>
            <w:r w:rsidRPr="00BD0D1A">
              <w:rPr>
                <w:rFonts w:cs="Times New Roman"/>
              </w:rPr>
              <w:t xml:space="preserve"> is the percentage of land use type j, and k is the total number of land use types</w:t>
            </w:r>
            <w:r w:rsidR="00415528">
              <w:rPr>
                <w:rFonts w:cs="Times New Roman"/>
              </w:rPr>
              <w:t xml:space="preserve">. Six different land use types included: (1) residential, (2) commercial, (3) </w:t>
            </w:r>
            <w:r w:rsidR="00FA143C">
              <w:rPr>
                <w:rFonts w:cs="Times New Roman"/>
              </w:rPr>
              <w:t>government and institutional, (4) open area, (5) parks and recreational, and (6) resource and industrial.</w:t>
            </w:r>
          </w:p>
        </w:tc>
        <w:tc>
          <w:tcPr>
            <w:tcW w:w="1818" w:type="dxa"/>
          </w:tcPr>
          <w:p w14:paraId="130D5CF2" w14:textId="77777777" w:rsidR="00784D21" w:rsidRPr="00BD0D1A" w:rsidRDefault="00784D21" w:rsidP="00FB0CF3">
            <w:pPr>
              <w:rPr>
                <w:rFonts w:cs="Times New Roman"/>
              </w:rPr>
            </w:pPr>
            <w:r w:rsidRPr="00BD0D1A">
              <w:rPr>
                <w:rFonts w:cs="Times New Roman"/>
              </w:rPr>
              <w:t>DMTI Spatial</w:t>
            </w:r>
          </w:p>
        </w:tc>
      </w:tr>
      <w:tr w:rsidR="008D619D" w:rsidRPr="00BD0D1A" w14:paraId="704A52FA" w14:textId="77777777" w:rsidTr="00FD0EE9">
        <w:tc>
          <w:tcPr>
            <w:tcW w:w="2054" w:type="dxa"/>
            <w:vMerge w:val="restart"/>
            <w:vAlign w:val="center"/>
          </w:tcPr>
          <w:p w14:paraId="6234A4BE" w14:textId="4FDAA4EA" w:rsidR="008D619D" w:rsidRPr="00FD0EE9" w:rsidRDefault="008D619D" w:rsidP="00FD0EE9">
            <w:pPr>
              <w:jc w:val="center"/>
              <w:rPr>
                <w:rFonts w:cs="Times New Roman"/>
                <w:b/>
              </w:rPr>
            </w:pPr>
            <w:r w:rsidRPr="00FD0EE9">
              <w:rPr>
                <w:rFonts w:cs="Times New Roman"/>
                <w:b/>
              </w:rPr>
              <w:t xml:space="preserve">Street </w:t>
            </w:r>
            <w:r w:rsidR="00EC551A">
              <w:rPr>
                <w:rFonts w:cs="Times New Roman"/>
                <w:b/>
              </w:rPr>
              <w:t>a</w:t>
            </w:r>
            <w:r w:rsidRPr="00FD0EE9">
              <w:rPr>
                <w:rFonts w:cs="Times New Roman"/>
                <w:b/>
              </w:rPr>
              <w:t>ccessibil</w:t>
            </w:r>
            <w:r w:rsidR="00FD0EE9">
              <w:rPr>
                <w:rFonts w:cs="Times New Roman"/>
                <w:b/>
              </w:rPr>
              <w:t>i</w:t>
            </w:r>
            <w:r w:rsidRPr="00FD0EE9">
              <w:rPr>
                <w:rFonts w:cs="Times New Roman"/>
                <w:b/>
              </w:rPr>
              <w:t>ty</w:t>
            </w:r>
          </w:p>
        </w:tc>
        <w:tc>
          <w:tcPr>
            <w:tcW w:w="2529" w:type="dxa"/>
          </w:tcPr>
          <w:p w14:paraId="37F5C51F" w14:textId="13C75C82" w:rsidR="008D619D" w:rsidRPr="00BD0D1A" w:rsidRDefault="008D619D" w:rsidP="00FB0CF3">
            <w:pPr>
              <w:rPr>
                <w:rFonts w:cs="Times New Roman"/>
              </w:rPr>
            </w:pPr>
            <w:r w:rsidRPr="00BD0D1A">
              <w:rPr>
                <w:rFonts w:cs="Times New Roman"/>
              </w:rPr>
              <w:t>Average DA size</w:t>
            </w:r>
          </w:p>
        </w:tc>
        <w:tc>
          <w:tcPr>
            <w:tcW w:w="3175" w:type="dxa"/>
          </w:tcPr>
          <w:p w14:paraId="6A980CEB" w14:textId="77777777" w:rsidR="008D619D" w:rsidRPr="00BD0D1A" w:rsidRDefault="008D619D" w:rsidP="00FB0CF3">
            <w:pPr>
              <w:rPr>
                <w:rFonts w:cs="Times New Roman"/>
              </w:rPr>
            </w:pPr>
            <w:r w:rsidRPr="00BD0D1A">
              <w:rPr>
                <w:rFonts w:cs="Times New Roman"/>
              </w:rPr>
              <w:t>Mean land areas of DAs within a CT</w:t>
            </w:r>
          </w:p>
        </w:tc>
        <w:tc>
          <w:tcPr>
            <w:tcW w:w="1818" w:type="dxa"/>
            <w:vMerge w:val="restart"/>
          </w:tcPr>
          <w:p w14:paraId="0542D74D" w14:textId="77777777" w:rsidR="008D619D" w:rsidRPr="00BD0D1A" w:rsidRDefault="008D619D" w:rsidP="00FB0CF3">
            <w:pPr>
              <w:rPr>
                <w:rFonts w:cs="Times New Roman"/>
              </w:rPr>
            </w:pPr>
            <w:r w:rsidRPr="00BD0D1A">
              <w:rPr>
                <w:rFonts w:cs="Times New Roman"/>
              </w:rPr>
              <w:t>Statistics Canada</w:t>
            </w:r>
          </w:p>
        </w:tc>
      </w:tr>
      <w:tr w:rsidR="008D619D" w:rsidRPr="00BD0D1A" w14:paraId="08B7F165" w14:textId="77777777" w:rsidTr="00784D21">
        <w:tc>
          <w:tcPr>
            <w:tcW w:w="2054" w:type="dxa"/>
            <w:vMerge/>
          </w:tcPr>
          <w:p w14:paraId="7080558C" w14:textId="77777777" w:rsidR="008D619D" w:rsidRPr="00BD0D1A" w:rsidRDefault="008D619D" w:rsidP="00FB0CF3">
            <w:pPr>
              <w:rPr>
                <w:rFonts w:cs="Times New Roman"/>
              </w:rPr>
            </w:pPr>
          </w:p>
        </w:tc>
        <w:tc>
          <w:tcPr>
            <w:tcW w:w="2529" w:type="dxa"/>
          </w:tcPr>
          <w:p w14:paraId="6E5E2EE3" w14:textId="18A0EBBC" w:rsidR="008D619D" w:rsidRPr="00BD0D1A" w:rsidRDefault="008D619D" w:rsidP="00FB0CF3">
            <w:pPr>
              <w:rPr>
                <w:rFonts w:cs="Times New Roman"/>
              </w:rPr>
            </w:pPr>
            <w:r w:rsidRPr="00BD0D1A">
              <w:rPr>
                <w:rFonts w:cs="Times New Roman"/>
              </w:rPr>
              <w:t>% of small DAs (&lt;0.05 mile</w:t>
            </w:r>
            <w:r w:rsidRPr="00BD0D1A">
              <w:rPr>
                <w:rFonts w:cs="Times New Roman"/>
                <w:vertAlign w:val="superscript"/>
              </w:rPr>
              <w:t>2</w:t>
            </w:r>
            <w:r w:rsidRPr="00BD0D1A">
              <w:rPr>
                <w:rFonts w:cs="Times New Roman"/>
              </w:rPr>
              <w:t>)</w:t>
            </w:r>
          </w:p>
        </w:tc>
        <w:tc>
          <w:tcPr>
            <w:tcW w:w="3175" w:type="dxa"/>
          </w:tcPr>
          <w:p w14:paraId="2E39B43A" w14:textId="77777777" w:rsidR="008D619D" w:rsidRPr="00BD0D1A" w:rsidRDefault="008D619D" w:rsidP="00FB0CF3">
            <w:pPr>
              <w:rPr>
                <w:rFonts w:cs="Times New Roman"/>
              </w:rPr>
            </w:pPr>
            <w:r w:rsidRPr="00BD0D1A">
              <w:rPr>
                <w:rFonts w:cs="Times New Roman"/>
              </w:rPr>
              <w:t>Percentage of &lt;0.</w:t>
            </w:r>
            <w:r>
              <w:rPr>
                <w:rFonts w:cs="Times New Roman"/>
              </w:rPr>
              <w:t>0</w:t>
            </w:r>
            <w:r w:rsidRPr="00BD0D1A">
              <w:rPr>
                <w:rFonts w:cs="Times New Roman"/>
              </w:rPr>
              <w:t>5 mile</w:t>
            </w:r>
            <w:r w:rsidRPr="00BD0D1A">
              <w:rPr>
                <w:rFonts w:cs="Times New Roman"/>
                <w:vertAlign w:val="superscript"/>
              </w:rPr>
              <w:t>2</w:t>
            </w:r>
            <w:r w:rsidRPr="00BD0D1A">
              <w:rPr>
                <w:rFonts w:cs="Times New Roman"/>
              </w:rPr>
              <w:t xml:space="preserve"> DAs within a CT</w:t>
            </w:r>
          </w:p>
        </w:tc>
        <w:tc>
          <w:tcPr>
            <w:tcW w:w="1818" w:type="dxa"/>
            <w:vMerge/>
          </w:tcPr>
          <w:p w14:paraId="50E8A969" w14:textId="77777777" w:rsidR="008D619D" w:rsidRPr="00BD0D1A" w:rsidRDefault="008D619D" w:rsidP="00FB0CF3">
            <w:pPr>
              <w:rPr>
                <w:rFonts w:cs="Times New Roman"/>
              </w:rPr>
            </w:pPr>
          </w:p>
        </w:tc>
      </w:tr>
      <w:tr w:rsidR="008D619D" w:rsidRPr="00BD0D1A" w14:paraId="6C26EC46" w14:textId="77777777" w:rsidTr="00784D21">
        <w:tc>
          <w:tcPr>
            <w:tcW w:w="2054" w:type="dxa"/>
            <w:vMerge/>
          </w:tcPr>
          <w:p w14:paraId="0035C340" w14:textId="77777777" w:rsidR="008D619D" w:rsidRPr="00BD0D1A" w:rsidRDefault="008D619D" w:rsidP="00FB0CF3">
            <w:pPr>
              <w:rPr>
                <w:rFonts w:cs="Times New Roman"/>
              </w:rPr>
            </w:pPr>
          </w:p>
        </w:tc>
        <w:tc>
          <w:tcPr>
            <w:tcW w:w="2529" w:type="dxa"/>
          </w:tcPr>
          <w:p w14:paraId="13B477C7" w14:textId="065EDC4A" w:rsidR="008D619D" w:rsidRPr="00BD0D1A" w:rsidRDefault="008D619D" w:rsidP="00FB0CF3">
            <w:pPr>
              <w:rPr>
                <w:rFonts w:cs="Times New Roman"/>
              </w:rPr>
            </w:pPr>
            <w:r w:rsidRPr="00BD0D1A">
              <w:rPr>
                <w:rFonts w:cs="Times New Roman"/>
              </w:rPr>
              <w:t>Intersection density</w:t>
            </w:r>
          </w:p>
        </w:tc>
        <w:tc>
          <w:tcPr>
            <w:tcW w:w="3175" w:type="dxa"/>
          </w:tcPr>
          <w:p w14:paraId="0D63B6BB" w14:textId="77777777" w:rsidR="008D619D" w:rsidRPr="00BD0D1A" w:rsidRDefault="008D619D" w:rsidP="00FB0CF3">
            <w:pPr>
              <w:rPr>
                <w:rFonts w:cs="Times New Roman"/>
              </w:rPr>
            </w:pPr>
            <w:r w:rsidRPr="00BD0D1A">
              <w:rPr>
                <w:rFonts w:cs="Times New Roman"/>
              </w:rPr>
              <w:t>Intersection count d</w:t>
            </w:r>
            <w:r>
              <w:rPr>
                <w:rFonts w:cs="Times New Roman"/>
              </w:rPr>
              <w:t>ivided by the land area of a CT</w:t>
            </w:r>
          </w:p>
        </w:tc>
        <w:tc>
          <w:tcPr>
            <w:tcW w:w="1818" w:type="dxa"/>
            <w:vMerge/>
          </w:tcPr>
          <w:p w14:paraId="7197EB33" w14:textId="77777777" w:rsidR="008D619D" w:rsidRPr="00BD0D1A" w:rsidRDefault="008D619D" w:rsidP="00FB0CF3">
            <w:pPr>
              <w:rPr>
                <w:rFonts w:cs="Times New Roman"/>
              </w:rPr>
            </w:pPr>
          </w:p>
        </w:tc>
      </w:tr>
      <w:tr w:rsidR="008D619D" w:rsidRPr="00BD0D1A" w14:paraId="33D7EE5A" w14:textId="77777777" w:rsidTr="00784D21">
        <w:tc>
          <w:tcPr>
            <w:tcW w:w="2054" w:type="dxa"/>
            <w:vMerge/>
          </w:tcPr>
          <w:p w14:paraId="1995CC4E" w14:textId="77777777" w:rsidR="008D619D" w:rsidRPr="00BD0D1A" w:rsidRDefault="008D619D" w:rsidP="00FB0CF3">
            <w:pPr>
              <w:rPr>
                <w:rFonts w:cs="Times New Roman"/>
              </w:rPr>
            </w:pPr>
          </w:p>
        </w:tc>
        <w:tc>
          <w:tcPr>
            <w:tcW w:w="2529" w:type="dxa"/>
          </w:tcPr>
          <w:p w14:paraId="2C43373C" w14:textId="299022DA" w:rsidR="008D619D" w:rsidRPr="00BD0D1A" w:rsidRDefault="008D619D" w:rsidP="00FB0CF3">
            <w:pPr>
              <w:rPr>
                <w:rFonts w:cs="Times New Roman"/>
              </w:rPr>
            </w:pPr>
            <w:r w:rsidRPr="00BD0D1A">
              <w:rPr>
                <w:rFonts w:cs="Times New Roman"/>
              </w:rPr>
              <w:t>% of 4-or-more way intersections</w:t>
            </w:r>
          </w:p>
        </w:tc>
        <w:tc>
          <w:tcPr>
            <w:tcW w:w="3175" w:type="dxa"/>
          </w:tcPr>
          <w:p w14:paraId="29AAD1BD" w14:textId="77777777" w:rsidR="008D619D" w:rsidRPr="00BD0D1A" w:rsidRDefault="008D619D" w:rsidP="00FB0CF3">
            <w:pPr>
              <w:rPr>
                <w:rFonts w:cs="Times New Roman"/>
              </w:rPr>
            </w:pPr>
            <w:r w:rsidRPr="00BD0D1A">
              <w:rPr>
                <w:rFonts w:cs="Times New Roman"/>
              </w:rPr>
              <w:t># of 4-or-more way intersections divided by total # of intersections within a CT</w:t>
            </w:r>
          </w:p>
        </w:tc>
        <w:tc>
          <w:tcPr>
            <w:tcW w:w="1818" w:type="dxa"/>
            <w:vMerge/>
          </w:tcPr>
          <w:p w14:paraId="55C64F2A" w14:textId="77777777" w:rsidR="008D619D" w:rsidRPr="00BD0D1A" w:rsidRDefault="008D619D" w:rsidP="00FB0CF3">
            <w:pPr>
              <w:rPr>
                <w:rFonts w:cs="Times New Roman"/>
              </w:rPr>
            </w:pPr>
          </w:p>
        </w:tc>
      </w:tr>
    </w:tbl>
    <w:p w14:paraId="7DDFC257" w14:textId="1E2400F8" w:rsidR="006B197D" w:rsidRDefault="006B197D" w:rsidP="00CE40D3">
      <w:pPr>
        <w:jc w:val="right"/>
        <w:rPr>
          <w:rFonts w:cs="Times New Roman"/>
        </w:rPr>
      </w:pPr>
      <w:r>
        <w:rPr>
          <w:rFonts w:cs="Times New Roman"/>
        </w:rPr>
        <w:t>CT: Census Tract; DA: Dissemination Area</w:t>
      </w:r>
    </w:p>
    <w:p w14:paraId="43CA16F7" w14:textId="77777777" w:rsidR="006B197D" w:rsidRPr="006662B3" w:rsidRDefault="006B197D" w:rsidP="006B197D"/>
    <w:p w14:paraId="3846FE3E" w14:textId="77777777" w:rsidR="006662B3" w:rsidRDefault="006662B3">
      <w:r>
        <w:lastRenderedPageBreak/>
        <w:br w:type="page"/>
      </w:r>
    </w:p>
    <w:p w14:paraId="16946605" w14:textId="1E53950B" w:rsidR="006662B3" w:rsidRDefault="006662B3" w:rsidP="006662B3">
      <w:pPr>
        <w:pStyle w:val="Heading1"/>
      </w:pPr>
      <w:bookmarkStart w:id="3" w:name="_Toc517700807"/>
      <w:r>
        <w:lastRenderedPageBreak/>
        <w:t xml:space="preserve">Chapter 3: </w:t>
      </w:r>
      <w:r w:rsidR="00A90A95">
        <w:t xml:space="preserve">Statistical </w:t>
      </w:r>
      <w:r w:rsidR="000D6612">
        <w:t>M</w:t>
      </w:r>
      <w:r>
        <w:t>ethod</w:t>
      </w:r>
      <w:bookmarkEnd w:id="3"/>
    </w:p>
    <w:p w14:paraId="791853CA" w14:textId="2253FE8C" w:rsidR="00FB0CF3" w:rsidRDefault="00FB0CF3">
      <w:r>
        <w:t>The calculation of sprawl indicators h</w:t>
      </w:r>
      <w:r w:rsidR="00A90A95">
        <w:t>as been described in Table 1. This section introduces the statistical approach used to derive the composite urban sprawl index</w:t>
      </w:r>
      <w:r w:rsidR="004B479F">
        <w:t xml:space="preserve">: Bayesian spatial factor analysis. </w:t>
      </w:r>
    </w:p>
    <w:p w14:paraId="71B0AFC5" w14:textId="3746C3C8" w:rsidR="004B479F" w:rsidRDefault="004B479F">
      <w:pPr>
        <w:rPr>
          <w:rFonts w:cs="Arial"/>
          <w:szCs w:val="20"/>
          <w:lang w:val="en-US"/>
        </w:rPr>
      </w:pPr>
      <w:r>
        <w:tab/>
      </w:r>
      <w:r w:rsidR="00784D21" w:rsidRPr="0033383C">
        <w:rPr>
          <w:rFonts w:cs="Arial"/>
          <w:szCs w:val="20"/>
        </w:rPr>
        <w:t xml:space="preserve">Originating in psychometrics, factor analysis is a statistical approach to describe the variation and correlation of a set of observable and correlated indicators with a lower number of latent factors that cannot be directly observed or measured </w:t>
      </w:r>
      <w:r w:rsidR="00784D21" w:rsidRPr="0033383C">
        <w:rPr>
          <w:rFonts w:cs="Arial"/>
          <w:szCs w:val="20"/>
        </w:rPr>
        <w:fldChar w:fldCharType="begin" w:fldLock="1"/>
      </w:r>
      <w:r w:rsidR="008A7B50">
        <w:rPr>
          <w:rFonts w:cs="Arial"/>
          <w:szCs w:val="20"/>
        </w:rPr>
        <w:instrText>ADDIN CSL_CITATION { "citationItems" : [ { "id" : "ITEM-1", "itemData" : { "ISBN" : "9781462517794", "abstract" : "www.guilford.com/MSS This series provides applied researchers and students with analysis and research design books that emphasize the use of methods to answer research questions. Rather than emphasizing statistical theory, each volume in the series illustrates when a technique should (and should not) be used and how the output from available software programs should (and should not) be interpreted. Common pitfalls as well as areas of further development are clearly articulated.", "author" : [ { "dropping-particle" : "", "family" : "Brown", "given" : "Timothy A.", "non-dropping-particle" : "", "parse-names" : false, "suffix" : "" } ], "edition" : "Second Edi", "id" : "ITEM-1", "issued" : { "date-parts" : [ [ "2015" ] ] }, "number-of-pages" : "462", "publisher" : "The Guilford Press", "publisher-place" : "New York", "title" : "Confirmatory Factor Analysis for Applied Research", "type" : "book" }, "uris" : [ "http://www.mendeley.com/documents/?uuid=8129ac56-58a9-406b-9864-25722b8f30df" ] } ], "mendeley" : { "formattedCitation" : "(Brown, 2015)", "manualFormatting" : "(e.g., Brown, 2015)", "plainTextFormattedCitation" : "(Brown, 2015)", "previouslyFormattedCitation" : "(Brown, 2015)" }, "properties" : { "noteIndex" : 0 }, "schema" : "https://github.com/citation-style-language/schema/raw/master/csl-citation.json" }</w:instrText>
      </w:r>
      <w:r w:rsidR="00784D21" w:rsidRPr="0033383C">
        <w:rPr>
          <w:rFonts w:cs="Arial"/>
          <w:szCs w:val="20"/>
        </w:rPr>
        <w:fldChar w:fldCharType="separate"/>
      </w:r>
      <w:r w:rsidR="00784D21" w:rsidRPr="0033383C">
        <w:rPr>
          <w:rFonts w:cs="Arial"/>
          <w:noProof/>
          <w:szCs w:val="20"/>
        </w:rPr>
        <w:t>(e.g., Brown, 2015)</w:t>
      </w:r>
      <w:r w:rsidR="00784D21" w:rsidRPr="0033383C">
        <w:rPr>
          <w:rFonts w:cs="Arial"/>
          <w:szCs w:val="20"/>
        </w:rPr>
        <w:fldChar w:fldCharType="end"/>
      </w:r>
      <w:r w:rsidR="00784D21" w:rsidRPr="0033383C">
        <w:rPr>
          <w:rFonts w:cs="Arial"/>
          <w:szCs w:val="20"/>
        </w:rPr>
        <w:t xml:space="preserve">. Conceptually, urban sprawl is abstract and unobservable, but manifests in the form of a variety of observable and correlated indicators, for </w:t>
      </w:r>
      <w:r w:rsidR="00E757AF">
        <w:rPr>
          <w:rFonts w:cs="Arial"/>
          <w:szCs w:val="20"/>
        </w:rPr>
        <w:t>example, those listed in Table 1</w:t>
      </w:r>
      <w:r w:rsidR="00784D21" w:rsidRPr="0033383C">
        <w:rPr>
          <w:rFonts w:cs="Arial"/>
          <w:szCs w:val="20"/>
        </w:rPr>
        <w:t xml:space="preserve">. In this sense, factor analysis is well-suited for developing an urban sprawl index. </w:t>
      </w:r>
      <w:r w:rsidR="00E757AF">
        <w:rPr>
          <w:rFonts w:cs="Arial"/>
          <w:szCs w:val="20"/>
        </w:rPr>
        <w:t>Sprawl indicators a</w:t>
      </w:r>
      <w:r w:rsidR="00322B89">
        <w:rPr>
          <w:rFonts w:cs="Arial"/>
          <w:szCs w:val="20"/>
        </w:rPr>
        <w:t>t a small-area level however, are</w:t>
      </w:r>
      <w:r w:rsidR="00E757AF">
        <w:rPr>
          <w:rFonts w:cs="Arial"/>
          <w:szCs w:val="20"/>
        </w:rPr>
        <w:t xml:space="preserve"> usually </w:t>
      </w:r>
      <w:r w:rsidR="00322B89">
        <w:rPr>
          <w:rFonts w:cs="Arial"/>
          <w:szCs w:val="20"/>
        </w:rPr>
        <w:t xml:space="preserve">spatially auto-correlated. That is, values of sprawl indicators in adjacent </w:t>
      </w:r>
      <w:r w:rsidR="00322B89">
        <w:rPr>
          <w:rFonts w:cs="Arial"/>
          <w:szCs w:val="20"/>
          <w:lang w:val="en-US"/>
        </w:rPr>
        <w:t>areas are similar. To account for the spatial autocorrelation in statistical inferences</w:t>
      </w:r>
      <w:r w:rsidR="00FA485B">
        <w:rPr>
          <w:rFonts w:cs="Arial"/>
          <w:szCs w:val="20"/>
          <w:lang w:val="en-US"/>
        </w:rPr>
        <w:t xml:space="preserve"> of factor analysis</w:t>
      </w:r>
      <w:r w:rsidR="00322B89">
        <w:rPr>
          <w:rFonts w:cs="Arial"/>
          <w:szCs w:val="20"/>
          <w:lang w:val="en-US"/>
        </w:rPr>
        <w:t xml:space="preserve">, a Bayesian approach is more </w:t>
      </w:r>
      <w:r w:rsidR="00FA485B">
        <w:rPr>
          <w:rFonts w:cs="Arial"/>
          <w:szCs w:val="20"/>
          <w:lang w:val="en-US"/>
        </w:rPr>
        <w:t xml:space="preserve">feasible than the traditional Frequentist approach. </w:t>
      </w:r>
    </w:p>
    <w:p w14:paraId="08132314" w14:textId="1A8DEA9C" w:rsidR="00FC3AC1" w:rsidRPr="00EB19AA" w:rsidRDefault="00FA485B" w:rsidP="00FC3AC1">
      <w:pPr>
        <w:rPr>
          <w:rFonts w:cs="Times New Roman"/>
        </w:rPr>
      </w:pPr>
      <w:r>
        <w:rPr>
          <w:rFonts w:cs="Arial"/>
          <w:szCs w:val="20"/>
          <w:lang w:val="en-US"/>
        </w:rPr>
        <w:tab/>
      </w:r>
      <w:r w:rsidR="00FC3AC1">
        <w:rPr>
          <w:rFonts w:cs="Arial"/>
          <w:szCs w:val="20"/>
          <w:lang w:val="en-US"/>
        </w:rPr>
        <w:t xml:space="preserve">In particular, </w:t>
      </w:r>
      <w:r w:rsidR="00FC3AC1">
        <w:rPr>
          <w:rFonts w:cs="Times New Roman"/>
        </w:rPr>
        <w:t>e</w:t>
      </w:r>
      <w:r w:rsidR="00FC3AC1" w:rsidRPr="00BD0D1A">
        <w:rPr>
          <w:rFonts w:cs="Times New Roman"/>
        </w:rPr>
        <w:t>ach standardized sprawl indicator was</w:t>
      </w:r>
      <w:r w:rsidR="00FC3AC1">
        <w:rPr>
          <w:rFonts w:cs="Times New Roman"/>
        </w:rPr>
        <w:t xml:space="preserve"> assumed to follow a N</w:t>
      </w:r>
      <w:r w:rsidR="00FC3AC1" w:rsidRPr="00BD0D1A">
        <w:rPr>
          <w:rFonts w:cs="Times New Roman"/>
        </w:rPr>
        <w:t xml:space="preserve">ormal distribution with mean </w:t>
      </w:r>
      <w:r w:rsidR="00FC3AC1" w:rsidRPr="00BD0D1A">
        <w:rPr>
          <w:rFonts w:cs="Times New Roman"/>
          <w:i/>
        </w:rPr>
        <w:t>µ</w:t>
      </w:r>
      <w:proofErr w:type="spellStart"/>
      <w:r w:rsidR="00FC3AC1" w:rsidRPr="00BD0D1A">
        <w:rPr>
          <w:rFonts w:cs="Times New Roman"/>
          <w:i/>
          <w:vertAlign w:val="subscript"/>
        </w:rPr>
        <w:t>ij</w:t>
      </w:r>
      <w:proofErr w:type="spellEnd"/>
      <w:r w:rsidR="00FC3AC1" w:rsidRPr="00BD0D1A">
        <w:rPr>
          <w:rFonts w:cs="Times New Roman"/>
        </w:rPr>
        <w:t xml:space="preserve"> and variance </w:t>
      </w:r>
      <w:r w:rsidR="009E6611" w:rsidRPr="00BD0D1A">
        <w:rPr>
          <w:rFonts w:cs="Times New Roman"/>
          <w:noProof/>
          <w:position w:val="-12"/>
        </w:rPr>
        <w:object w:dxaOrig="240" w:dyaOrig="320" w14:anchorId="4D5CB342">
          <v:shape id="_x0000_i1027" type="#_x0000_t75" alt="" style="width:16.85pt;height:21.85pt;mso-width-percent:0;mso-height-percent:0;mso-width-percent:0;mso-height-percent:0" o:ole="">
            <v:imagedata r:id="rId14" o:title=""/>
          </v:shape>
          <o:OLEObject Type="Embed" ProgID="Equation.DSMT4" ShapeID="_x0000_i1027" DrawAspect="Content" ObjectID="_1646725112" r:id="rId15"/>
        </w:object>
      </w:r>
      <w:r w:rsidR="00FC3AC1" w:rsidRPr="00BD0D1A">
        <w:rPr>
          <w:rFonts w:cs="Times New Roman"/>
        </w:rPr>
        <w:t xml:space="preserve">. </w:t>
      </w:r>
      <w:r w:rsidR="00FC3AC1" w:rsidRPr="00BD0D1A">
        <w:rPr>
          <w:rFonts w:cs="Times New Roman"/>
          <w:i/>
        </w:rPr>
        <w:t>µ</w:t>
      </w:r>
      <w:proofErr w:type="spellStart"/>
      <w:r w:rsidR="00FC3AC1" w:rsidRPr="00BD0D1A">
        <w:rPr>
          <w:rFonts w:cs="Times New Roman"/>
          <w:i/>
          <w:vertAlign w:val="subscript"/>
        </w:rPr>
        <w:t>ij</w:t>
      </w:r>
      <w:proofErr w:type="spellEnd"/>
      <w:r w:rsidR="00FC3AC1" w:rsidRPr="00BD0D1A">
        <w:rPr>
          <w:rFonts w:cs="Times New Roman"/>
        </w:rPr>
        <w:t xml:space="preserve"> was further decomposed with an intercept </w:t>
      </w:r>
      <w:bookmarkStart w:id="4" w:name="OLE_LINK3"/>
      <w:bookmarkStart w:id="5" w:name="OLE_LINK4"/>
      <w:r w:rsidR="00FC3AC1" w:rsidRPr="00BD0D1A">
        <w:rPr>
          <w:rFonts w:cs="Times New Roman"/>
          <w:i/>
        </w:rPr>
        <w:t>α</w:t>
      </w:r>
      <w:r w:rsidR="00FC3AC1" w:rsidRPr="00BD0D1A">
        <w:rPr>
          <w:rFonts w:cs="Times New Roman"/>
          <w:i/>
          <w:vertAlign w:val="subscript"/>
        </w:rPr>
        <w:t>j</w:t>
      </w:r>
      <w:bookmarkEnd w:id="4"/>
      <w:bookmarkEnd w:id="5"/>
      <w:r w:rsidR="00FC3AC1" w:rsidRPr="00BD0D1A">
        <w:rPr>
          <w:rFonts w:cs="Times New Roman"/>
        </w:rPr>
        <w:t xml:space="preserve"> and a product </w:t>
      </w:r>
      <w:proofErr w:type="spellStart"/>
      <w:r w:rsidR="00FC3AC1" w:rsidRPr="00A24B6D">
        <w:rPr>
          <w:rFonts w:cs="Times New Roman"/>
          <w:i/>
        </w:rPr>
        <w:t>δ</w:t>
      </w:r>
      <w:r w:rsidR="00FC3AC1" w:rsidRPr="00A24B6D">
        <w:rPr>
          <w:rFonts w:cs="Times New Roman"/>
          <w:i/>
          <w:vertAlign w:val="subscript"/>
        </w:rPr>
        <w:t>j</w:t>
      </w:r>
      <w:proofErr w:type="spellEnd"/>
      <w:r w:rsidR="00FC3AC1" w:rsidRPr="00A24B6D">
        <w:rPr>
          <w:rFonts w:cs="Times New Roman"/>
          <w:i/>
        </w:rPr>
        <w:t>*</w:t>
      </w:r>
      <w:bookmarkStart w:id="6" w:name="OLE_LINK1"/>
      <w:bookmarkStart w:id="7" w:name="OLE_LINK2"/>
      <w:proofErr w:type="spellStart"/>
      <w:r w:rsidR="00FC3AC1" w:rsidRPr="00A24B6D">
        <w:rPr>
          <w:rFonts w:cs="Times New Roman"/>
          <w:i/>
        </w:rPr>
        <w:t>θ</w:t>
      </w:r>
      <w:r w:rsidR="00FC3AC1" w:rsidRPr="00A24B6D">
        <w:rPr>
          <w:rFonts w:cs="Times New Roman"/>
          <w:i/>
          <w:vertAlign w:val="subscript"/>
        </w:rPr>
        <w:t>i</w:t>
      </w:r>
      <w:bookmarkEnd w:id="6"/>
      <w:bookmarkEnd w:id="7"/>
      <w:proofErr w:type="spellEnd"/>
      <w:r w:rsidR="00FC3AC1">
        <w:rPr>
          <w:rFonts w:cs="Times New Roman"/>
        </w:rPr>
        <w:t xml:space="preserve">, with </w:t>
      </w:r>
      <w:r w:rsidR="00FC3AC1" w:rsidRPr="00BD0D1A">
        <w:rPr>
          <w:rFonts w:cs="Times New Roman"/>
          <w:i/>
        </w:rPr>
        <w:t>α</w:t>
      </w:r>
      <w:r w:rsidR="00FC3AC1" w:rsidRPr="00BD0D1A">
        <w:rPr>
          <w:rFonts w:cs="Times New Roman"/>
          <w:i/>
          <w:vertAlign w:val="subscript"/>
        </w:rPr>
        <w:t>j</w:t>
      </w:r>
      <w:r w:rsidR="00FC3AC1">
        <w:rPr>
          <w:rFonts w:cs="Times New Roman"/>
        </w:rPr>
        <w:t xml:space="preserve"> representing the average of sprawl indicator j over Canada and </w:t>
      </w:r>
      <w:proofErr w:type="spellStart"/>
      <w:r w:rsidR="00FC3AC1" w:rsidRPr="00A24B6D">
        <w:rPr>
          <w:rFonts w:cs="Times New Roman"/>
          <w:i/>
        </w:rPr>
        <w:t>δ</w:t>
      </w:r>
      <w:r w:rsidR="00FC3AC1" w:rsidRPr="00A24B6D">
        <w:rPr>
          <w:rFonts w:cs="Times New Roman"/>
          <w:i/>
          <w:vertAlign w:val="subscript"/>
        </w:rPr>
        <w:t>j</w:t>
      </w:r>
      <w:proofErr w:type="spellEnd"/>
      <w:r w:rsidR="00FC3AC1">
        <w:rPr>
          <w:rFonts w:cs="Times New Roman"/>
        </w:rPr>
        <w:t xml:space="preserve"> being the factor loading that indicates the correlation between indicator j and the derived composite sprawl index </w:t>
      </w:r>
      <w:bookmarkStart w:id="8" w:name="OLE_LINK5"/>
      <w:bookmarkStart w:id="9" w:name="OLE_LINK6"/>
      <w:proofErr w:type="spellStart"/>
      <w:r w:rsidR="00FC3AC1" w:rsidRPr="00A24B6D">
        <w:rPr>
          <w:rFonts w:cs="Times New Roman"/>
          <w:i/>
        </w:rPr>
        <w:t>θ</w:t>
      </w:r>
      <w:r w:rsidR="00FC3AC1" w:rsidRPr="00A24B6D">
        <w:rPr>
          <w:rFonts w:cs="Times New Roman"/>
          <w:i/>
          <w:vertAlign w:val="subscript"/>
        </w:rPr>
        <w:t>i</w:t>
      </w:r>
      <w:bookmarkEnd w:id="8"/>
      <w:bookmarkEnd w:id="9"/>
      <w:proofErr w:type="spellEnd"/>
      <w:r w:rsidR="00FC3AC1">
        <w:rPr>
          <w:rFonts w:cs="Times New Roman"/>
        </w:rPr>
        <w:t xml:space="preserve">. Regarding priors of the unknown parameters, we specified a non-informative flat prior to </w:t>
      </w:r>
      <w:r w:rsidR="00FC3AC1" w:rsidRPr="00BD0D1A">
        <w:rPr>
          <w:rFonts w:cs="Times New Roman"/>
          <w:i/>
        </w:rPr>
        <w:t>α</w:t>
      </w:r>
      <w:r w:rsidR="00FC3AC1" w:rsidRPr="00BD0D1A">
        <w:rPr>
          <w:rFonts w:cs="Times New Roman"/>
          <w:i/>
          <w:vertAlign w:val="subscript"/>
        </w:rPr>
        <w:t>j</w:t>
      </w:r>
      <w:r w:rsidR="00FC3AC1">
        <w:rPr>
          <w:rFonts w:cs="Times New Roman"/>
        </w:rPr>
        <w:t>. A log-normal distribution with mean zero and variance 100 was assigned to δ</w:t>
      </w:r>
      <w:r w:rsidR="00FC3AC1" w:rsidRPr="00561D70">
        <w:rPr>
          <w:rFonts w:cs="Times New Roman"/>
          <w:vertAlign w:val="subscript"/>
        </w:rPr>
        <w:t>1</w:t>
      </w:r>
      <w:r w:rsidR="00FC3AC1">
        <w:rPr>
          <w:rFonts w:cs="Times New Roman"/>
        </w:rPr>
        <w:t>, constraining δ</w:t>
      </w:r>
      <w:r w:rsidR="00FC3AC1" w:rsidRPr="00561D70">
        <w:rPr>
          <w:rFonts w:cs="Times New Roman"/>
          <w:vertAlign w:val="subscript"/>
        </w:rPr>
        <w:t>1</w:t>
      </w:r>
      <w:r w:rsidR="00FC3AC1">
        <w:rPr>
          <w:rFonts w:cs="Times New Roman"/>
        </w:rPr>
        <w:t xml:space="preserve"> to be positive. This approach is adopted to avoid the “flip-flop” problem in that </w:t>
      </w:r>
      <w:proofErr w:type="spellStart"/>
      <w:r w:rsidR="00FC3AC1" w:rsidRPr="00A24B6D">
        <w:rPr>
          <w:rFonts w:cs="Times New Roman"/>
          <w:i/>
        </w:rPr>
        <w:t>δ</w:t>
      </w:r>
      <w:r w:rsidR="00FC3AC1" w:rsidRPr="00A24B6D">
        <w:rPr>
          <w:rFonts w:cs="Times New Roman"/>
          <w:i/>
          <w:vertAlign w:val="subscript"/>
        </w:rPr>
        <w:t>j</w:t>
      </w:r>
      <w:proofErr w:type="spellEnd"/>
      <w:r w:rsidR="00FC3AC1">
        <w:rPr>
          <w:rFonts w:cs="Times New Roman"/>
        </w:rPr>
        <w:t>*</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rPr>
        <w:t xml:space="preserve"> = (-</w:t>
      </w:r>
      <w:proofErr w:type="spellStart"/>
      <w:r w:rsidR="00FC3AC1" w:rsidRPr="00A24B6D">
        <w:rPr>
          <w:rFonts w:cs="Times New Roman"/>
          <w:i/>
        </w:rPr>
        <w:t>δ</w:t>
      </w:r>
      <w:r w:rsidR="00FC3AC1" w:rsidRPr="00A24B6D">
        <w:rPr>
          <w:rFonts w:cs="Times New Roman"/>
          <w:i/>
          <w:vertAlign w:val="subscript"/>
        </w:rPr>
        <w:t>j</w:t>
      </w:r>
      <w:proofErr w:type="spellEnd"/>
      <w:r w:rsidR="00FC3AC1">
        <w:rPr>
          <w:rFonts w:cs="Times New Roman"/>
        </w:rPr>
        <w:t>)*(</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rPr>
        <w:t xml:space="preserve">). The remaining </w:t>
      </w:r>
      <w:proofErr w:type="spellStart"/>
      <w:r w:rsidR="00FC3AC1" w:rsidRPr="00A24B6D">
        <w:rPr>
          <w:rFonts w:cs="Times New Roman"/>
          <w:i/>
        </w:rPr>
        <w:t>δ</w:t>
      </w:r>
      <w:r w:rsidR="00FC3AC1" w:rsidRPr="00A24B6D">
        <w:rPr>
          <w:rFonts w:cs="Times New Roman"/>
          <w:i/>
          <w:vertAlign w:val="subscript"/>
        </w:rPr>
        <w:t>j</w:t>
      </w:r>
      <w:r w:rsidR="00FC3AC1">
        <w:rPr>
          <w:rFonts w:cs="Times New Roman"/>
        </w:rPr>
        <w:t>’s</w:t>
      </w:r>
      <w:proofErr w:type="spellEnd"/>
      <w:r w:rsidR="00FC3AC1">
        <w:rPr>
          <w:rFonts w:cs="Times New Roman"/>
        </w:rPr>
        <w:t xml:space="preserve"> were specified a prior of a normal distribution with mean 0 and variance 1,000. The spatial prior, intrinsic Conditional Autoregressive (</w:t>
      </w:r>
      <w:proofErr w:type="spellStart"/>
      <w:r w:rsidR="00FC3AC1">
        <w:rPr>
          <w:rFonts w:cs="Times New Roman"/>
        </w:rPr>
        <w:t>iCAR</w:t>
      </w:r>
      <w:proofErr w:type="spellEnd"/>
      <w:r w:rsidR="00FC3AC1">
        <w:rPr>
          <w:rFonts w:cs="Times New Roman"/>
        </w:rPr>
        <w:t xml:space="preserve">), was specified to the composite sprawl index, </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rPr>
        <w:t xml:space="preserve">, attempting to capture the spatial structure within sprawl indicators. Specifically, the expected mean of </w:t>
      </w:r>
      <w:bookmarkStart w:id="10" w:name="OLE_LINK7"/>
      <w:bookmarkStart w:id="11" w:name="OLE_LINK8"/>
      <w:proofErr w:type="spellStart"/>
      <w:r w:rsidR="00FC3AC1" w:rsidRPr="00A24B6D">
        <w:rPr>
          <w:rFonts w:cs="Times New Roman"/>
          <w:i/>
        </w:rPr>
        <w:t>θ</w:t>
      </w:r>
      <w:r w:rsidR="00FC3AC1" w:rsidRPr="00A24B6D">
        <w:rPr>
          <w:rFonts w:cs="Times New Roman"/>
          <w:i/>
          <w:vertAlign w:val="subscript"/>
        </w:rPr>
        <w:t>i</w:t>
      </w:r>
      <w:bookmarkEnd w:id="10"/>
      <w:bookmarkEnd w:id="11"/>
      <w:proofErr w:type="spellEnd"/>
      <w:r w:rsidR="00FC3AC1">
        <w:rPr>
          <w:rFonts w:cs="Times New Roman"/>
        </w:rPr>
        <w:t xml:space="preserve"> equals the average values of its neighbo</w:t>
      </w:r>
      <w:r w:rsidR="00692872">
        <w:rPr>
          <w:rFonts w:cs="Times New Roman"/>
        </w:rPr>
        <w:t>u</w:t>
      </w:r>
      <w:r w:rsidR="00FC3AC1">
        <w:rPr>
          <w:rFonts w:cs="Times New Roman"/>
        </w:rPr>
        <w:t xml:space="preserve">rs, and the variance of </w:t>
      </w:r>
      <w:proofErr w:type="spellStart"/>
      <w:r w:rsidR="00FC3AC1" w:rsidRPr="00A24B6D">
        <w:rPr>
          <w:rFonts w:cs="Times New Roman"/>
          <w:i/>
        </w:rPr>
        <w:t>θ</w:t>
      </w:r>
      <w:r w:rsidR="00FC3AC1" w:rsidRPr="00A24B6D">
        <w:rPr>
          <w:rFonts w:cs="Times New Roman"/>
          <w:i/>
          <w:vertAlign w:val="subscript"/>
        </w:rPr>
        <w:t>i</w:t>
      </w:r>
      <w:proofErr w:type="spellEnd"/>
      <w:r w:rsidR="00FC3AC1">
        <w:rPr>
          <w:rFonts w:cs="Times New Roman"/>
          <w:i/>
          <w:vertAlign w:val="subscript"/>
        </w:rPr>
        <w:t xml:space="preserve"> </w:t>
      </w:r>
      <w:r w:rsidR="00FC3AC1">
        <w:rPr>
          <w:rFonts w:cs="Times New Roman"/>
        </w:rPr>
        <w:t xml:space="preserve"> is inversely proportional to the number of its neighbo</w:t>
      </w:r>
      <w:r w:rsidR="00692872">
        <w:rPr>
          <w:rFonts w:cs="Times New Roman"/>
        </w:rPr>
        <w:t>u</w:t>
      </w:r>
      <w:r w:rsidR="00FC3AC1">
        <w:rPr>
          <w:rFonts w:cs="Times New Roman"/>
        </w:rPr>
        <w:t>rs, m</w:t>
      </w:r>
      <w:r w:rsidR="00FC3AC1" w:rsidRPr="002E6058">
        <w:rPr>
          <w:rFonts w:cs="Times New Roman"/>
          <w:vertAlign w:val="subscript"/>
        </w:rPr>
        <w:t>i</w:t>
      </w:r>
      <w:r w:rsidR="00FC3AC1">
        <w:rPr>
          <w:rFonts w:cs="Times New Roman"/>
        </w:rPr>
        <w:t>. We applied the most common approach to define neighbo</w:t>
      </w:r>
      <w:r w:rsidR="00692872">
        <w:rPr>
          <w:rFonts w:cs="Times New Roman"/>
        </w:rPr>
        <w:t>u</w:t>
      </w:r>
      <w:r w:rsidR="00FC3AC1">
        <w:rPr>
          <w:rFonts w:cs="Times New Roman"/>
        </w:rPr>
        <w:t xml:space="preserve">rs in small-area analyses: areas sharing at least one vertex. For identifiability reasons, we set the variance of </w:t>
      </w:r>
      <w:r w:rsidR="00FC3AC1" w:rsidRPr="00EB19AA">
        <w:rPr>
          <w:rFonts w:cs="Times New Roman"/>
          <w:b/>
        </w:rPr>
        <w:t>θ</w:t>
      </w:r>
      <w:r w:rsidR="00FC3AC1">
        <w:rPr>
          <w:rFonts w:cs="Times New Roman"/>
          <w:b/>
        </w:rPr>
        <w:t xml:space="preserve"> </w:t>
      </w:r>
      <w:r w:rsidR="00FC3AC1">
        <w:rPr>
          <w:rFonts w:cs="Times New Roman"/>
        </w:rPr>
        <w:t xml:space="preserve">as 1, equivalent to standardizing </w:t>
      </w:r>
      <w:proofErr w:type="spellStart"/>
      <w:r w:rsidR="00FC3AC1" w:rsidRPr="00A24B6D">
        <w:rPr>
          <w:rFonts w:cs="Times New Roman"/>
          <w:i/>
        </w:rPr>
        <w:t>θ</w:t>
      </w:r>
      <w:r w:rsidR="00FC3AC1" w:rsidRPr="00A24B6D">
        <w:rPr>
          <w:rFonts w:cs="Times New Roman"/>
          <w:i/>
          <w:vertAlign w:val="subscript"/>
        </w:rPr>
        <w:t>i</w:t>
      </w:r>
      <w:r w:rsidR="00FC3AC1">
        <w:rPr>
          <w:rFonts w:cs="Times New Roman"/>
        </w:rPr>
        <w:t>’s</w:t>
      </w:r>
      <w:proofErr w:type="spellEnd"/>
      <w:r w:rsidR="00FC3AC1">
        <w:rPr>
          <w:rFonts w:cs="Times New Roman"/>
        </w:rPr>
        <w:t xml:space="preserve">. A vague prior Gamma(0.5, 0.0005) was specified to the precision of </w:t>
      </w:r>
      <w:proofErr w:type="spellStart"/>
      <w:r w:rsidR="00FC3AC1">
        <w:rPr>
          <w:rFonts w:cs="Times New Roman"/>
        </w:rPr>
        <w:t>Y</w:t>
      </w:r>
      <w:r w:rsidR="00FC3AC1" w:rsidRPr="00EB19AA">
        <w:rPr>
          <w:rFonts w:cs="Times New Roman"/>
          <w:vertAlign w:val="subscript"/>
        </w:rPr>
        <w:t>ij</w:t>
      </w:r>
      <w:proofErr w:type="spellEnd"/>
      <w:r w:rsidR="00FC3AC1">
        <w:rPr>
          <w:rFonts w:cs="Times New Roman"/>
        </w:rPr>
        <w:t xml:space="preserve"> (the inverse of variance </w:t>
      </w:r>
      <w:r w:rsidR="009E6611" w:rsidRPr="00BD0D1A">
        <w:rPr>
          <w:rFonts w:cs="Times New Roman"/>
          <w:noProof/>
          <w:position w:val="-12"/>
        </w:rPr>
        <w:object w:dxaOrig="240" w:dyaOrig="320" w14:anchorId="7855D73F">
          <v:shape id="_x0000_i1026" type="#_x0000_t75" alt="" style="width:15.95pt;height:20.95pt;mso-width-percent:0;mso-height-percent:0;mso-width-percent:0;mso-height-percent:0" o:ole="">
            <v:imagedata r:id="rId14" o:title=""/>
          </v:shape>
          <o:OLEObject Type="Embed" ProgID="Equation.DSMT4" ShapeID="_x0000_i1026" DrawAspect="Content" ObjectID="_1646725113" r:id="rId16"/>
        </w:object>
      </w:r>
      <w:r w:rsidR="00FC3AC1">
        <w:rPr>
          <w:rFonts w:cs="Times New Roman"/>
        </w:rPr>
        <w:t>).</w:t>
      </w:r>
    </w:p>
    <w:p w14:paraId="561A8AF5" w14:textId="71211C9D" w:rsidR="00785D7C" w:rsidRPr="00692872" w:rsidRDefault="009E6611" w:rsidP="00692872">
      <w:pPr>
        <w:jc w:val="center"/>
        <w:rPr>
          <w:rFonts w:cs="Times New Roman"/>
          <w:position w:val="-120"/>
        </w:rPr>
      </w:pPr>
      <w:r w:rsidRPr="00BD0D1A">
        <w:rPr>
          <w:rFonts w:cs="Times New Roman"/>
          <w:noProof/>
          <w:position w:val="-120"/>
        </w:rPr>
        <w:object w:dxaOrig="1840" w:dyaOrig="2480" w14:anchorId="102F77C9">
          <v:shape id="_x0000_i1025" type="#_x0000_t75" alt="" style="width:106.65pt;height:143.55pt;mso-width-percent:0;mso-height-percent:0;mso-width-percent:0;mso-height-percent:0" o:ole="">
            <v:imagedata r:id="rId17" o:title=""/>
          </v:shape>
          <o:OLEObject Type="Embed" ProgID="Equation.DSMT4" ShapeID="_x0000_i1025" DrawAspect="Content" ObjectID="_1646725114" r:id="rId18"/>
        </w:object>
      </w:r>
      <w:r w:rsidR="00785D7C">
        <w:br w:type="page"/>
      </w:r>
    </w:p>
    <w:p w14:paraId="5351BB3C" w14:textId="77777777" w:rsidR="005412F4" w:rsidRDefault="00785D7C" w:rsidP="00785D7C">
      <w:pPr>
        <w:pStyle w:val="Heading1"/>
      </w:pPr>
      <w:bookmarkStart w:id="12" w:name="_Toc517700808"/>
      <w:r>
        <w:lastRenderedPageBreak/>
        <w:t xml:space="preserve">Chapter 4: </w:t>
      </w:r>
      <w:r w:rsidR="005412F4">
        <w:t>Limitations</w:t>
      </w:r>
      <w:bookmarkEnd w:id="12"/>
    </w:p>
    <w:p w14:paraId="0E237C9A" w14:textId="2054B404" w:rsidR="00FB5EB3" w:rsidRPr="002D05E7" w:rsidRDefault="00FB5EB3">
      <w:pPr>
        <w:rPr>
          <w:lang w:val="en-US"/>
        </w:rPr>
      </w:pPr>
      <w:r>
        <w:t xml:space="preserve">Several limitations of the study should be acknowledged. First, due to data availability issue at the national scale, we included 9 sprawl indicators only. Some indicators used in other studies, especially in North American studies, such as </w:t>
      </w:r>
      <w:r w:rsidR="008A7B50">
        <w:t xml:space="preserve">job-population mixing and degree of job mixing </w:t>
      </w:r>
      <w:r w:rsidR="008A7B50">
        <w:fldChar w:fldCharType="begin" w:fldLock="1"/>
      </w:r>
      <w:r w:rsidR="008A7B50">
        <w:instrText>ADDIN CSL_CITATION { "citationItems" : [ { "id" : "ITEM-1", "itemData" : { "author" : [ { "dropping-particle" : "", "family" : "Ewing", "given" : "Reid", "non-dropping-particle" : "", "parse-names" : false, "suffix" : "" }, { "dropping-particle" : "", "family" : "Schmid", "given" : "Tom", "non-dropping-particle" : "", "parse-names" : false, "suffix" : "" }, { "dropping-particle" : "", "family" : "Killingsworth", "given" : "Richard", "non-dropping-particle" : "", "parse-names" : false, "suffix" : "" }, { "dropping-particle" : "", "family" : "Zlot", "given" : "Amy", "non-dropping-particle" : "", "parse-names" : false, "suffix" : "" }, { "dropping-particle" : "", "family" : "Raudenbush", "given" : "Stephen", "non-dropping-particle" : "", "parse-names" : false, "suffix" : "" } ], "container-title" : "American Journal of Health Promotion", "id" : "ITEM-1", "issue" : "1", "issued" : { "date-parts" : [ [ "2003" ] ] }, "page" : "47-57", "title" : "Relationship between urban sprawl and physical activity, obesity, and morbidity", "type" : "article-journal", "volume" : "18" }, "uris" : [ "http://www.mendeley.com/documents/?uuid=377221b7-6d65-454c-ab8b-aa9c389b73f5" ] }, { "id" : "ITEM-2", "itemData" : { "DOI" : "10.1016/j.healthplace.2013.12.008", "ISBN" : "9780387734118", "ISSN" : "13538292", "PMID" : "24434082", "abstract" : "Aims: This study aims to model multiple health outcomes and behaviors in terms of the updated, refined, and validated county compactness/sprawl measures. Methods: Multiple health outcomes and behaviors are modeled using multi-level analysis. Results: After controlling for observed confounding influences, both original and new compactness measures are negatively related to BMI, obesity, heart disease, high blood pressure, and diabetes. Indices are not significantly related to physical activity, perhaps because physical activity is not defined broadly to include active travel to work, shopping, and other destinations. Conclusions: Developing urban and suburban areas in a more compact manner may have some salutary effect on obesity and chronic disease trends. ?? 2013 The authors.", "author" : [ { "dropping-particle" : "", "family" : "Ewing", "given" : "Reid", "non-dropping-particle" : "", "parse-names" : false, "suffix" : "" }, { "dropping-particle" : "", "family" : "Meakins", "given" : "Gail", "non-dropping-particle" : "", "parse-names" : false, "suffix" : "" }, { "dropping-particle" : "", "family" : "Hamidi", "given" : "Shima", "non-dropping-particle" : "", "parse-names" : false, "suffix" : "" }, { "dropping-particle" : "", "family" : "Nelson", "given" : "Arthur C.", "non-dropping-particle" : "", "parse-names" : false, "suffix" : "" } ], "container-title" : "Health and Place", "id" : "ITEM-2", "issued" : { "date-parts" : [ [ "2014" ] ] }, "page" : "118-126", "publisher" : "Elsevier", "title" : "Relationship between urban sprawl and physical activity, obesity, and morbidity - Update and refinement", "type" : "article-journal", "volume" : "26" }, "uris" : [ "http://www.mendeley.com/documents/?uuid=26d066bb-2745-448d-b0f9-c1cda592d6f8" ] } ], "mendeley" : { "formattedCitation" : "(Ewing et al., 2014, 2003)", "plainTextFormattedCitation" : "(Ewing et al., 2014, 2003)" }, "properties" : { "noteIndex" : 0 }, "schema" : "https://github.com/citation-style-language/schema/raw/master/csl-citation.json" }</w:instrText>
      </w:r>
      <w:r w:rsidR="008A7B50">
        <w:fldChar w:fldCharType="separate"/>
      </w:r>
      <w:r w:rsidR="008A7B50" w:rsidRPr="008A7B50">
        <w:rPr>
          <w:noProof/>
        </w:rPr>
        <w:t>(Ewing et al., 2014, 2003)</w:t>
      </w:r>
      <w:r w:rsidR="008A7B50">
        <w:fldChar w:fldCharType="end"/>
      </w:r>
      <w:r w:rsidR="008A7B50">
        <w:t xml:space="preserve"> are not </w:t>
      </w:r>
      <w:r w:rsidR="00415528">
        <w:t>included in developing the composite</w:t>
      </w:r>
      <w:r w:rsidR="008A7B50">
        <w:t xml:space="preserve"> sprawl index. </w:t>
      </w:r>
      <w:r w:rsidR="00415528">
        <w:t xml:space="preserve">Second, we used six land use types, namely, </w:t>
      </w:r>
      <w:r w:rsidR="00415528" w:rsidRPr="005C3063">
        <w:rPr>
          <w:i/>
        </w:rPr>
        <w:t>residential</w:t>
      </w:r>
      <w:r w:rsidR="00415528">
        <w:t xml:space="preserve">, </w:t>
      </w:r>
      <w:r w:rsidR="00415528" w:rsidRPr="005C3063">
        <w:rPr>
          <w:i/>
        </w:rPr>
        <w:t>commercial</w:t>
      </w:r>
      <w:r w:rsidR="00415528">
        <w:t xml:space="preserve">, </w:t>
      </w:r>
      <w:r w:rsidR="00415528" w:rsidRPr="005C3063">
        <w:rPr>
          <w:i/>
        </w:rPr>
        <w:t>government and institutional</w:t>
      </w:r>
      <w:r w:rsidR="00415528">
        <w:t xml:space="preserve">, </w:t>
      </w:r>
      <w:r w:rsidR="00415528" w:rsidRPr="005C3063">
        <w:rPr>
          <w:i/>
        </w:rPr>
        <w:t>op</w:t>
      </w:r>
      <w:r w:rsidR="005C3063" w:rsidRPr="005C3063">
        <w:rPr>
          <w:i/>
        </w:rPr>
        <w:t>en area</w:t>
      </w:r>
      <w:r w:rsidR="005C3063">
        <w:t xml:space="preserve">, </w:t>
      </w:r>
      <w:r w:rsidR="005C3063" w:rsidRPr="005C3063">
        <w:rPr>
          <w:i/>
        </w:rPr>
        <w:t>parks and recreational</w:t>
      </w:r>
      <w:r w:rsidR="005C3063">
        <w:t xml:space="preserve">, and </w:t>
      </w:r>
      <w:r w:rsidR="005C3063" w:rsidRPr="005C3063">
        <w:rPr>
          <w:i/>
        </w:rPr>
        <w:t>resource and industrial</w:t>
      </w:r>
      <w:r w:rsidR="005C3063">
        <w:t xml:space="preserve"> to calculate land use mix. While there is no consistency </w:t>
      </w:r>
      <w:r w:rsidR="00BB3C2B">
        <w:t>in terms of</w:t>
      </w:r>
      <w:r w:rsidR="005C3063">
        <w:t xml:space="preserve"> the inclusion of land types </w:t>
      </w:r>
      <w:r w:rsidR="00BB3C2B">
        <w:t>to calculate land use mix, we selected these types based on data availability and past literature that explored the association between health and land use mix. Future research exploring how different land type inclusions impact the results is warranted.</w:t>
      </w:r>
    </w:p>
    <w:p w14:paraId="0188CBA9" w14:textId="026FDE84" w:rsidR="005412F4" w:rsidRDefault="005412F4">
      <w:pPr>
        <w:rPr>
          <w:rFonts w:asciiTheme="majorHAnsi" w:eastAsia="Times New Roman" w:hAnsiTheme="majorHAnsi" w:cs="Times New Roman"/>
          <w:b/>
          <w:bCs/>
          <w:kern w:val="36"/>
          <w:sz w:val="24"/>
          <w:szCs w:val="48"/>
          <w:lang w:eastAsia="en-CA"/>
        </w:rPr>
      </w:pPr>
      <w:r>
        <w:br w:type="page"/>
      </w:r>
    </w:p>
    <w:p w14:paraId="77F9C438" w14:textId="2D10724A" w:rsidR="008A7B50" w:rsidRDefault="005412F4" w:rsidP="00785D7C">
      <w:pPr>
        <w:pStyle w:val="Heading1"/>
      </w:pPr>
      <w:bookmarkStart w:id="13" w:name="_Toc517700809"/>
      <w:r>
        <w:lastRenderedPageBreak/>
        <w:t>Chapter 5: Metadata</w:t>
      </w:r>
      <w:bookmarkEnd w:id="13"/>
    </w:p>
    <w:p w14:paraId="596BD741" w14:textId="7F8ABEAD" w:rsidR="00A50BBC" w:rsidRDefault="00A50BBC" w:rsidP="00A50BBC">
      <w:r>
        <w:t xml:space="preserve">The CANUE website provides the final composite sprawl </w:t>
      </w:r>
      <w:r w:rsidR="00D45D4D">
        <w:t>index</w:t>
      </w:r>
      <w:r>
        <w:t xml:space="preserve"> for each Census Tract as well as the </w:t>
      </w:r>
      <w:r w:rsidR="00D45D4D">
        <w:t>indicators used to create the index (in a CSV file).</w:t>
      </w:r>
      <w:r w:rsidR="00FC7A6C">
        <w:t xml:space="preserve"> In total, 11 variables are provided by CANUE.</w:t>
      </w:r>
      <w:r w:rsidR="00D45D4D">
        <w:t xml:space="preserve"> Table 2 shows the name </w:t>
      </w:r>
      <w:r w:rsidR="00767151">
        <w:t xml:space="preserve">and a short description </w:t>
      </w:r>
      <w:r w:rsidR="00D45D4D">
        <w:t>of each variable</w:t>
      </w:r>
      <w:r w:rsidR="00767151">
        <w:t>.</w:t>
      </w:r>
    </w:p>
    <w:tbl>
      <w:tblPr>
        <w:tblStyle w:val="TableGrid"/>
        <w:tblW w:w="0" w:type="auto"/>
        <w:tblLook w:val="04A0" w:firstRow="1" w:lastRow="0" w:firstColumn="1" w:lastColumn="0" w:noHBand="0" w:noVBand="1"/>
      </w:tblPr>
      <w:tblGrid>
        <w:gridCol w:w="1615"/>
        <w:gridCol w:w="7735"/>
      </w:tblGrid>
      <w:tr w:rsidR="00767151" w14:paraId="4F51E2D6" w14:textId="77777777" w:rsidTr="009F14FA">
        <w:tc>
          <w:tcPr>
            <w:tcW w:w="1615" w:type="dxa"/>
          </w:tcPr>
          <w:p w14:paraId="43699608" w14:textId="5A7EFCC2" w:rsidR="00767151" w:rsidRDefault="00767151" w:rsidP="00A50BBC">
            <w:r>
              <w:t>Variable Name</w:t>
            </w:r>
          </w:p>
        </w:tc>
        <w:tc>
          <w:tcPr>
            <w:tcW w:w="7735" w:type="dxa"/>
          </w:tcPr>
          <w:p w14:paraId="44AD819B" w14:textId="4496D45E" w:rsidR="00767151" w:rsidRDefault="00767151" w:rsidP="00A50BBC">
            <w:r>
              <w:t>Description</w:t>
            </w:r>
          </w:p>
        </w:tc>
      </w:tr>
      <w:tr w:rsidR="00767151" w14:paraId="7B8ECA9C" w14:textId="77777777" w:rsidTr="009F14FA">
        <w:tc>
          <w:tcPr>
            <w:tcW w:w="1615" w:type="dxa"/>
          </w:tcPr>
          <w:p w14:paraId="1378092E" w14:textId="2E1249C6" w:rsidR="00767151" w:rsidRDefault="00A81487" w:rsidP="00A50BBC">
            <w:r>
              <w:t>sprawl</w:t>
            </w:r>
          </w:p>
        </w:tc>
        <w:tc>
          <w:tcPr>
            <w:tcW w:w="7735" w:type="dxa"/>
          </w:tcPr>
          <w:p w14:paraId="7F04F097" w14:textId="5277B2C8" w:rsidR="00767151" w:rsidRDefault="009F14FA" w:rsidP="009F14FA">
            <w:r>
              <w:t>Standardized c</w:t>
            </w:r>
            <w:r w:rsidR="00522413">
              <w:t>omposite sprawl score of a CT</w:t>
            </w:r>
            <w:r w:rsidR="005A1AC1">
              <w:t>, wi</w:t>
            </w:r>
            <w:r>
              <w:t>th mean zero and standard deviation one</w:t>
            </w:r>
          </w:p>
        </w:tc>
      </w:tr>
      <w:tr w:rsidR="00A81487" w14:paraId="11897865" w14:textId="77777777" w:rsidTr="009F14FA">
        <w:tc>
          <w:tcPr>
            <w:tcW w:w="1615" w:type="dxa"/>
          </w:tcPr>
          <w:p w14:paraId="4008F3B4" w14:textId="320C27A0" w:rsidR="00A81487" w:rsidRDefault="00A81487" w:rsidP="00A50BBC">
            <w:r>
              <w:t>lower</w:t>
            </w:r>
          </w:p>
        </w:tc>
        <w:tc>
          <w:tcPr>
            <w:tcW w:w="7735" w:type="dxa"/>
          </w:tcPr>
          <w:p w14:paraId="327A1BCE" w14:textId="755B2D59" w:rsidR="00A81487" w:rsidRDefault="009F14FA" w:rsidP="00A50BBC">
            <w:r>
              <w:t>The lower bound of the 95% credible interval of the sprawl score</w:t>
            </w:r>
          </w:p>
        </w:tc>
      </w:tr>
      <w:tr w:rsidR="00A81487" w14:paraId="335B3C37" w14:textId="77777777" w:rsidTr="009F14FA">
        <w:tc>
          <w:tcPr>
            <w:tcW w:w="1615" w:type="dxa"/>
          </w:tcPr>
          <w:p w14:paraId="5506564E" w14:textId="76935EEA" w:rsidR="00A81487" w:rsidRDefault="00A81487" w:rsidP="00A50BBC">
            <w:r>
              <w:t>median</w:t>
            </w:r>
          </w:p>
        </w:tc>
        <w:tc>
          <w:tcPr>
            <w:tcW w:w="7735" w:type="dxa"/>
          </w:tcPr>
          <w:p w14:paraId="6F29D848" w14:textId="3CF9792C" w:rsidR="00A81487" w:rsidRDefault="009F14FA" w:rsidP="00A50BBC">
            <w:r>
              <w:t>The median of the sprawl score</w:t>
            </w:r>
          </w:p>
        </w:tc>
      </w:tr>
      <w:tr w:rsidR="00A81487" w14:paraId="63D9D4BE" w14:textId="77777777" w:rsidTr="009F14FA">
        <w:tc>
          <w:tcPr>
            <w:tcW w:w="1615" w:type="dxa"/>
          </w:tcPr>
          <w:p w14:paraId="4FC9D56E" w14:textId="66AA9649" w:rsidR="00A81487" w:rsidRDefault="00A81487" w:rsidP="00A50BBC">
            <w:r>
              <w:t>upper</w:t>
            </w:r>
          </w:p>
        </w:tc>
        <w:tc>
          <w:tcPr>
            <w:tcW w:w="7735" w:type="dxa"/>
          </w:tcPr>
          <w:p w14:paraId="0D0DC20B" w14:textId="33ACF467" w:rsidR="00A81487" w:rsidRDefault="009F14FA" w:rsidP="009F14FA">
            <w:r>
              <w:t>The upper bound of the 95% credible interval of the sprawl score</w:t>
            </w:r>
          </w:p>
        </w:tc>
      </w:tr>
    </w:tbl>
    <w:p w14:paraId="666B4322" w14:textId="77777777" w:rsidR="00767151" w:rsidRDefault="00767151" w:rsidP="00A50BBC"/>
    <w:p w14:paraId="631EEEAE" w14:textId="21F8640C" w:rsidR="00D45D4D" w:rsidRDefault="00D45D4D" w:rsidP="00A50BBC"/>
    <w:p w14:paraId="6AFD5DCB" w14:textId="77777777" w:rsidR="008A7B50" w:rsidRDefault="008A7B50">
      <w:pPr>
        <w:rPr>
          <w:rFonts w:asciiTheme="majorHAnsi" w:eastAsia="Times New Roman" w:hAnsiTheme="majorHAnsi" w:cs="Times New Roman"/>
          <w:b/>
          <w:bCs/>
          <w:kern w:val="36"/>
          <w:sz w:val="24"/>
          <w:szCs w:val="48"/>
          <w:lang w:eastAsia="en-CA"/>
        </w:rPr>
      </w:pPr>
      <w:r>
        <w:br w:type="page"/>
      </w:r>
    </w:p>
    <w:p w14:paraId="38B25916" w14:textId="318CFA56" w:rsidR="006662B3" w:rsidRDefault="008A7B50" w:rsidP="00785D7C">
      <w:pPr>
        <w:pStyle w:val="Heading1"/>
      </w:pPr>
      <w:bookmarkStart w:id="14" w:name="_Toc517700810"/>
      <w:r>
        <w:lastRenderedPageBreak/>
        <w:t>References</w:t>
      </w:r>
      <w:bookmarkEnd w:id="14"/>
    </w:p>
    <w:p w14:paraId="0ACCBF7D" w14:textId="1B227B2E"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fldChar w:fldCharType="begin" w:fldLock="1"/>
      </w:r>
      <w:r>
        <w:instrText xml:space="preserve">ADDIN Mendeley Bibliography CSL_BIBLIOGRAPHY </w:instrText>
      </w:r>
      <w:r>
        <w:fldChar w:fldCharType="separate"/>
      </w:r>
      <w:r w:rsidRPr="008A7B50">
        <w:rPr>
          <w:rFonts w:ascii="Calibri Light" w:hAnsi="Calibri Light" w:cs="Calibri Light"/>
          <w:noProof/>
          <w:sz w:val="24"/>
          <w:szCs w:val="24"/>
        </w:rPr>
        <w:t xml:space="preserve">Arribas-Bel, D., Nijkamp, P., &amp; Scholten, H. (2011). Multidimensional urban sprawl in Europe: A self-organizing map approach. </w:t>
      </w:r>
      <w:r w:rsidRPr="008A7B50">
        <w:rPr>
          <w:rFonts w:ascii="Calibri Light" w:hAnsi="Calibri Light" w:cs="Calibri Light"/>
          <w:i/>
          <w:iCs/>
          <w:noProof/>
          <w:sz w:val="24"/>
          <w:szCs w:val="24"/>
        </w:rPr>
        <w:t>Computers, Environment and Urban Systems</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35</w:t>
      </w:r>
      <w:r w:rsidRPr="008A7B50">
        <w:rPr>
          <w:rFonts w:ascii="Calibri Light" w:hAnsi="Calibri Light" w:cs="Calibri Light"/>
          <w:noProof/>
          <w:sz w:val="24"/>
          <w:szCs w:val="24"/>
        </w:rPr>
        <w:t>(4), 263–275. http://doi.org/10.1016/j.compenvurbsys.2010.10.002</w:t>
      </w:r>
    </w:p>
    <w:p w14:paraId="6BDAE810"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Brown, T. A. (2015). </w:t>
      </w:r>
      <w:r w:rsidRPr="008A7B50">
        <w:rPr>
          <w:rFonts w:ascii="Calibri Light" w:hAnsi="Calibri Light" w:cs="Calibri Light"/>
          <w:i/>
          <w:iCs/>
          <w:noProof/>
          <w:sz w:val="24"/>
          <w:szCs w:val="24"/>
        </w:rPr>
        <w:t>Confirmatory Factor Analysis for Applied Research</w:t>
      </w:r>
      <w:r w:rsidRPr="008A7B50">
        <w:rPr>
          <w:rFonts w:ascii="Calibri Light" w:hAnsi="Calibri Light" w:cs="Calibri Light"/>
          <w:noProof/>
          <w:sz w:val="24"/>
          <w:szCs w:val="24"/>
        </w:rPr>
        <w:t xml:space="preserve"> (Second Edi). New York: The Guilford Press.</w:t>
      </w:r>
    </w:p>
    <w:p w14:paraId="48059CDB"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Brownson, R. C., &amp; Berrigan, D. (2006). Relationship Between Urban Sprawl and Weight of United States Youth. </w:t>
      </w:r>
      <w:r w:rsidRPr="008A7B50">
        <w:rPr>
          <w:rFonts w:ascii="Calibri Light" w:hAnsi="Calibri Light" w:cs="Calibri Light"/>
          <w:i/>
          <w:iCs/>
          <w:noProof/>
          <w:sz w:val="24"/>
          <w:szCs w:val="24"/>
        </w:rPr>
        <w:t>American Journal of Preventive Medicine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31</w:t>
      </w:r>
      <w:r w:rsidRPr="008A7B50">
        <w:rPr>
          <w:rFonts w:ascii="Calibri Light" w:hAnsi="Calibri Light" w:cs="Calibri Light"/>
          <w:noProof/>
          <w:sz w:val="24"/>
          <w:szCs w:val="24"/>
        </w:rPr>
        <w:t>(6), 464–474. http://doi.org/10.1016/j.amepre.2006.08.020</w:t>
      </w:r>
    </w:p>
    <w:p w14:paraId="1A5F5EE5"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&amp; Dumbaugh, E. (2009). The Built Environment and Traffic Safety A Review of Empirical Evidence. </w:t>
      </w:r>
      <w:r w:rsidRPr="008A7B50">
        <w:rPr>
          <w:rFonts w:ascii="Calibri Light" w:hAnsi="Calibri Light" w:cs="Calibri Light"/>
          <w:i/>
          <w:iCs/>
          <w:noProof/>
          <w:sz w:val="24"/>
          <w:szCs w:val="24"/>
        </w:rPr>
        <w:t>Journal of Planning Literature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23</w:t>
      </w:r>
      <w:r w:rsidRPr="008A7B50">
        <w:rPr>
          <w:rFonts w:ascii="Calibri Light" w:hAnsi="Calibri Light" w:cs="Calibri Light"/>
          <w:noProof/>
          <w:sz w:val="24"/>
          <w:szCs w:val="24"/>
        </w:rPr>
        <w:t>(4), 347–367. http://doi.org/10.1177/0885412209335553</w:t>
      </w:r>
    </w:p>
    <w:p w14:paraId="57C828CB"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&amp; Hamidi, S. (2015). Compactness versus Sprawl: A Review of Recent Evidence from the United States. </w:t>
      </w:r>
      <w:r w:rsidRPr="008A7B50">
        <w:rPr>
          <w:rFonts w:ascii="Calibri Light" w:hAnsi="Calibri Light" w:cs="Calibri Light"/>
          <w:i/>
          <w:iCs/>
          <w:noProof/>
          <w:sz w:val="24"/>
          <w:szCs w:val="24"/>
        </w:rPr>
        <w:t>Journal of Planning Literature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30</w:t>
      </w:r>
      <w:r w:rsidRPr="008A7B50">
        <w:rPr>
          <w:rFonts w:ascii="Calibri Light" w:hAnsi="Calibri Light" w:cs="Calibri Light"/>
          <w:noProof/>
          <w:sz w:val="24"/>
          <w:szCs w:val="24"/>
        </w:rPr>
        <w:t>(4), 413–432. http://doi.org/10.1177/0885412215595439</w:t>
      </w:r>
    </w:p>
    <w:p w14:paraId="34D1D707"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Meakins, G., Hamidi, S., &amp; Nelson, A. C. (2014). Relationship between urban sprawl and physical activity, obesity, and morbidity - Update and refinement. </w:t>
      </w:r>
      <w:r w:rsidRPr="008A7B50">
        <w:rPr>
          <w:rFonts w:ascii="Calibri Light" w:hAnsi="Calibri Light" w:cs="Calibri Light"/>
          <w:i/>
          <w:iCs/>
          <w:noProof/>
          <w:sz w:val="24"/>
          <w:szCs w:val="24"/>
        </w:rPr>
        <w:t>Health and Place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26</w:t>
      </w:r>
      <w:r w:rsidRPr="008A7B50">
        <w:rPr>
          <w:rFonts w:ascii="Calibri Light" w:hAnsi="Calibri Light" w:cs="Calibri Light"/>
          <w:noProof/>
          <w:sz w:val="24"/>
          <w:szCs w:val="24"/>
        </w:rPr>
        <w:t>, 118–126. http://doi.org/10.1016/j.healthplace.2013.12.008</w:t>
      </w:r>
    </w:p>
    <w:p w14:paraId="7132F4DE"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Pendall, R., &amp; Chen, D. (2002). </w:t>
      </w:r>
      <w:r w:rsidRPr="008A7B50">
        <w:rPr>
          <w:rFonts w:ascii="Calibri Light" w:hAnsi="Calibri Light" w:cs="Calibri Light"/>
          <w:i/>
          <w:iCs/>
          <w:noProof/>
          <w:sz w:val="24"/>
          <w:szCs w:val="24"/>
        </w:rPr>
        <w:t>Measuring Sprawl and Its Impact</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Smart Growth America</w:t>
      </w:r>
      <w:r w:rsidRPr="008A7B50">
        <w:rPr>
          <w:rFonts w:ascii="Calibri Light" w:hAnsi="Calibri Light" w:cs="Calibri Light"/>
          <w:noProof/>
          <w:sz w:val="24"/>
          <w:szCs w:val="24"/>
        </w:rPr>
        <w:t>. http://doi.org/Cited By (since 1996) 164\rExport Date 14 August 2012</w:t>
      </w:r>
    </w:p>
    <w:p w14:paraId="4AE8D3DF"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Ewing, R., Schmid, T., Killingsworth, R., Zlot, A., &amp; Raudenbush, S. (2003). Relationship between urban sprawl and physical activity, obesity, and morbidity. </w:t>
      </w:r>
      <w:r w:rsidRPr="008A7B50">
        <w:rPr>
          <w:rFonts w:ascii="Calibri Light" w:hAnsi="Calibri Light" w:cs="Calibri Light"/>
          <w:i/>
          <w:iCs/>
          <w:noProof/>
          <w:sz w:val="24"/>
          <w:szCs w:val="24"/>
        </w:rPr>
        <w:t>American Journal of Health Promotion</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18</w:t>
      </w:r>
      <w:r w:rsidRPr="008A7B50">
        <w:rPr>
          <w:rFonts w:ascii="Calibri Light" w:hAnsi="Calibri Light" w:cs="Calibri Light"/>
          <w:noProof/>
          <w:sz w:val="24"/>
          <w:szCs w:val="24"/>
        </w:rPr>
        <w:t>(1), 47–57.</w:t>
      </w:r>
    </w:p>
    <w:p w14:paraId="6114E927"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Frenkel, A., &amp; Ashkenazi, M. (2008). Measuring urban sprawl: How can we deal with it? </w:t>
      </w:r>
      <w:r w:rsidRPr="008A7B50">
        <w:rPr>
          <w:rFonts w:ascii="Calibri Light" w:hAnsi="Calibri Light" w:cs="Calibri Light"/>
          <w:i/>
          <w:iCs/>
          <w:noProof/>
          <w:sz w:val="24"/>
          <w:szCs w:val="24"/>
        </w:rPr>
        <w:t>Environment and Planning B: Urban Analytics and City Science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35</w:t>
      </w:r>
      <w:r w:rsidRPr="008A7B50">
        <w:rPr>
          <w:rFonts w:ascii="Calibri Light" w:hAnsi="Calibri Light" w:cs="Calibri Light"/>
          <w:noProof/>
          <w:sz w:val="24"/>
          <w:szCs w:val="24"/>
        </w:rPr>
        <w:t>(1), 56–79. http://doi.org/10.1068/b32155</w:t>
      </w:r>
    </w:p>
    <w:p w14:paraId="7A416085"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Frumkin, H. (2002). Urban Sprawl and Public Health. </w:t>
      </w:r>
      <w:r w:rsidRPr="008A7B50">
        <w:rPr>
          <w:rFonts w:ascii="Calibri Light" w:hAnsi="Calibri Light" w:cs="Calibri Light"/>
          <w:i/>
          <w:iCs/>
          <w:noProof/>
          <w:sz w:val="24"/>
          <w:szCs w:val="24"/>
        </w:rPr>
        <w:t>Public Health Reports</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117</w:t>
      </w:r>
      <w:r w:rsidRPr="008A7B50">
        <w:rPr>
          <w:rFonts w:ascii="Calibri Light" w:hAnsi="Calibri Light" w:cs="Calibri Light"/>
          <w:noProof/>
          <w:sz w:val="24"/>
          <w:szCs w:val="24"/>
        </w:rPr>
        <w:t>(3), 201–217. http://doi.org/10.1177/1476127005050030</w:t>
      </w:r>
    </w:p>
    <w:p w14:paraId="3920C8FA"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Galster, G., Hanson, R., Ratcliffe, M. R., Wolman, H., Coleman, S., &amp; Freihage, J. (2001). Wrestling Sprawl to the Ground: Defining and measuring an elusive concept. </w:t>
      </w:r>
      <w:r w:rsidRPr="008A7B50">
        <w:rPr>
          <w:rFonts w:ascii="Calibri Light" w:hAnsi="Calibri Light" w:cs="Calibri Light"/>
          <w:i/>
          <w:iCs/>
          <w:noProof/>
          <w:sz w:val="24"/>
          <w:szCs w:val="24"/>
        </w:rPr>
        <w:t>Housing Policy Debate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12</w:t>
      </w:r>
      <w:r w:rsidRPr="008A7B50">
        <w:rPr>
          <w:rFonts w:ascii="Calibri Light" w:hAnsi="Calibri Light" w:cs="Calibri Light"/>
          <w:noProof/>
          <w:sz w:val="24"/>
          <w:szCs w:val="24"/>
        </w:rPr>
        <w:t>(4), 681–717. http://doi.org/10.1080/10511482.2001.9521426</w:t>
      </w:r>
    </w:p>
    <w:p w14:paraId="39CADFA2"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Griffin, B. A., Eibner, C., Bird, C. E., Jewell, A., Margolis, K., Shih, R., … Escarce, J. J. (2013). The relationship between urban sprawl and coronary heart disease in women. </w:t>
      </w:r>
      <w:r w:rsidRPr="008A7B50">
        <w:rPr>
          <w:rFonts w:ascii="Calibri Light" w:hAnsi="Calibri Light" w:cs="Calibri Light"/>
          <w:i/>
          <w:iCs/>
          <w:noProof/>
          <w:sz w:val="24"/>
          <w:szCs w:val="24"/>
        </w:rPr>
        <w:t>Health &amp; Place</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20</w:t>
      </w:r>
      <w:r w:rsidRPr="008A7B50">
        <w:rPr>
          <w:rFonts w:ascii="Calibri Light" w:hAnsi="Calibri Light" w:cs="Calibri Light"/>
          <w:noProof/>
          <w:sz w:val="24"/>
          <w:szCs w:val="24"/>
        </w:rPr>
        <w:t>, 51–61. http://doi.org/10.1016/j.healthplace.2012.11.003</w:t>
      </w:r>
    </w:p>
    <w:p w14:paraId="36F22843"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szCs w:val="24"/>
        </w:rPr>
      </w:pPr>
      <w:r w:rsidRPr="008A7B50">
        <w:rPr>
          <w:rFonts w:ascii="Calibri Light" w:hAnsi="Calibri Light" w:cs="Calibri Light"/>
          <w:noProof/>
          <w:sz w:val="24"/>
          <w:szCs w:val="24"/>
        </w:rPr>
        <w:t xml:space="preserve">Knaap, G.-J., Song, Y., Ewing, R., &amp; Clifton, K. (2005). Seeing the Elephant : Multi-disciplinary Measures of Urban Sprawl. </w:t>
      </w:r>
      <w:r w:rsidRPr="008A7B50">
        <w:rPr>
          <w:rFonts w:ascii="Calibri Light" w:hAnsi="Calibri Light" w:cs="Calibri Light"/>
          <w:i/>
          <w:iCs/>
          <w:noProof/>
          <w:sz w:val="24"/>
          <w:szCs w:val="24"/>
        </w:rPr>
        <w:t>Landscape Ecology</w:t>
      </w:r>
      <w:r w:rsidRPr="008A7B50">
        <w:rPr>
          <w:rFonts w:ascii="Calibri Light" w:hAnsi="Calibri Light" w:cs="Calibri Light"/>
          <w:noProof/>
          <w:sz w:val="24"/>
          <w:szCs w:val="24"/>
        </w:rPr>
        <w:t>, 1–46. http://doi.org/Yes</w:t>
      </w:r>
    </w:p>
    <w:p w14:paraId="02FF6716" w14:textId="77777777" w:rsidR="008A7B50" w:rsidRPr="008A7B50" w:rsidRDefault="008A7B50" w:rsidP="008A7B50">
      <w:pPr>
        <w:widowControl w:val="0"/>
        <w:autoSpaceDE w:val="0"/>
        <w:autoSpaceDN w:val="0"/>
        <w:adjustRightInd w:val="0"/>
        <w:spacing w:before="100" w:after="100" w:line="240" w:lineRule="auto"/>
        <w:ind w:left="480" w:hanging="480"/>
        <w:rPr>
          <w:rFonts w:ascii="Calibri Light" w:hAnsi="Calibri Light" w:cs="Calibri Light"/>
          <w:noProof/>
          <w:sz w:val="24"/>
        </w:rPr>
      </w:pPr>
      <w:r w:rsidRPr="008A7B50">
        <w:rPr>
          <w:rFonts w:ascii="Calibri Light" w:hAnsi="Calibri Light" w:cs="Calibri Light"/>
          <w:noProof/>
          <w:sz w:val="24"/>
          <w:szCs w:val="24"/>
        </w:rPr>
        <w:lastRenderedPageBreak/>
        <w:t xml:space="preserve">Ross, N. a, Tremblay, S., Khan, S., Crouse, D., Tremblay, M., &amp; Berthelot, J.-M. (2007). Body mass index in urban Canada: neighborhood and metropolitan area effects. </w:t>
      </w:r>
      <w:r w:rsidRPr="008A7B50">
        <w:rPr>
          <w:rFonts w:ascii="Calibri Light" w:hAnsi="Calibri Light" w:cs="Calibri Light"/>
          <w:i/>
          <w:iCs/>
          <w:noProof/>
          <w:sz w:val="24"/>
          <w:szCs w:val="24"/>
        </w:rPr>
        <w:t>American Journal of Public Health</w:t>
      </w:r>
      <w:r w:rsidRPr="008A7B50">
        <w:rPr>
          <w:rFonts w:ascii="Calibri Light" w:hAnsi="Calibri Light" w:cs="Calibri Light"/>
          <w:noProof/>
          <w:sz w:val="24"/>
          <w:szCs w:val="24"/>
        </w:rPr>
        <w:t xml:space="preserve">, </w:t>
      </w:r>
      <w:r w:rsidRPr="008A7B50">
        <w:rPr>
          <w:rFonts w:ascii="Calibri Light" w:hAnsi="Calibri Light" w:cs="Calibri Light"/>
          <w:i/>
          <w:iCs/>
          <w:noProof/>
          <w:sz w:val="24"/>
          <w:szCs w:val="24"/>
        </w:rPr>
        <w:t>97</w:t>
      </w:r>
      <w:r w:rsidRPr="008A7B50">
        <w:rPr>
          <w:rFonts w:ascii="Calibri Light" w:hAnsi="Calibri Light" w:cs="Calibri Light"/>
          <w:noProof/>
          <w:sz w:val="24"/>
          <w:szCs w:val="24"/>
        </w:rPr>
        <w:t>(3), 500–8. http://doi.org/10.2105/AJPH.2004.060954</w:t>
      </w:r>
    </w:p>
    <w:p w14:paraId="7BDEE891" w14:textId="729AF88D" w:rsidR="008A7B50" w:rsidRDefault="008A7B50" w:rsidP="00785D7C">
      <w:pPr>
        <w:pStyle w:val="Heading1"/>
      </w:pPr>
      <w:r>
        <w:fldChar w:fldCharType="end"/>
      </w:r>
    </w:p>
    <w:p w14:paraId="43E99088" w14:textId="77777777" w:rsidR="00785D7C" w:rsidRDefault="00785D7C" w:rsidP="00785D7C"/>
    <w:sectPr w:rsidR="00785D7C" w:rsidSect="00FC67E9">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6EFA1" w14:textId="77777777" w:rsidR="009E6611" w:rsidRDefault="009E6611" w:rsidP="004B0858">
      <w:pPr>
        <w:spacing w:after="0" w:line="240" w:lineRule="auto"/>
      </w:pPr>
      <w:r>
        <w:separator/>
      </w:r>
    </w:p>
  </w:endnote>
  <w:endnote w:type="continuationSeparator" w:id="0">
    <w:p w14:paraId="2448394D" w14:textId="77777777" w:rsidR="009E6611" w:rsidRDefault="009E6611" w:rsidP="004B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009739"/>
      <w:docPartObj>
        <w:docPartGallery w:val="Page Numbers (Bottom of Page)"/>
        <w:docPartUnique/>
      </w:docPartObj>
    </w:sdtPr>
    <w:sdtEndPr>
      <w:rPr>
        <w:color w:val="808080" w:themeColor="background1" w:themeShade="80"/>
        <w:spacing w:val="60"/>
        <w:sz w:val="20"/>
        <w:szCs w:val="20"/>
      </w:rPr>
    </w:sdtEndPr>
    <w:sdtContent>
      <w:p w14:paraId="02EE4443" w14:textId="2C8A5CF9" w:rsidR="00415528" w:rsidRPr="002078F0" w:rsidRDefault="00415528" w:rsidP="002078F0">
        <w:pPr>
          <w:pStyle w:val="Footer"/>
          <w:pBdr>
            <w:top w:val="single" w:sz="4" w:space="1" w:color="D9D9D9" w:themeColor="background1" w:themeShade="D9"/>
          </w:pBdr>
          <w:tabs>
            <w:tab w:val="clear" w:pos="4680"/>
          </w:tabs>
          <w:rPr>
            <w:sz w:val="20"/>
            <w:szCs w:val="20"/>
          </w:rPr>
        </w:pPr>
        <w:r w:rsidRPr="002078F0">
          <w:rPr>
            <w:sz w:val="20"/>
            <w:szCs w:val="20"/>
          </w:rPr>
          <w:t>CANADIAN URBAN ENVIRONMENTAL HEALTH RESEARCH CONSORTIUM</w:t>
        </w:r>
        <w:r w:rsidRPr="002078F0">
          <w:rPr>
            <w:sz w:val="20"/>
            <w:szCs w:val="20"/>
          </w:rPr>
          <w:tab/>
          <w:t xml:space="preserve"> </w:t>
        </w:r>
        <w:r w:rsidRPr="002078F0">
          <w:rPr>
            <w:sz w:val="20"/>
            <w:szCs w:val="20"/>
          </w:rPr>
          <w:fldChar w:fldCharType="begin"/>
        </w:r>
        <w:r w:rsidRPr="002078F0">
          <w:rPr>
            <w:sz w:val="20"/>
            <w:szCs w:val="20"/>
          </w:rPr>
          <w:instrText xml:space="preserve"> PAGE   \* MERGEFORMAT </w:instrText>
        </w:r>
        <w:r w:rsidRPr="002078F0">
          <w:rPr>
            <w:sz w:val="20"/>
            <w:szCs w:val="20"/>
          </w:rPr>
          <w:fldChar w:fldCharType="separate"/>
        </w:r>
        <w:r w:rsidR="00EB7B7E">
          <w:rPr>
            <w:noProof/>
            <w:sz w:val="20"/>
            <w:szCs w:val="20"/>
          </w:rPr>
          <w:t>i</w:t>
        </w:r>
        <w:r w:rsidRPr="002078F0">
          <w:rPr>
            <w:noProof/>
            <w:sz w:val="20"/>
            <w:szCs w:val="20"/>
          </w:rPr>
          <w:fldChar w:fldCharType="end"/>
        </w:r>
        <w:r w:rsidRPr="002078F0">
          <w:rPr>
            <w:sz w:val="20"/>
            <w:szCs w:val="20"/>
          </w:rPr>
          <w:t xml:space="preserve"> | </w:t>
        </w:r>
        <w:r w:rsidRPr="002078F0">
          <w:rPr>
            <w:color w:val="808080" w:themeColor="background1" w:themeShade="80"/>
            <w:spacing w:val="60"/>
            <w:sz w:val="20"/>
            <w:szCs w:val="20"/>
          </w:rPr>
          <w:t>Page</w:t>
        </w:r>
      </w:p>
    </w:sdtContent>
  </w:sdt>
  <w:p w14:paraId="09BD5F50" w14:textId="77777777" w:rsidR="00415528" w:rsidRDefault="00415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009740"/>
      <w:docPartObj>
        <w:docPartGallery w:val="Page Numbers (Bottom of Page)"/>
        <w:docPartUnique/>
      </w:docPartObj>
    </w:sdtPr>
    <w:sdtEndPr>
      <w:rPr>
        <w:color w:val="808080" w:themeColor="background1" w:themeShade="80"/>
        <w:spacing w:val="60"/>
        <w:sz w:val="20"/>
        <w:szCs w:val="20"/>
      </w:rPr>
    </w:sdtEndPr>
    <w:sdtContent>
      <w:p w14:paraId="729922F8" w14:textId="3D9D3AFE" w:rsidR="00415528" w:rsidRPr="002078F0" w:rsidRDefault="00415528" w:rsidP="002078F0">
        <w:pPr>
          <w:pStyle w:val="Footer"/>
          <w:pBdr>
            <w:top w:val="single" w:sz="4" w:space="1" w:color="D9D9D9" w:themeColor="background1" w:themeShade="D9"/>
          </w:pBdr>
          <w:tabs>
            <w:tab w:val="clear" w:pos="4680"/>
          </w:tabs>
          <w:rPr>
            <w:sz w:val="20"/>
            <w:szCs w:val="20"/>
          </w:rPr>
        </w:pPr>
        <w:r w:rsidRPr="002078F0">
          <w:rPr>
            <w:sz w:val="20"/>
            <w:szCs w:val="20"/>
          </w:rPr>
          <w:t>CANADIAN URBAN ENVIRONMENTAL HEALTH RESEARCH CONSORTIUM</w:t>
        </w:r>
        <w:r w:rsidRPr="002078F0">
          <w:rPr>
            <w:sz w:val="20"/>
            <w:szCs w:val="20"/>
          </w:rPr>
          <w:tab/>
          <w:t xml:space="preserve"> </w:t>
        </w:r>
        <w:r w:rsidRPr="002078F0">
          <w:rPr>
            <w:sz w:val="20"/>
            <w:szCs w:val="20"/>
          </w:rPr>
          <w:fldChar w:fldCharType="begin"/>
        </w:r>
        <w:r w:rsidRPr="002078F0">
          <w:rPr>
            <w:sz w:val="20"/>
            <w:szCs w:val="20"/>
          </w:rPr>
          <w:instrText xml:space="preserve"> PAGE   \* MERGEFORMAT </w:instrText>
        </w:r>
        <w:r w:rsidRPr="002078F0">
          <w:rPr>
            <w:sz w:val="20"/>
            <w:szCs w:val="20"/>
          </w:rPr>
          <w:fldChar w:fldCharType="separate"/>
        </w:r>
        <w:r w:rsidR="00EB7B7E">
          <w:rPr>
            <w:noProof/>
            <w:sz w:val="20"/>
            <w:szCs w:val="20"/>
          </w:rPr>
          <w:t>10</w:t>
        </w:r>
        <w:r w:rsidRPr="002078F0">
          <w:rPr>
            <w:noProof/>
            <w:sz w:val="20"/>
            <w:szCs w:val="20"/>
          </w:rPr>
          <w:fldChar w:fldCharType="end"/>
        </w:r>
        <w:r w:rsidRPr="002078F0">
          <w:rPr>
            <w:sz w:val="20"/>
            <w:szCs w:val="20"/>
          </w:rPr>
          <w:t xml:space="preserve"> | </w:t>
        </w:r>
        <w:r w:rsidRPr="002078F0">
          <w:rPr>
            <w:color w:val="808080" w:themeColor="background1" w:themeShade="80"/>
            <w:spacing w:val="60"/>
            <w:sz w:val="20"/>
            <w:szCs w:val="20"/>
          </w:rPr>
          <w:t>Page</w:t>
        </w:r>
      </w:p>
    </w:sdtContent>
  </w:sdt>
  <w:p w14:paraId="77DF76E1" w14:textId="77777777" w:rsidR="00415528" w:rsidRDefault="00415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2B390" w14:textId="77777777" w:rsidR="009E6611" w:rsidRDefault="009E6611" w:rsidP="004B0858">
      <w:pPr>
        <w:spacing w:after="0" w:line="240" w:lineRule="auto"/>
      </w:pPr>
      <w:r>
        <w:separator/>
      </w:r>
    </w:p>
  </w:footnote>
  <w:footnote w:type="continuationSeparator" w:id="0">
    <w:p w14:paraId="3483F4FC" w14:textId="77777777" w:rsidR="009E6611" w:rsidRDefault="009E6611" w:rsidP="004B0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7698"/>
    </w:tblGrid>
    <w:tr w:rsidR="00415528" w14:paraId="0633F020" w14:textId="77777777" w:rsidTr="00926C7E">
      <w:trPr>
        <w:trHeight w:val="840"/>
      </w:trPr>
      <w:tc>
        <w:tcPr>
          <w:tcW w:w="1668" w:type="dxa"/>
          <w:vMerge w:val="restart"/>
          <w:tcBorders>
            <w:bottom w:val="single" w:sz="4" w:space="0" w:color="auto"/>
          </w:tcBorders>
        </w:tcPr>
        <w:p w14:paraId="24797AC2" w14:textId="77777777" w:rsidR="00415528" w:rsidRDefault="00415528">
          <w:pPr>
            <w:pStyle w:val="Header"/>
          </w:pPr>
          <w:r w:rsidRPr="005E222B">
            <w:rPr>
              <w:b/>
              <w:noProof/>
              <w:sz w:val="20"/>
              <w:szCs w:val="20"/>
              <w:lang w:val="en-US" w:eastAsia="zh-CN"/>
            </w:rPr>
            <w:drawing>
              <wp:inline distT="0" distB="0" distL="0" distR="0" wp14:anchorId="1930FCAA" wp14:editId="0759B797">
                <wp:extent cx="783771" cy="804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U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771" cy="804671"/>
                        </a:xfrm>
                        <a:prstGeom prst="rect">
                          <a:avLst/>
                        </a:prstGeom>
                      </pic:spPr>
                    </pic:pic>
                  </a:graphicData>
                </a:graphic>
              </wp:inline>
            </w:drawing>
          </w:r>
        </w:p>
      </w:tc>
      <w:tc>
        <w:tcPr>
          <w:tcW w:w="7908" w:type="dxa"/>
          <w:tcBorders>
            <w:bottom w:val="nil"/>
          </w:tcBorders>
          <w:vAlign w:val="center"/>
        </w:tcPr>
        <w:p w14:paraId="63671F98" w14:textId="77777777" w:rsidR="00415528" w:rsidRPr="004B0858" w:rsidRDefault="00415528" w:rsidP="006662B3">
          <w:pPr>
            <w:pStyle w:val="Header"/>
            <w:rPr>
              <w:sz w:val="24"/>
            </w:rPr>
          </w:pPr>
        </w:p>
      </w:tc>
    </w:tr>
    <w:tr w:rsidR="00415528" w14:paraId="2DFAFA5B" w14:textId="77777777" w:rsidTr="00926C7E">
      <w:tc>
        <w:tcPr>
          <w:tcW w:w="1668" w:type="dxa"/>
          <w:vMerge/>
          <w:tcBorders>
            <w:bottom w:val="single" w:sz="4" w:space="0" w:color="auto"/>
          </w:tcBorders>
        </w:tcPr>
        <w:p w14:paraId="118FB04E" w14:textId="77777777" w:rsidR="00415528" w:rsidRDefault="00415528">
          <w:pPr>
            <w:pStyle w:val="Header"/>
          </w:pPr>
        </w:p>
      </w:tc>
      <w:tc>
        <w:tcPr>
          <w:tcW w:w="7908" w:type="dxa"/>
          <w:tcBorders>
            <w:bottom w:val="single" w:sz="4" w:space="0" w:color="auto"/>
          </w:tcBorders>
        </w:tcPr>
        <w:p w14:paraId="506B480C" w14:textId="3278EB3F" w:rsidR="00415528" w:rsidRPr="00E37B77" w:rsidRDefault="00B57F0F" w:rsidP="004B0858">
          <w:pPr>
            <w:jc w:val="center"/>
            <w:rPr>
              <w:b/>
              <w:sz w:val="20"/>
              <w:szCs w:val="20"/>
            </w:rPr>
          </w:pPr>
          <w:r>
            <w:rPr>
              <w:b/>
              <w:sz w:val="20"/>
              <w:szCs w:val="20"/>
            </w:rPr>
            <w:t>March 2020</w:t>
          </w:r>
        </w:p>
        <w:p w14:paraId="3EB7D88A" w14:textId="77777777" w:rsidR="00415528" w:rsidRDefault="00415528">
          <w:pPr>
            <w:pStyle w:val="Header"/>
          </w:pPr>
        </w:p>
      </w:tc>
    </w:tr>
  </w:tbl>
  <w:p w14:paraId="10632ED5" w14:textId="77777777" w:rsidR="00415528" w:rsidRDefault="00415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C41"/>
    <w:multiLevelType w:val="hybridMultilevel"/>
    <w:tmpl w:val="667886F2"/>
    <w:lvl w:ilvl="0" w:tplc="1E70287C">
      <w:numFmt w:val="bullet"/>
      <w:lvlText w:val="-"/>
      <w:lvlJc w:val="left"/>
      <w:pPr>
        <w:ind w:left="720" w:hanging="360"/>
      </w:pPr>
      <w:rPr>
        <w:rFonts w:ascii="Calibri" w:eastAsiaTheme="minorHAnsi" w:hAnsi="Calibri" w:cs="Calibri" w:hint="default"/>
        <w:b/>
        <w:sz w:val="3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drawingGridHorizontalSpacing w:val="110"/>
  <w:displayHorizontalDrawingGridEvery w:val="2"/>
  <w:characterSpacingControl w:val="doNotCompress"/>
  <w:hdrShapeDefaults>
    <o:shapedefaults v:ext="edit" spidmax="2049" style="mso-height-percent:200;mso-width-relative:margin;mso-height-relative:margin" fillcolor="white" stroke="f">
      <v:fill color="white"/>
      <v:stroke on="f"/>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F"/>
    <w:rsid w:val="00003E68"/>
    <w:rsid w:val="0000736C"/>
    <w:rsid w:val="00010A2D"/>
    <w:rsid w:val="00015D5E"/>
    <w:rsid w:val="00027DD9"/>
    <w:rsid w:val="0004728E"/>
    <w:rsid w:val="00050B70"/>
    <w:rsid w:val="00064975"/>
    <w:rsid w:val="00067481"/>
    <w:rsid w:val="000811AB"/>
    <w:rsid w:val="0008726D"/>
    <w:rsid w:val="0009032D"/>
    <w:rsid w:val="000B1A76"/>
    <w:rsid w:val="000D5257"/>
    <w:rsid w:val="000D6612"/>
    <w:rsid w:val="000F5ADA"/>
    <w:rsid w:val="0011010B"/>
    <w:rsid w:val="00123FEB"/>
    <w:rsid w:val="00125431"/>
    <w:rsid w:val="0012688A"/>
    <w:rsid w:val="00132EF3"/>
    <w:rsid w:val="00137583"/>
    <w:rsid w:val="00146F84"/>
    <w:rsid w:val="001471C2"/>
    <w:rsid w:val="00147532"/>
    <w:rsid w:val="0016690B"/>
    <w:rsid w:val="00174E05"/>
    <w:rsid w:val="0018478E"/>
    <w:rsid w:val="0019120E"/>
    <w:rsid w:val="0019634C"/>
    <w:rsid w:val="00197325"/>
    <w:rsid w:val="001A5D00"/>
    <w:rsid w:val="001C0EF4"/>
    <w:rsid w:val="001D06A5"/>
    <w:rsid w:val="001D12B7"/>
    <w:rsid w:val="001D559B"/>
    <w:rsid w:val="001D7858"/>
    <w:rsid w:val="001E2F60"/>
    <w:rsid w:val="00202D26"/>
    <w:rsid w:val="002078F0"/>
    <w:rsid w:val="00230FDB"/>
    <w:rsid w:val="002405BA"/>
    <w:rsid w:val="002448AB"/>
    <w:rsid w:val="0024548E"/>
    <w:rsid w:val="00251746"/>
    <w:rsid w:val="00265FFB"/>
    <w:rsid w:val="002706CE"/>
    <w:rsid w:val="002801A9"/>
    <w:rsid w:val="00284F9D"/>
    <w:rsid w:val="002857C5"/>
    <w:rsid w:val="0029261D"/>
    <w:rsid w:val="002949DD"/>
    <w:rsid w:val="002A1F26"/>
    <w:rsid w:val="002A4338"/>
    <w:rsid w:val="002A76BC"/>
    <w:rsid w:val="002C01B3"/>
    <w:rsid w:val="002C0E8D"/>
    <w:rsid w:val="002C4D10"/>
    <w:rsid w:val="002D05E7"/>
    <w:rsid w:val="002D259C"/>
    <w:rsid w:val="002D389B"/>
    <w:rsid w:val="00317AE2"/>
    <w:rsid w:val="00322B89"/>
    <w:rsid w:val="00355060"/>
    <w:rsid w:val="00361413"/>
    <w:rsid w:val="003905C2"/>
    <w:rsid w:val="00390E71"/>
    <w:rsid w:val="003A641A"/>
    <w:rsid w:val="003C110E"/>
    <w:rsid w:val="003C13FA"/>
    <w:rsid w:val="003C4A7B"/>
    <w:rsid w:val="003D3050"/>
    <w:rsid w:val="003D6BA6"/>
    <w:rsid w:val="003E015D"/>
    <w:rsid w:val="00415528"/>
    <w:rsid w:val="00415C27"/>
    <w:rsid w:val="004223DE"/>
    <w:rsid w:val="00436235"/>
    <w:rsid w:val="004430E0"/>
    <w:rsid w:val="00454268"/>
    <w:rsid w:val="0047417C"/>
    <w:rsid w:val="004759DC"/>
    <w:rsid w:val="0049168B"/>
    <w:rsid w:val="004A4A1B"/>
    <w:rsid w:val="004B0858"/>
    <w:rsid w:val="004B479F"/>
    <w:rsid w:val="004C54CC"/>
    <w:rsid w:val="004E0955"/>
    <w:rsid w:val="004E54A6"/>
    <w:rsid w:val="004E6066"/>
    <w:rsid w:val="004F61AB"/>
    <w:rsid w:val="0050695D"/>
    <w:rsid w:val="00511BF8"/>
    <w:rsid w:val="00512757"/>
    <w:rsid w:val="00522413"/>
    <w:rsid w:val="00531F31"/>
    <w:rsid w:val="005412F4"/>
    <w:rsid w:val="005429F4"/>
    <w:rsid w:val="00561C51"/>
    <w:rsid w:val="00577948"/>
    <w:rsid w:val="005800C5"/>
    <w:rsid w:val="00581727"/>
    <w:rsid w:val="00595345"/>
    <w:rsid w:val="005A1AC1"/>
    <w:rsid w:val="005A7763"/>
    <w:rsid w:val="005B40D0"/>
    <w:rsid w:val="005B6313"/>
    <w:rsid w:val="005C3063"/>
    <w:rsid w:val="005C593C"/>
    <w:rsid w:val="005D17D6"/>
    <w:rsid w:val="005D5870"/>
    <w:rsid w:val="005D7E89"/>
    <w:rsid w:val="005E222B"/>
    <w:rsid w:val="00605978"/>
    <w:rsid w:val="006662B3"/>
    <w:rsid w:val="00681932"/>
    <w:rsid w:val="0068704A"/>
    <w:rsid w:val="00692872"/>
    <w:rsid w:val="006B197D"/>
    <w:rsid w:val="006C32C4"/>
    <w:rsid w:val="006D4DEC"/>
    <w:rsid w:val="006E59B5"/>
    <w:rsid w:val="006F6316"/>
    <w:rsid w:val="00701041"/>
    <w:rsid w:val="00723552"/>
    <w:rsid w:val="00725381"/>
    <w:rsid w:val="007635B7"/>
    <w:rsid w:val="00767151"/>
    <w:rsid w:val="00767949"/>
    <w:rsid w:val="00771D79"/>
    <w:rsid w:val="007721BE"/>
    <w:rsid w:val="007721DE"/>
    <w:rsid w:val="00784D21"/>
    <w:rsid w:val="007855F4"/>
    <w:rsid w:val="00785D7C"/>
    <w:rsid w:val="0079069D"/>
    <w:rsid w:val="00796B1C"/>
    <w:rsid w:val="007A5B12"/>
    <w:rsid w:val="007A5F93"/>
    <w:rsid w:val="007B27E6"/>
    <w:rsid w:val="007B76D4"/>
    <w:rsid w:val="007C68AF"/>
    <w:rsid w:val="007C7259"/>
    <w:rsid w:val="007D2C05"/>
    <w:rsid w:val="007E21B6"/>
    <w:rsid w:val="008104CC"/>
    <w:rsid w:val="008128BA"/>
    <w:rsid w:val="00830C6C"/>
    <w:rsid w:val="00853D71"/>
    <w:rsid w:val="0085494B"/>
    <w:rsid w:val="00856B89"/>
    <w:rsid w:val="00862616"/>
    <w:rsid w:val="008739BC"/>
    <w:rsid w:val="00875602"/>
    <w:rsid w:val="00880EDF"/>
    <w:rsid w:val="00885E20"/>
    <w:rsid w:val="00892D2D"/>
    <w:rsid w:val="008A7B50"/>
    <w:rsid w:val="008D619D"/>
    <w:rsid w:val="008F0305"/>
    <w:rsid w:val="00922AA9"/>
    <w:rsid w:val="00926C7E"/>
    <w:rsid w:val="00927DBC"/>
    <w:rsid w:val="00944E0C"/>
    <w:rsid w:val="00945E29"/>
    <w:rsid w:val="00965887"/>
    <w:rsid w:val="009672BF"/>
    <w:rsid w:val="0097318F"/>
    <w:rsid w:val="009771A4"/>
    <w:rsid w:val="009809C7"/>
    <w:rsid w:val="00984998"/>
    <w:rsid w:val="00996DFC"/>
    <w:rsid w:val="009C7559"/>
    <w:rsid w:val="009D7313"/>
    <w:rsid w:val="009E6611"/>
    <w:rsid w:val="009F14FA"/>
    <w:rsid w:val="00A47A68"/>
    <w:rsid w:val="00A50BBC"/>
    <w:rsid w:val="00A511AD"/>
    <w:rsid w:val="00A520C6"/>
    <w:rsid w:val="00A64392"/>
    <w:rsid w:val="00A7273A"/>
    <w:rsid w:val="00A774D1"/>
    <w:rsid w:val="00A81487"/>
    <w:rsid w:val="00A81902"/>
    <w:rsid w:val="00A90A95"/>
    <w:rsid w:val="00AB41A3"/>
    <w:rsid w:val="00AC6BCF"/>
    <w:rsid w:val="00AD7AE1"/>
    <w:rsid w:val="00AE077C"/>
    <w:rsid w:val="00AE44CE"/>
    <w:rsid w:val="00AF213F"/>
    <w:rsid w:val="00B158AE"/>
    <w:rsid w:val="00B20CC1"/>
    <w:rsid w:val="00B44BC6"/>
    <w:rsid w:val="00B50E85"/>
    <w:rsid w:val="00B57F0F"/>
    <w:rsid w:val="00B64E08"/>
    <w:rsid w:val="00B91DFE"/>
    <w:rsid w:val="00BB3C2B"/>
    <w:rsid w:val="00BC0CB1"/>
    <w:rsid w:val="00BC6350"/>
    <w:rsid w:val="00BD192A"/>
    <w:rsid w:val="00BD694B"/>
    <w:rsid w:val="00BE19AE"/>
    <w:rsid w:val="00BE233A"/>
    <w:rsid w:val="00BF31A0"/>
    <w:rsid w:val="00C063EC"/>
    <w:rsid w:val="00C2792C"/>
    <w:rsid w:val="00C36CB6"/>
    <w:rsid w:val="00C507E8"/>
    <w:rsid w:val="00C61066"/>
    <w:rsid w:val="00C66E1D"/>
    <w:rsid w:val="00C76384"/>
    <w:rsid w:val="00C77326"/>
    <w:rsid w:val="00C80285"/>
    <w:rsid w:val="00C83514"/>
    <w:rsid w:val="00C84FED"/>
    <w:rsid w:val="00C9106D"/>
    <w:rsid w:val="00C93A23"/>
    <w:rsid w:val="00C967CB"/>
    <w:rsid w:val="00C97948"/>
    <w:rsid w:val="00CA020E"/>
    <w:rsid w:val="00CB61EB"/>
    <w:rsid w:val="00CB7369"/>
    <w:rsid w:val="00CE1F9E"/>
    <w:rsid w:val="00CE2B5D"/>
    <w:rsid w:val="00CE40D3"/>
    <w:rsid w:val="00CF1B81"/>
    <w:rsid w:val="00CF4E0E"/>
    <w:rsid w:val="00D21395"/>
    <w:rsid w:val="00D44646"/>
    <w:rsid w:val="00D45D4D"/>
    <w:rsid w:val="00D53F4E"/>
    <w:rsid w:val="00D71351"/>
    <w:rsid w:val="00D725DD"/>
    <w:rsid w:val="00D961EF"/>
    <w:rsid w:val="00DA276D"/>
    <w:rsid w:val="00DA5889"/>
    <w:rsid w:val="00DC096A"/>
    <w:rsid w:val="00DF01A0"/>
    <w:rsid w:val="00E10127"/>
    <w:rsid w:val="00E11CB1"/>
    <w:rsid w:val="00E33BB8"/>
    <w:rsid w:val="00E3450C"/>
    <w:rsid w:val="00E3764A"/>
    <w:rsid w:val="00E37B77"/>
    <w:rsid w:val="00E60783"/>
    <w:rsid w:val="00E757AF"/>
    <w:rsid w:val="00E80716"/>
    <w:rsid w:val="00EA3FAB"/>
    <w:rsid w:val="00EB27A4"/>
    <w:rsid w:val="00EB7B7E"/>
    <w:rsid w:val="00EC21A2"/>
    <w:rsid w:val="00EC551A"/>
    <w:rsid w:val="00EE4D3A"/>
    <w:rsid w:val="00EF243A"/>
    <w:rsid w:val="00F05B42"/>
    <w:rsid w:val="00F15F57"/>
    <w:rsid w:val="00F24EF3"/>
    <w:rsid w:val="00F25797"/>
    <w:rsid w:val="00F34CAB"/>
    <w:rsid w:val="00F813CA"/>
    <w:rsid w:val="00F8213F"/>
    <w:rsid w:val="00F83D33"/>
    <w:rsid w:val="00F95AAB"/>
    <w:rsid w:val="00FA143C"/>
    <w:rsid w:val="00FA485B"/>
    <w:rsid w:val="00FB08E2"/>
    <w:rsid w:val="00FB0CF3"/>
    <w:rsid w:val="00FB5CD5"/>
    <w:rsid w:val="00FB5EB3"/>
    <w:rsid w:val="00FC168A"/>
    <w:rsid w:val="00FC3AC1"/>
    <w:rsid w:val="00FC67E9"/>
    <w:rsid w:val="00FC7A6C"/>
    <w:rsid w:val="00FD0EE9"/>
    <w:rsid w:val="00FD1A56"/>
    <w:rsid w:val="00FF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height-percent:200;mso-width-relative:margin;mso-height-relative:margin" fillcolor="white" stroke="f">
      <v:fill color="white"/>
      <v:stroke on="f"/>
      <v:textbox style="mso-fit-shape-to-text:t"/>
    </o:shapedefaults>
    <o:shapelayout v:ext="edit">
      <o:idmap v:ext="edit" data="1"/>
    </o:shapelayout>
  </w:shapeDefaults>
  <w:decimalSymbol w:val="."/>
  <w:listSeparator w:val=","/>
  <w14:docId w14:val="3EBF2F64"/>
  <w15:docId w15:val="{32A0E458-2754-4FF9-8CD4-6A6E9F6F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259"/>
  </w:style>
  <w:style w:type="paragraph" w:styleId="Heading1">
    <w:name w:val="heading 1"/>
    <w:basedOn w:val="Normal"/>
    <w:link w:val="Heading1Char"/>
    <w:uiPriority w:val="9"/>
    <w:qFormat/>
    <w:rsid w:val="001D7858"/>
    <w:pPr>
      <w:spacing w:before="100" w:beforeAutospacing="1" w:after="100" w:afterAutospacing="1" w:line="240" w:lineRule="auto"/>
      <w:outlineLvl w:val="0"/>
    </w:pPr>
    <w:rPr>
      <w:rFonts w:asciiTheme="majorHAnsi" w:eastAsia="Times New Roman" w:hAnsiTheme="majorHAnsi" w:cs="Times New Roman"/>
      <w:b/>
      <w:bCs/>
      <w:kern w:val="36"/>
      <w:sz w:val="24"/>
      <w:szCs w:val="48"/>
      <w:lang w:eastAsia="en-CA"/>
    </w:rPr>
  </w:style>
  <w:style w:type="paragraph" w:styleId="Heading2">
    <w:name w:val="heading 2"/>
    <w:basedOn w:val="Normal"/>
    <w:link w:val="Heading2Char"/>
    <w:uiPriority w:val="9"/>
    <w:qFormat/>
    <w:rsid w:val="00AF213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link w:val="Heading5Char"/>
    <w:uiPriority w:val="9"/>
    <w:qFormat/>
    <w:rsid w:val="00AF213F"/>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858"/>
    <w:rPr>
      <w:rFonts w:asciiTheme="majorHAnsi" w:eastAsia="Times New Roman" w:hAnsiTheme="majorHAnsi" w:cs="Times New Roman"/>
      <w:b/>
      <w:bCs/>
      <w:kern w:val="36"/>
      <w:sz w:val="24"/>
      <w:szCs w:val="48"/>
      <w:lang w:eastAsia="en-CA"/>
    </w:rPr>
  </w:style>
  <w:style w:type="character" w:customStyle="1" w:styleId="Heading2Char">
    <w:name w:val="Heading 2 Char"/>
    <w:basedOn w:val="DefaultParagraphFont"/>
    <w:link w:val="Heading2"/>
    <w:uiPriority w:val="9"/>
    <w:rsid w:val="00AF213F"/>
    <w:rPr>
      <w:rFonts w:ascii="Times New Roman" w:eastAsia="Times New Roman" w:hAnsi="Times New Roman" w:cs="Times New Roman"/>
      <w:b/>
      <w:bCs/>
      <w:sz w:val="36"/>
      <w:szCs w:val="36"/>
      <w:lang w:eastAsia="en-CA"/>
    </w:rPr>
  </w:style>
  <w:style w:type="character" w:customStyle="1" w:styleId="Heading5Char">
    <w:name w:val="Heading 5 Char"/>
    <w:basedOn w:val="DefaultParagraphFont"/>
    <w:link w:val="Heading5"/>
    <w:uiPriority w:val="9"/>
    <w:rsid w:val="00AF213F"/>
    <w:rPr>
      <w:rFonts w:ascii="Times New Roman" w:eastAsia="Times New Roman" w:hAnsi="Times New Roman" w:cs="Times New Roman"/>
      <w:b/>
      <w:bCs/>
      <w:sz w:val="20"/>
      <w:szCs w:val="20"/>
      <w:lang w:eastAsia="en-CA"/>
    </w:rPr>
  </w:style>
  <w:style w:type="paragraph" w:styleId="NormalWeb">
    <w:name w:val="Normal (Web)"/>
    <w:basedOn w:val="Normal"/>
    <w:uiPriority w:val="99"/>
    <w:unhideWhenUsed/>
    <w:rsid w:val="00AF21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ite">
    <w:name w:val="HTML Cite"/>
    <w:basedOn w:val="DefaultParagraphFont"/>
    <w:uiPriority w:val="99"/>
    <w:semiHidden/>
    <w:unhideWhenUsed/>
    <w:rsid w:val="00AF213F"/>
    <w:rPr>
      <w:i/>
      <w:iCs/>
    </w:rPr>
  </w:style>
  <w:style w:type="character" w:styleId="Hyperlink">
    <w:name w:val="Hyperlink"/>
    <w:basedOn w:val="DefaultParagraphFont"/>
    <w:uiPriority w:val="99"/>
    <w:unhideWhenUsed/>
    <w:rsid w:val="00AF213F"/>
    <w:rPr>
      <w:color w:val="0000FF"/>
      <w:u w:val="single"/>
    </w:rPr>
  </w:style>
  <w:style w:type="character" w:styleId="CommentReference">
    <w:name w:val="annotation reference"/>
    <w:basedOn w:val="DefaultParagraphFont"/>
    <w:uiPriority w:val="99"/>
    <w:semiHidden/>
    <w:unhideWhenUsed/>
    <w:rsid w:val="008104CC"/>
    <w:rPr>
      <w:sz w:val="16"/>
      <w:szCs w:val="16"/>
    </w:rPr>
  </w:style>
  <w:style w:type="paragraph" w:styleId="CommentText">
    <w:name w:val="annotation text"/>
    <w:basedOn w:val="Normal"/>
    <w:link w:val="CommentTextChar"/>
    <w:uiPriority w:val="99"/>
    <w:semiHidden/>
    <w:unhideWhenUsed/>
    <w:rsid w:val="008104CC"/>
    <w:pPr>
      <w:spacing w:line="240" w:lineRule="auto"/>
    </w:pPr>
    <w:rPr>
      <w:sz w:val="20"/>
      <w:szCs w:val="20"/>
    </w:rPr>
  </w:style>
  <w:style w:type="character" w:customStyle="1" w:styleId="CommentTextChar">
    <w:name w:val="Comment Text Char"/>
    <w:basedOn w:val="DefaultParagraphFont"/>
    <w:link w:val="CommentText"/>
    <w:uiPriority w:val="99"/>
    <w:semiHidden/>
    <w:rsid w:val="008104CC"/>
    <w:rPr>
      <w:sz w:val="20"/>
      <w:szCs w:val="20"/>
    </w:rPr>
  </w:style>
  <w:style w:type="paragraph" w:styleId="CommentSubject">
    <w:name w:val="annotation subject"/>
    <w:basedOn w:val="CommentText"/>
    <w:next w:val="CommentText"/>
    <w:link w:val="CommentSubjectChar"/>
    <w:uiPriority w:val="99"/>
    <w:semiHidden/>
    <w:unhideWhenUsed/>
    <w:rsid w:val="008104CC"/>
    <w:rPr>
      <w:b/>
      <w:bCs/>
    </w:rPr>
  </w:style>
  <w:style w:type="character" w:customStyle="1" w:styleId="CommentSubjectChar">
    <w:name w:val="Comment Subject Char"/>
    <w:basedOn w:val="CommentTextChar"/>
    <w:link w:val="CommentSubject"/>
    <w:uiPriority w:val="99"/>
    <w:semiHidden/>
    <w:rsid w:val="008104CC"/>
    <w:rPr>
      <w:b/>
      <w:bCs/>
      <w:sz w:val="20"/>
      <w:szCs w:val="20"/>
    </w:rPr>
  </w:style>
  <w:style w:type="paragraph" w:styleId="BalloonText">
    <w:name w:val="Balloon Text"/>
    <w:basedOn w:val="Normal"/>
    <w:link w:val="BalloonTextChar"/>
    <w:uiPriority w:val="99"/>
    <w:semiHidden/>
    <w:unhideWhenUsed/>
    <w:rsid w:val="00810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4CC"/>
    <w:rPr>
      <w:rFonts w:ascii="Segoe UI" w:hAnsi="Segoe UI" w:cs="Segoe UI"/>
      <w:sz w:val="18"/>
      <w:szCs w:val="18"/>
    </w:rPr>
  </w:style>
  <w:style w:type="character" w:customStyle="1" w:styleId="UnresolvedMention1">
    <w:name w:val="Unresolved Mention1"/>
    <w:basedOn w:val="DefaultParagraphFont"/>
    <w:uiPriority w:val="99"/>
    <w:semiHidden/>
    <w:unhideWhenUsed/>
    <w:rsid w:val="0068704A"/>
    <w:rPr>
      <w:color w:val="808080"/>
      <w:shd w:val="clear" w:color="auto" w:fill="E6E6E6"/>
    </w:rPr>
  </w:style>
  <w:style w:type="table" w:styleId="TableGrid">
    <w:name w:val="Table Grid"/>
    <w:basedOn w:val="TableNormal"/>
    <w:uiPriority w:val="39"/>
    <w:rsid w:val="005B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58"/>
  </w:style>
  <w:style w:type="paragraph" w:styleId="Footer">
    <w:name w:val="footer"/>
    <w:basedOn w:val="Normal"/>
    <w:link w:val="FooterChar"/>
    <w:uiPriority w:val="99"/>
    <w:unhideWhenUsed/>
    <w:rsid w:val="004B0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58"/>
  </w:style>
  <w:style w:type="paragraph" w:styleId="TOCHeading">
    <w:name w:val="TOC Heading"/>
    <w:basedOn w:val="Heading1"/>
    <w:next w:val="Normal"/>
    <w:uiPriority w:val="39"/>
    <w:semiHidden/>
    <w:unhideWhenUsed/>
    <w:qFormat/>
    <w:rsid w:val="00FC67E9"/>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FC67E9"/>
    <w:pPr>
      <w:spacing w:after="100"/>
    </w:pPr>
  </w:style>
  <w:style w:type="paragraph" w:styleId="NoSpacing">
    <w:name w:val="No Spacing"/>
    <w:link w:val="NoSpacingChar"/>
    <w:uiPriority w:val="1"/>
    <w:qFormat/>
    <w:rsid w:val="00FC6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67E9"/>
    <w:rPr>
      <w:rFonts w:eastAsiaTheme="minorEastAsia"/>
      <w:lang w:val="en-US"/>
    </w:rPr>
  </w:style>
  <w:style w:type="paragraph" w:styleId="ListParagraph">
    <w:name w:val="List Paragraph"/>
    <w:basedOn w:val="Normal"/>
    <w:uiPriority w:val="34"/>
    <w:qFormat/>
    <w:rsid w:val="00666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5273">
      <w:bodyDiv w:val="1"/>
      <w:marLeft w:val="0"/>
      <w:marRight w:val="0"/>
      <w:marTop w:val="0"/>
      <w:marBottom w:val="0"/>
      <w:divBdr>
        <w:top w:val="none" w:sz="0" w:space="0" w:color="auto"/>
        <w:left w:val="none" w:sz="0" w:space="0" w:color="auto"/>
        <w:bottom w:val="none" w:sz="0" w:space="0" w:color="auto"/>
        <w:right w:val="none" w:sz="0" w:space="0" w:color="auto"/>
      </w:divBdr>
    </w:div>
    <w:div w:id="852841587">
      <w:bodyDiv w:val="1"/>
      <w:marLeft w:val="0"/>
      <w:marRight w:val="0"/>
      <w:marTop w:val="0"/>
      <w:marBottom w:val="0"/>
      <w:divBdr>
        <w:top w:val="none" w:sz="0" w:space="0" w:color="auto"/>
        <w:left w:val="none" w:sz="0" w:space="0" w:color="auto"/>
        <w:bottom w:val="none" w:sz="0" w:space="0" w:color="auto"/>
        <w:right w:val="none" w:sz="0" w:space="0" w:color="auto"/>
      </w:divBdr>
    </w:div>
    <w:div w:id="1312754611">
      <w:bodyDiv w:val="1"/>
      <w:marLeft w:val="0"/>
      <w:marRight w:val="0"/>
      <w:marTop w:val="0"/>
      <w:marBottom w:val="0"/>
      <w:divBdr>
        <w:top w:val="none" w:sz="0" w:space="0" w:color="auto"/>
        <w:left w:val="none" w:sz="0" w:space="0" w:color="auto"/>
        <w:bottom w:val="none" w:sz="0" w:space="0" w:color="auto"/>
        <w:right w:val="none" w:sz="0" w:space="0" w:color="auto"/>
      </w:divBdr>
      <w:divsChild>
        <w:div w:id="1750617566">
          <w:marLeft w:val="0"/>
          <w:marRight w:val="0"/>
          <w:marTop w:val="0"/>
          <w:marBottom w:val="0"/>
          <w:divBdr>
            <w:top w:val="none" w:sz="0" w:space="0" w:color="auto"/>
            <w:left w:val="none" w:sz="0" w:space="0" w:color="auto"/>
            <w:bottom w:val="none" w:sz="0" w:space="0" w:color="auto"/>
            <w:right w:val="none" w:sz="0" w:space="0" w:color="auto"/>
          </w:divBdr>
          <w:divsChild>
            <w:div w:id="126818428">
              <w:marLeft w:val="0"/>
              <w:marRight w:val="0"/>
              <w:marTop w:val="0"/>
              <w:marBottom w:val="0"/>
              <w:divBdr>
                <w:top w:val="none" w:sz="0" w:space="0" w:color="auto"/>
                <w:left w:val="none" w:sz="0" w:space="0" w:color="auto"/>
                <w:bottom w:val="none" w:sz="0" w:space="0" w:color="auto"/>
                <w:right w:val="none" w:sz="0" w:space="0" w:color="auto"/>
              </w:divBdr>
              <w:divsChild>
                <w:div w:id="475220257">
                  <w:marLeft w:val="0"/>
                  <w:marRight w:val="0"/>
                  <w:marTop w:val="0"/>
                  <w:marBottom w:val="0"/>
                  <w:divBdr>
                    <w:top w:val="none" w:sz="0" w:space="0" w:color="auto"/>
                    <w:left w:val="none" w:sz="0" w:space="0" w:color="auto"/>
                    <w:bottom w:val="none" w:sz="0" w:space="0" w:color="auto"/>
                    <w:right w:val="none" w:sz="0" w:space="0" w:color="auto"/>
                  </w:divBdr>
                  <w:divsChild>
                    <w:div w:id="2000576433">
                      <w:marLeft w:val="0"/>
                      <w:marRight w:val="0"/>
                      <w:marTop w:val="0"/>
                      <w:marBottom w:val="0"/>
                      <w:divBdr>
                        <w:top w:val="none" w:sz="0" w:space="0" w:color="auto"/>
                        <w:left w:val="none" w:sz="0" w:space="0" w:color="auto"/>
                        <w:bottom w:val="none" w:sz="0" w:space="0" w:color="auto"/>
                        <w:right w:val="none" w:sz="0" w:space="0" w:color="auto"/>
                      </w:divBdr>
                      <w:divsChild>
                        <w:div w:id="1957251914">
                          <w:marLeft w:val="0"/>
                          <w:marRight w:val="0"/>
                          <w:marTop w:val="0"/>
                          <w:marBottom w:val="0"/>
                          <w:divBdr>
                            <w:top w:val="none" w:sz="0" w:space="0" w:color="auto"/>
                            <w:left w:val="none" w:sz="0" w:space="0" w:color="auto"/>
                            <w:bottom w:val="none" w:sz="0" w:space="0" w:color="auto"/>
                            <w:right w:val="none" w:sz="0" w:space="0" w:color="auto"/>
                          </w:divBdr>
                          <w:divsChild>
                            <w:div w:id="3121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155153">
      <w:bodyDiv w:val="1"/>
      <w:marLeft w:val="0"/>
      <w:marRight w:val="0"/>
      <w:marTop w:val="0"/>
      <w:marBottom w:val="0"/>
      <w:divBdr>
        <w:top w:val="none" w:sz="0" w:space="0" w:color="auto"/>
        <w:left w:val="none" w:sz="0" w:space="0" w:color="auto"/>
        <w:bottom w:val="none" w:sz="0" w:space="0" w:color="auto"/>
        <w:right w:val="none" w:sz="0" w:space="0" w:color="auto"/>
      </w:divBdr>
    </w:div>
    <w:div w:id="1635408312">
      <w:bodyDiv w:val="1"/>
      <w:marLeft w:val="0"/>
      <w:marRight w:val="0"/>
      <w:marTop w:val="0"/>
      <w:marBottom w:val="0"/>
      <w:divBdr>
        <w:top w:val="none" w:sz="0" w:space="0" w:color="auto"/>
        <w:left w:val="none" w:sz="0" w:space="0" w:color="auto"/>
        <w:bottom w:val="none" w:sz="0" w:space="0" w:color="auto"/>
        <w:right w:val="none" w:sz="0" w:space="0" w:color="auto"/>
      </w:divBdr>
    </w:div>
    <w:div w:id="1682774893">
      <w:bodyDiv w:val="1"/>
      <w:marLeft w:val="0"/>
      <w:marRight w:val="0"/>
      <w:marTop w:val="0"/>
      <w:marBottom w:val="0"/>
      <w:divBdr>
        <w:top w:val="none" w:sz="0" w:space="0" w:color="auto"/>
        <w:left w:val="none" w:sz="0" w:space="0" w:color="auto"/>
        <w:bottom w:val="none" w:sz="0" w:space="0" w:color="auto"/>
        <w:right w:val="none" w:sz="0" w:space="0" w:color="auto"/>
      </w:divBdr>
    </w:div>
    <w:div w:id="1743093468">
      <w:bodyDiv w:val="1"/>
      <w:marLeft w:val="0"/>
      <w:marRight w:val="0"/>
      <w:marTop w:val="0"/>
      <w:marBottom w:val="0"/>
      <w:divBdr>
        <w:top w:val="none" w:sz="0" w:space="0" w:color="auto"/>
        <w:left w:val="none" w:sz="0" w:space="0" w:color="auto"/>
        <w:bottom w:val="none" w:sz="0" w:space="0" w:color="auto"/>
        <w:right w:val="none" w:sz="0" w:space="0" w:color="auto"/>
      </w:divBdr>
    </w:div>
    <w:div w:id="18767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354FE-65D4-8445-A374-0C9ECCBE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8791</Words>
  <Characters>50113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Seed</dc:creator>
  <cp:lastModifiedBy>Daniel Fuller</cp:lastModifiedBy>
  <cp:revision>8</cp:revision>
  <cp:lastPrinted>2017-10-30T17:12:00Z</cp:lastPrinted>
  <dcterms:created xsi:type="dcterms:W3CDTF">2020-03-23T16:26:00Z</dcterms:created>
  <dcterms:modified xsi:type="dcterms:W3CDTF">2020-03-26T13:22:00Z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432bd7d3-d940-36ce-b0d2-ca3b21aeb197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http://www.zotero.org/styles/computers-environment-and-urban-systems</vt:lpwstr>
  </property>
  <property fmtid="{D5CDD505-2E9C-101B-9397-08002B2CF9AE}" pid="10" name="Mendeley Recent Style Name 2_1">
    <vt:lpwstr>Computers, Environment and Urban Systems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http://www.zotero.org/styles/health-and-place</vt:lpwstr>
  </property>
  <property fmtid="{D5CDD505-2E9C-101B-9397-08002B2CF9AE}" pid="14" name="Mendeley Recent Style Name 4_1">
    <vt:lpwstr>Health and Place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