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7579" w14:textId="72CA792A" w:rsidR="00831135" w:rsidRPr="008804CC" w:rsidRDefault="00AF2FD2" w:rsidP="00AF2FD2">
      <w:pPr>
        <w:jc w:val="right"/>
        <w:rPr>
          <w:rStyle w:val="SubtleEmphasis"/>
        </w:rPr>
      </w:pPr>
      <w:r w:rsidRPr="008804CC">
        <w:rPr>
          <w:rStyle w:val="SubtleEmphasis"/>
        </w:rPr>
        <w:t>Date: 1</w:t>
      </w:r>
      <w:r w:rsidR="00DE44AA">
        <w:rPr>
          <w:rStyle w:val="SubtleEmphasis"/>
        </w:rPr>
        <w:t>4</w:t>
      </w:r>
      <w:r w:rsidRPr="008804CC">
        <w:rPr>
          <w:rStyle w:val="SubtleEmphasis"/>
        </w:rPr>
        <w:t>/0</w:t>
      </w:r>
      <w:r w:rsidR="00DE44AA">
        <w:rPr>
          <w:rStyle w:val="SubtleEmphasis"/>
        </w:rPr>
        <w:t>6</w:t>
      </w:r>
      <w:r w:rsidRPr="008804CC">
        <w:rPr>
          <w:rStyle w:val="SubtleEmphasis"/>
        </w:rPr>
        <w:t>/201</w:t>
      </w:r>
      <w:r w:rsidR="00DE44AA">
        <w:rPr>
          <w:rStyle w:val="SubtleEmphasis"/>
        </w:rPr>
        <w:t>9</w:t>
      </w:r>
    </w:p>
    <w:p w14:paraId="75127CDE" w14:textId="28C92590" w:rsidR="00AF2FD2" w:rsidRPr="008804CC" w:rsidRDefault="00AF2FD2" w:rsidP="008804CC">
      <w:pPr>
        <w:pStyle w:val="Subtitle"/>
        <w:rPr>
          <w:rStyle w:val="Emphasis"/>
        </w:rPr>
      </w:pPr>
      <w:r w:rsidRPr="008804CC">
        <w:rPr>
          <w:rStyle w:val="Emphasis"/>
        </w:rPr>
        <w:t>BN</w:t>
      </w:r>
      <w:r w:rsidR="00DE44AA">
        <w:rPr>
          <w:rStyle w:val="Emphasis"/>
        </w:rPr>
        <w:t>RML</w:t>
      </w:r>
      <w:r w:rsidRPr="008804CC">
        <w:rPr>
          <w:rStyle w:val="Emphasis"/>
        </w:rPr>
        <w:t xml:space="preserve"> / THIKA, KENYA</w:t>
      </w:r>
    </w:p>
    <w:p w14:paraId="5A3C828F" w14:textId="7E9D188F" w:rsidR="00DE44AA" w:rsidRDefault="00DE44AA" w:rsidP="00DE44AA">
      <w:pPr>
        <w:pStyle w:val="Heading1"/>
        <w:rPr>
          <w:u w:val="single"/>
        </w:rPr>
      </w:pPr>
      <w:r>
        <w:rPr>
          <w:u w:val="single"/>
        </w:rPr>
        <w:t>CHANGE OF KEBS STANDARD DKS 261-2012 TABLE 5</w:t>
      </w:r>
    </w:p>
    <w:p w14:paraId="6BC4337D" w14:textId="03323F49" w:rsidR="00DE44AA" w:rsidRPr="00DE44AA" w:rsidRDefault="00DE44AA" w:rsidP="00DE44AA">
      <w:pPr>
        <w:rPr>
          <w:rFonts w:asciiTheme="majorHAnsi" w:eastAsiaTheme="majorEastAsia" w:hAnsiTheme="majorHAnsi" w:cstheme="majorBidi"/>
          <w:b/>
          <w:bCs/>
          <w:color w:val="365F91" w:themeColor="accent1" w:themeShade="BF"/>
          <w:sz w:val="24"/>
          <w:szCs w:val="24"/>
          <w:u w:val="single"/>
        </w:rPr>
      </w:pPr>
      <w:r w:rsidRPr="00DE44AA">
        <w:rPr>
          <w:rFonts w:asciiTheme="majorHAnsi" w:eastAsiaTheme="majorEastAsia" w:hAnsiTheme="majorHAnsi" w:cstheme="majorBidi"/>
          <w:b/>
          <w:bCs/>
          <w:color w:val="365F91" w:themeColor="accent1" w:themeShade="BF"/>
          <w:sz w:val="24"/>
          <w:szCs w:val="24"/>
          <w:u w:val="single"/>
        </w:rPr>
        <w:t>REMOVAL OF 1.8MM GI WIRE FROM KEBS STANDARDS MAKING CHAIN LINK</w:t>
      </w:r>
    </w:p>
    <w:p w14:paraId="614D4FA6" w14:textId="5E698EC0" w:rsidR="00AF2FD2" w:rsidRPr="008804CC" w:rsidRDefault="00AF2FD2" w:rsidP="008804CC">
      <w:pPr>
        <w:pStyle w:val="Heading1"/>
        <w:jc w:val="center"/>
        <w:rPr>
          <w:u w:val="single"/>
        </w:rPr>
      </w:pPr>
      <w:r w:rsidRPr="008804CC">
        <w:rPr>
          <w:u w:val="single"/>
        </w:rPr>
        <w:t xml:space="preserve">A TECHNO-COMMERCIAL </w:t>
      </w:r>
      <w:r w:rsidR="00492B16" w:rsidRPr="008804CC">
        <w:rPr>
          <w:u w:val="single"/>
        </w:rPr>
        <w:t xml:space="preserve">ANALYSIS FOR BENEFIT OF </w:t>
      </w:r>
      <w:r w:rsidRPr="008804CC">
        <w:rPr>
          <w:u w:val="single"/>
        </w:rPr>
        <w:t xml:space="preserve">USING 2.00mm HOT DIP GI WIRE WITH </w:t>
      </w:r>
      <w:r w:rsidR="006B3E44">
        <w:rPr>
          <w:u w:val="single"/>
        </w:rPr>
        <w:t xml:space="preserve">62 </w:t>
      </w:r>
      <w:r w:rsidRPr="008804CC">
        <w:rPr>
          <w:u w:val="single"/>
        </w:rPr>
        <w:t xml:space="preserve">GSM COATING OVER USING 1.80mm HOT DIP GI WIRE WITH 56GSM COATING FOR </w:t>
      </w:r>
      <w:r w:rsidR="00492B16" w:rsidRPr="008804CC">
        <w:rPr>
          <w:u w:val="single"/>
        </w:rPr>
        <w:t>“</w:t>
      </w:r>
      <w:r w:rsidRPr="008804CC">
        <w:rPr>
          <w:u w:val="single"/>
        </w:rPr>
        <w:t>CHAINLINKS</w:t>
      </w:r>
      <w:r w:rsidR="00492B16" w:rsidRPr="008804CC">
        <w:rPr>
          <w:u w:val="single"/>
        </w:rPr>
        <w:t>” TO SERVE THE KENYAN MARKET</w:t>
      </w:r>
    </w:p>
    <w:p w14:paraId="6DF58F02" w14:textId="77777777" w:rsidR="00AF2FD2" w:rsidRPr="008804CC" w:rsidRDefault="00AF2FD2" w:rsidP="00AF2FD2">
      <w:pPr>
        <w:jc w:val="both"/>
        <w:rPr>
          <w:rStyle w:val="Emphasis"/>
        </w:rPr>
      </w:pPr>
      <w:r w:rsidRPr="008804CC">
        <w:rPr>
          <w:rStyle w:val="Emphasis"/>
        </w:rPr>
        <w:t xml:space="preserve">Hot Dip Wire Galvanizing is a process where hard drawn wires are annealed to bring down the UTS almost close to the parent material i.e. Wire rod and coated with a layer of zinc by immersing in a bath of molten zinc, comprising of prior cleaning and treatment in solution baths. When exposed to atmosphere, pure zinc reacts with atmospheric oxygen to form ZnO which further reacts with CO2 to form ZnCO3, a shiny grey strong material which protects the wire underneath from corrosion. </w:t>
      </w:r>
    </w:p>
    <w:p w14:paraId="007C3BAA" w14:textId="77777777" w:rsidR="00492B16" w:rsidRPr="008804CC" w:rsidRDefault="008200D0" w:rsidP="00AF2FD2">
      <w:pPr>
        <w:jc w:val="both"/>
        <w:rPr>
          <w:rStyle w:val="Emphasis"/>
        </w:rPr>
      </w:pPr>
      <w:r w:rsidRPr="008804CC">
        <w:rPr>
          <w:rStyle w:val="Emphasis"/>
        </w:rPr>
        <w:t>This low UTS zinc coated material serves as a primary raw material for Chain-links and other products which are used for several fencing applications.</w:t>
      </w:r>
    </w:p>
    <w:p w14:paraId="390986A8" w14:textId="77777777" w:rsidR="008200D0" w:rsidRPr="008804CC" w:rsidRDefault="008200D0" w:rsidP="00AF2FD2">
      <w:pPr>
        <w:jc w:val="both"/>
        <w:rPr>
          <w:rStyle w:val="Emphasis"/>
          <w:b/>
          <w:bCs/>
        </w:rPr>
      </w:pPr>
      <w:r w:rsidRPr="008804CC">
        <w:rPr>
          <w:rStyle w:val="Emphasis"/>
          <w:b/>
          <w:bCs/>
        </w:rPr>
        <w:t>N/B: This note will only deal with HOT DIP GI WIRE for producing CHAIN-LINKS.</w:t>
      </w:r>
    </w:p>
    <w:p w14:paraId="3D7FA0B7" w14:textId="3724386F" w:rsidR="00AF2FD2" w:rsidRPr="008804CC" w:rsidRDefault="00AF2FD2" w:rsidP="008804CC">
      <w:pPr>
        <w:pStyle w:val="Subtitle"/>
        <w:rPr>
          <w:rStyle w:val="Emphasis"/>
          <w:b/>
          <w:bCs/>
          <w:u w:val="single"/>
        </w:rPr>
      </w:pPr>
      <w:r w:rsidRPr="008804CC">
        <w:rPr>
          <w:rStyle w:val="Emphasis"/>
          <w:b/>
          <w:bCs/>
          <w:u w:val="single"/>
        </w:rPr>
        <w:t xml:space="preserve">PRIMARY RAW MATERIAL AND </w:t>
      </w:r>
      <w:r w:rsidR="00F33CA2" w:rsidRPr="008804CC">
        <w:rPr>
          <w:rStyle w:val="Emphasis"/>
          <w:b/>
          <w:bCs/>
          <w:u w:val="single"/>
        </w:rPr>
        <w:t xml:space="preserve">PRESENT </w:t>
      </w:r>
      <w:r w:rsidRPr="008804CC">
        <w:rPr>
          <w:rStyle w:val="Emphasis"/>
          <w:b/>
          <w:bCs/>
          <w:u w:val="single"/>
        </w:rPr>
        <w:t>CHAINLINK SPECIFICATIONS AS PER KEBS:</w:t>
      </w:r>
      <w:r w:rsidR="00E1550E">
        <w:rPr>
          <w:rStyle w:val="Emphasis"/>
          <w:b/>
          <w:bCs/>
          <w:u w:val="single"/>
        </w:rPr>
        <w:t xml:space="preserve"> DKS 261-2012</w:t>
      </w:r>
    </w:p>
    <w:p w14:paraId="64456EEF" w14:textId="696F04BF" w:rsidR="00AF2FD2" w:rsidRPr="008804CC" w:rsidRDefault="00AF2FD2" w:rsidP="00AF2FD2">
      <w:pPr>
        <w:pStyle w:val="ListParagraph"/>
        <w:numPr>
          <w:ilvl w:val="0"/>
          <w:numId w:val="1"/>
        </w:numPr>
        <w:jc w:val="both"/>
        <w:rPr>
          <w:rStyle w:val="Emphasis"/>
        </w:rPr>
      </w:pPr>
      <w:r w:rsidRPr="008804CC">
        <w:rPr>
          <w:rStyle w:val="Emphasis"/>
        </w:rPr>
        <w:t>Standard wire diameters: 1.80mm, 2.00mm, 2.50mm, 3.00mm, 3.55mm &amp; 4.00mm</w:t>
      </w:r>
      <w:r w:rsidR="00417C62">
        <w:rPr>
          <w:rStyle w:val="Emphasis"/>
        </w:rPr>
        <w:t xml:space="preserve"> (+/- 2.5% tolerance)</w:t>
      </w:r>
    </w:p>
    <w:p w14:paraId="56BDBA96" w14:textId="77777777" w:rsidR="00492B16" w:rsidRPr="008804CC" w:rsidRDefault="00492B16" w:rsidP="00AF2FD2">
      <w:pPr>
        <w:pStyle w:val="ListParagraph"/>
        <w:numPr>
          <w:ilvl w:val="0"/>
          <w:numId w:val="1"/>
        </w:numPr>
        <w:jc w:val="both"/>
        <w:rPr>
          <w:rStyle w:val="Emphasis"/>
        </w:rPr>
      </w:pPr>
      <w:r w:rsidRPr="008804CC">
        <w:rPr>
          <w:rStyle w:val="Emphasis"/>
        </w:rPr>
        <w:t>Standard mesh sizes: 50mm, 63mm &amp; 75mm.</w:t>
      </w:r>
    </w:p>
    <w:p w14:paraId="47ABFEAF" w14:textId="3418BB92" w:rsidR="00492B16" w:rsidRPr="008804CC" w:rsidRDefault="00492B16" w:rsidP="00AF2FD2">
      <w:pPr>
        <w:pStyle w:val="ListParagraph"/>
        <w:numPr>
          <w:ilvl w:val="0"/>
          <w:numId w:val="1"/>
        </w:numPr>
        <w:jc w:val="both"/>
        <w:rPr>
          <w:rStyle w:val="Emphasis"/>
        </w:rPr>
      </w:pPr>
      <w:r w:rsidRPr="008804CC">
        <w:rPr>
          <w:rStyle w:val="Emphasis"/>
        </w:rPr>
        <w:t>Standard heights of rolls: 4ft, 5ft, 6ft, 7ft, 8ft.</w:t>
      </w:r>
    </w:p>
    <w:p w14:paraId="2C565285" w14:textId="77777777" w:rsidR="00492B16" w:rsidRPr="008804CC" w:rsidRDefault="00492B16" w:rsidP="00AF2FD2">
      <w:pPr>
        <w:pStyle w:val="ListParagraph"/>
        <w:numPr>
          <w:ilvl w:val="0"/>
          <w:numId w:val="1"/>
        </w:numPr>
        <w:jc w:val="both"/>
        <w:rPr>
          <w:rStyle w:val="Emphasis"/>
        </w:rPr>
      </w:pPr>
      <w:r w:rsidRPr="008804CC">
        <w:rPr>
          <w:rStyle w:val="Emphasis"/>
        </w:rPr>
        <w:t>Standard length of the rolls: 18 meters.</w:t>
      </w:r>
    </w:p>
    <w:p w14:paraId="06A89515" w14:textId="77777777" w:rsidR="00492B16" w:rsidRPr="008804CC" w:rsidRDefault="00492B16" w:rsidP="00AF2FD2">
      <w:pPr>
        <w:pStyle w:val="ListParagraph"/>
        <w:numPr>
          <w:ilvl w:val="0"/>
          <w:numId w:val="1"/>
        </w:numPr>
        <w:jc w:val="both"/>
        <w:rPr>
          <w:rStyle w:val="Emphasis"/>
        </w:rPr>
      </w:pPr>
      <w:r w:rsidRPr="008804CC">
        <w:rPr>
          <w:rStyle w:val="Emphasis"/>
        </w:rPr>
        <w:t>UTS &amp; Coating weights:</w:t>
      </w:r>
    </w:p>
    <w:tbl>
      <w:tblPr>
        <w:tblStyle w:val="TableGrid"/>
        <w:tblW w:w="0" w:type="auto"/>
        <w:tblLook w:val="04A0" w:firstRow="1" w:lastRow="0" w:firstColumn="1" w:lastColumn="0" w:noHBand="0" w:noVBand="1"/>
      </w:tblPr>
      <w:tblGrid>
        <w:gridCol w:w="1339"/>
        <w:gridCol w:w="2665"/>
        <w:gridCol w:w="2663"/>
        <w:gridCol w:w="2683"/>
      </w:tblGrid>
      <w:tr w:rsidR="00492B16" w14:paraId="5984D563" w14:textId="77777777" w:rsidTr="00492B16">
        <w:tc>
          <w:tcPr>
            <w:tcW w:w="1368" w:type="dxa"/>
          </w:tcPr>
          <w:p w14:paraId="0C6BF52A"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S.NO.</w:t>
            </w:r>
          </w:p>
        </w:tc>
        <w:tc>
          <w:tcPr>
            <w:tcW w:w="2736" w:type="dxa"/>
          </w:tcPr>
          <w:p w14:paraId="24A8F805"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WIRE DIAMETER (mm)</w:t>
            </w:r>
          </w:p>
        </w:tc>
        <w:tc>
          <w:tcPr>
            <w:tcW w:w="2736" w:type="dxa"/>
          </w:tcPr>
          <w:p w14:paraId="013F8E4B" w14:textId="77777777" w:rsidR="00492B16" w:rsidRPr="00492B16" w:rsidRDefault="00492B16" w:rsidP="00492B16">
            <w:pPr>
              <w:jc w:val="center"/>
              <w:rPr>
                <w:rFonts w:ascii="Verdana" w:hAnsi="Verdana" w:cs="Times New Roman"/>
                <w:b/>
                <w:sz w:val="20"/>
                <w:szCs w:val="20"/>
              </w:rPr>
            </w:pPr>
            <w:r>
              <w:rPr>
                <w:rFonts w:ascii="Verdana" w:hAnsi="Verdana" w:cs="Times New Roman"/>
                <w:b/>
                <w:sz w:val="20"/>
                <w:szCs w:val="20"/>
              </w:rPr>
              <w:t xml:space="preserve">Minimum </w:t>
            </w:r>
            <w:r w:rsidRPr="00492B16">
              <w:rPr>
                <w:rFonts w:ascii="Verdana" w:hAnsi="Verdana" w:cs="Times New Roman"/>
                <w:b/>
                <w:sz w:val="20"/>
                <w:szCs w:val="20"/>
              </w:rPr>
              <w:t>UTS (kg/mm</w:t>
            </w:r>
            <w:r w:rsidRPr="00492B16">
              <w:rPr>
                <w:rFonts w:ascii="Verdana" w:hAnsi="Verdana" w:cs="Times New Roman"/>
                <w:b/>
                <w:sz w:val="20"/>
                <w:szCs w:val="20"/>
                <w:vertAlign w:val="superscript"/>
              </w:rPr>
              <w:t>2</w:t>
            </w:r>
            <w:r w:rsidRPr="00492B16">
              <w:rPr>
                <w:rFonts w:ascii="Verdana" w:hAnsi="Verdana" w:cs="Times New Roman"/>
                <w:b/>
                <w:sz w:val="20"/>
                <w:szCs w:val="20"/>
              </w:rPr>
              <w:t>)</w:t>
            </w:r>
          </w:p>
        </w:tc>
        <w:tc>
          <w:tcPr>
            <w:tcW w:w="2736" w:type="dxa"/>
          </w:tcPr>
          <w:p w14:paraId="7E4288BE" w14:textId="77777777" w:rsidR="00492B16" w:rsidRPr="00492B16" w:rsidRDefault="00492B16" w:rsidP="00492B16">
            <w:pPr>
              <w:jc w:val="center"/>
              <w:rPr>
                <w:rFonts w:ascii="Verdana" w:hAnsi="Verdana" w:cs="Times New Roman"/>
                <w:b/>
                <w:sz w:val="20"/>
                <w:szCs w:val="20"/>
              </w:rPr>
            </w:pPr>
            <w:r>
              <w:rPr>
                <w:rFonts w:ascii="Verdana" w:hAnsi="Verdana" w:cs="Times New Roman"/>
                <w:b/>
                <w:sz w:val="20"/>
                <w:szCs w:val="20"/>
              </w:rPr>
              <w:t xml:space="preserve">COMMERCIAL </w:t>
            </w:r>
            <w:r w:rsidRPr="00492B16">
              <w:rPr>
                <w:rFonts w:ascii="Verdana" w:hAnsi="Verdana" w:cs="Times New Roman"/>
                <w:b/>
                <w:sz w:val="20"/>
                <w:szCs w:val="20"/>
              </w:rPr>
              <w:t>COATING WEIGHT (GSM: g/m</w:t>
            </w:r>
            <w:r w:rsidRPr="00492B16">
              <w:rPr>
                <w:rFonts w:ascii="Verdana" w:hAnsi="Verdana" w:cs="Times New Roman"/>
                <w:b/>
                <w:sz w:val="20"/>
                <w:szCs w:val="20"/>
                <w:vertAlign w:val="superscript"/>
              </w:rPr>
              <w:t>2</w:t>
            </w:r>
            <w:r w:rsidRPr="00492B16">
              <w:rPr>
                <w:rFonts w:ascii="Verdana" w:hAnsi="Verdana" w:cs="Times New Roman"/>
                <w:b/>
                <w:sz w:val="20"/>
                <w:szCs w:val="20"/>
              </w:rPr>
              <w:t>)</w:t>
            </w:r>
          </w:p>
        </w:tc>
      </w:tr>
      <w:tr w:rsidR="00492B16" w14:paraId="76782AAC" w14:textId="77777777" w:rsidTr="00492B16">
        <w:tc>
          <w:tcPr>
            <w:tcW w:w="1368" w:type="dxa"/>
          </w:tcPr>
          <w:p w14:paraId="57FB1FCA"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1</w:t>
            </w:r>
          </w:p>
        </w:tc>
        <w:tc>
          <w:tcPr>
            <w:tcW w:w="2736" w:type="dxa"/>
          </w:tcPr>
          <w:p w14:paraId="57FF66A4"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1.80</w:t>
            </w:r>
          </w:p>
        </w:tc>
        <w:tc>
          <w:tcPr>
            <w:tcW w:w="2736" w:type="dxa"/>
          </w:tcPr>
          <w:p w14:paraId="7C118EBF"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489E282D"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56</w:t>
            </w:r>
          </w:p>
        </w:tc>
      </w:tr>
      <w:tr w:rsidR="00492B16" w14:paraId="5FA0A2A3" w14:textId="77777777" w:rsidTr="00492B16">
        <w:tc>
          <w:tcPr>
            <w:tcW w:w="1368" w:type="dxa"/>
          </w:tcPr>
          <w:p w14:paraId="7B0A1100"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2</w:t>
            </w:r>
          </w:p>
        </w:tc>
        <w:tc>
          <w:tcPr>
            <w:tcW w:w="2736" w:type="dxa"/>
          </w:tcPr>
          <w:p w14:paraId="4C3B2B67"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2.00</w:t>
            </w:r>
          </w:p>
        </w:tc>
        <w:tc>
          <w:tcPr>
            <w:tcW w:w="2736" w:type="dxa"/>
          </w:tcPr>
          <w:p w14:paraId="14FCF8BF"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47DF6132"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62</w:t>
            </w:r>
          </w:p>
        </w:tc>
      </w:tr>
      <w:tr w:rsidR="00492B16" w14:paraId="52D433E7" w14:textId="77777777" w:rsidTr="00492B16">
        <w:tc>
          <w:tcPr>
            <w:tcW w:w="1368" w:type="dxa"/>
          </w:tcPr>
          <w:p w14:paraId="308C4180"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3</w:t>
            </w:r>
          </w:p>
        </w:tc>
        <w:tc>
          <w:tcPr>
            <w:tcW w:w="2736" w:type="dxa"/>
          </w:tcPr>
          <w:p w14:paraId="0FB98FC3"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2.50</w:t>
            </w:r>
          </w:p>
        </w:tc>
        <w:tc>
          <w:tcPr>
            <w:tcW w:w="2736" w:type="dxa"/>
          </w:tcPr>
          <w:p w14:paraId="5CCCF186"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3D5A78AC"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72</w:t>
            </w:r>
          </w:p>
        </w:tc>
      </w:tr>
      <w:tr w:rsidR="00492B16" w14:paraId="1109A25E" w14:textId="77777777" w:rsidTr="00492B16">
        <w:tc>
          <w:tcPr>
            <w:tcW w:w="1368" w:type="dxa"/>
          </w:tcPr>
          <w:p w14:paraId="31D80175"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4</w:t>
            </w:r>
          </w:p>
        </w:tc>
        <w:tc>
          <w:tcPr>
            <w:tcW w:w="2736" w:type="dxa"/>
          </w:tcPr>
          <w:p w14:paraId="46BCA57E"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3.00</w:t>
            </w:r>
          </w:p>
        </w:tc>
        <w:tc>
          <w:tcPr>
            <w:tcW w:w="2736" w:type="dxa"/>
          </w:tcPr>
          <w:p w14:paraId="4E25B142"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170E0CB1"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80</w:t>
            </w:r>
          </w:p>
        </w:tc>
      </w:tr>
      <w:tr w:rsidR="00492B16" w14:paraId="0497AA85" w14:textId="77777777" w:rsidTr="00492B16">
        <w:tc>
          <w:tcPr>
            <w:tcW w:w="1368" w:type="dxa"/>
          </w:tcPr>
          <w:p w14:paraId="39A6AF3D"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5</w:t>
            </w:r>
          </w:p>
        </w:tc>
        <w:tc>
          <w:tcPr>
            <w:tcW w:w="2736" w:type="dxa"/>
          </w:tcPr>
          <w:p w14:paraId="4A9D8EC0"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3.55</w:t>
            </w:r>
          </w:p>
        </w:tc>
        <w:tc>
          <w:tcPr>
            <w:tcW w:w="2736" w:type="dxa"/>
          </w:tcPr>
          <w:p w14:paraId="197A428E"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0257FD28"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90</w:t>
            </w:r>
          </w:p>
        </w:tc>
      </w:tr>
      <w:tr w:rsidR="00492B16" w14:paraId="56584401" w14:textId="77777777" w:rsidTr="00492B16">
        <w:tc>
          <w:tcPr>
            <w:tcW w:w="1368" w:type="dxa"/>
          </w:tcPr>
          <w:p w14:paraId="497572A1"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6</w:t>
            </w:r>
          </w:p>
        </w:tc>
        <w:tc>
          <w:tcPr>
            <w:tcW w:w="2736" w:type="dxa"/>
          </w:tcPr>
          <w:p w14:paraId="39BB71CE" w14:textId="77777777" w:rsidR="00492B16" w:rsidRPr="00492B16" w:rsidRDefault="00492B16" w:rsidP="00492B16">
            <w:pPr>
              <w:jc w:val="center"/>
              <w:rPr>
                <w:rFonts w:ascii="Verdana" w:hAnsi="Verdana" w:cs="Times New Roman"/>
                <w:b/>
                <w:sz w:val="20"/>
                <w:szCs w:val="20"/>
              </w:rPr>
            </w:pPr>
            <w:r w:rsidRPr="00492B16">
              <w:rPr>
                <w:rFonts w:ascii="Verdana" w:hAnsi="Verdana" w:cs="Times New Roman"/>
                <w:b/>
                <w:sz w:val="20"/>
                <w:szCs w:val="20"/>
              </w:rPr>
              <w:t>4.00</w:t>
            </w:r>
          </w:p>
        </w:tc>
        <w:tc>
          <w:tcPr>
            <w:tcW w:w="2736" w:type="dxa"/>
          </w:tcPr>
          <w:p w14:paraId="6709C8E5"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35</w:t>
            </w:r>
          </w:p>
        </w:tc>
        <w:tc>
          <w:tcPr>
            <w:tcW w:w="2736" w:type="dxa"/>
          </w:tcPr>
          <w:p w14:paraId="7D6CE9F4" w14:textId="77777777" w:rsidR="00492B16" w:rsidRPr="00492B16" w:rsidRDefault="00492B16" w:rsidP="00492B16">
            <w:pPr>
              <w:jc w:val="center"/>
              <w:rPr>
                <w:rFonts w:ascii="Verdana" w:hAnsi="Verdana" w:cs="Times New Roman"/>
                <w:color w:val="FF0000"/>
                <w:sz w:val="20"/>
                <w:szCs w:val="20"/>
              </w:rPr>
            </w:pPr>
            <w:r w:rsidRPr="00492B16">
              <w:rPr>
                <w:rFonts w:ascii="Verdana" w:hAnsi="Verdana" w:cs="Times New Roman"/>
                <w:color w:val="FF0000"/>
                <w:sz w:val="20"/>
                <w:szCs w:val="20"/>
              </w:rPr>
              <w:t>100</w:t>
            </w:r>
          </w:p>
        </w:tc>
      </w:tr>
    </w:tbl>
    <w:p w14:paraId="1335B8B3" w14:textId="77777777" w:rsidR="00492B16" w:rsidRDefault="00492B16" w:rsidP="00492B16">
      <w:pPr>
        <w:jc w:val="both"/>
        <w:rPr>
          <w:rFonts w:ascii="Verdana" w:hAnsi="Verdana" w:cs="Times New Roman"/>
          <w:sz w:val="20"/>
          <w:szCs w:val="20"/>
        </w:rPr>
      </w:pPr>
    </w:p>
    <w:p w14:paraId="0EFB78CE" w14:textId="18F35AF0" w:rsidR="00492B16" w:rsidRDefault="008200D0" w:rsidP="00492B16">
      <w:pPr>
        <w:jc w:val="both"/>
        <w:rPr>
          <w:rFonts w:ascii="Verdana" w:hAnsi="Verdana" w:cs="Times New Roman"/>
          <w:sz w:val="20"/>
          <w:szCs w:val="20"/>
        </w:rPr>
      </w:pPr>
      <w:r>
        <w:rPr>
          <w:rFonts w:ascii="Verdana" w:hAnsi="Verdana" w:cs="Times New Roman"/>
          <w:sz w:val="20"/>
          <w:szCs w:val="20"/>
        </w:rPr>
        <w:lastRenderedPageBreak/>
        <w:t>However, 90% of the</w:t>
      </w:r>
      <w:r w:rsidR="00492B16">
        <w:rPr>
          <w:rFonts w:ascii="Verdana" w:hAnsi="Verdana" w:cs="Times New Roman"/>
          <w:sz w:val="20"/>
          <w:szCs w:val="20"/>
        </w:rPr>
        <w:t xml:space="preserve"> demand for chain-links in KENYA is for </w:t>
      </w:r>
      <w:r w:rsidR="00C12364">
        <w:rPr>
          <w:rFonts w:ascii="Verdana" w:hAnsi="Verdana" w:cs="Times New Roman"/>
          <w:sz w:val="20"/>
          <w:szCs w:val="20"/>
        </w:rPr>
        <w:t>“</w:t>
      </w:r>
      <w:r w:rsidR="00492B16">
        <w:rPr>
          <w:rFonts w:ascii="Verdana" w:hAnsi="Verdana" w:cs="Times New Roman"/>
          <w:sz w:val="20"/>
          <w:szCs w:val="20"/>
        </w:rPr>
        <w:t>1.80mm Hot-Dip Galvanized wire</w:t>
      </w:r>
      <w:r w:rsidR="00993C88">
        <w:rPr>
          <w:rFonts w:ascii="Verdana" w:hAnsi="Verdana" w:cs="Times New Roman"/>
          <w:sz w:val="20"/>
          <w:szCs w:val="20"/>
        </w:rPr>
        <w:t xml:space="preserve"> with 56GSM coating</w:t>
      </w:r>
      <w:r w:rsidR="00C12364">
        <w:rPr>
          <w:rFonts w:ascii="Verdana" w:hAnsi="Verdana" w:cs="Times New Roman"/>
          <w:sz w:val="20"/>
          <w:szCs w:val="20"/>
        </w:rPr>
        <w:t>”</w:t>
      </w:r>
      <w:r w:rsidR="00F5103C">
        <w:rPr>
          <w:rFonts w:ascii="Verdana" w:hAnsi="Verdana" w:cs="Times New Roman"/>
          <w:sz w:val="20"/>
          <w:szCs w:val="20"/>
        </w:rPr>
        <w:t xml:space="preserve"> ( allowable and commonly used 53.2GSM(5% allowance))</w:t>
      </w:r>
      <w:r w:rsidR="00993C88">
        <w:rPr>
          <w:rFonts w:ascii="Verdana" w:hAnsi="Verdana" w:cs="Times New Roman"/>
          <w:sz w:val="20"/>
          <w:szCs w:val="20"/>
        </w:rPr>
        <w:t xml:space="preserve"> and</w:t>
      </w:r>
      <w:r w:rsidR="00492B16">
        <w:rPr>
          <w:rFonts w:ascii="Verdana" w:hAnsi="Verdana" w:cs="Times New Roman"/>
          <w:sz w:val="20"/>
          <w:szCs w:val="20"/>
        </w:rPr>
        <w:t xml:space="preserve"> with 75mm x 75mm mesh for different</w:t>
      </w:r>
      <w:r>
        <w:rPr>
          <w:rFonts w:ascii="Verdana" w:hAnsi="Verdana" w:cs="Times New Roman"/>
          <w:sz w:val="20"/>
          <w:szCs w:val="20"/>
        </w:rPr>
        <w:t xml:space="preserve"> standard</w:t>
      </w:r>
      <w:r w:rsidR="00492B16">
        <w:rPr>
          <w:rFonts w:ascii="Verdana" w:hAnsi="Verdana" w:cs="Times New Roman"/>
          <w:sz w:val="20"/>
          <w:szCs w:val="20"/>
        </w:rPr>
        <w:t xml:space="preserve"> roll heights and a </w:t>
      </w:r>
      <w:r>
        <w:rPr>
          <w:rFonts w:ascii="Verdana" w:hAnsi="Verdana" w:cs="Times New Roman"/>
          <w:sz w:val="20"/>
          <w:szCs w:val="20"/>
        </w:rPr>
        <w:t xml:space="preserve">standard roll </w:t>
      </w:r>
      <w:r w:rsidR="00492B16">
        <w:rPr>
          <w:rFonts w:ascii="Verdana" w:hAnsi="Verdana" w:cs="Times New Roman"/>
          <w:sz w:val="20"/>
          <w:szCs w:val="20"/>
        </w:rPr>
        <w:t>length of 18mtrs.</w:t>
      </w:r>
      <w:r>
        <w:rPr>
          <w:rFonts w:ascii="Verdana" w:hAnsi="Verdana" w:cs="Times New Roman"/>
          <w:sz w:val="20"/>
          <w:szCs w:val="20"/>
        </w:rPr>
        <w:t xml:space="preserve"> </w:t>
      </w:r>
      <w:r w:rsidR="00417C62">
        <w:rPr>
          <w:rFonts w:ascii="Verdana" w:hAnsi="Verdana" w:cs="Times New Roman"/>
          <w:sz w:val="20"/>
          <w:szCs w:val="20"/>
        </w:rPr>
        <w:t xml:space="preserve">The importers always import and use the negative tolerance material which is very thin material of 1.75mm </w:t>
      </w:r>
      <w:proofErr w:type="spellStart"/>
      <w:r w:rsidR="00417C62">
        <w:rPr>
          <w:rFonts w:ascii="Verdana" w:hAnsi="Verdana" w:cs="Times New Roman"/>
          <w:sz w:val="20"/>
          <w:szCs w:val="20"/>
        </w:rPr>
        <w:t>dia</w:t>
      </w:r>
      <w:proofErr w:type="spellEnd"/>
      <w:r w:rsidR="00417C62">
        <w:rPr>
          <w:rFonts w:ascii="Verdana" w:hAnsi="Verdana" w:cs="Times New Roman"/>
          <w:sz w:val="20"/>
          <w:szCs w:val="20"/>
        </w:rPr>
        <w:t xml:space="preserve"> </w:t>
      </w:r>
      <w:r w:rsidR="00031B9E">
        <w:rPr>
          <w:rFonts w:ascii="Verdana" w:hAnsi="Verdana" w:cs="Times New Roman"/>
          <w:sz w:val="20"/>
          <w:szCs w:val="20"/>
        </w:rPr>
        <w:t xml:space="preserve">with a coating of 53 </w:t>
      </w:r>
      <w:proofErr w:type="spellStart"/>
      <w:r w:rsidR="00031B9E">
        <w:rPr>
          <w:rFonts w:ascii="Verdana" w:hAnsi="Verdana" w:cs="Times New Roman"/>
          <w:sz w:val="20"/>
          <w:szCs w:val="20"/>
        </w:rPr>
        <w:t>gms</w:t>
      </w:r>
      <w:proofErr w:type="spellEnd"/>
      <w:r w:rsidR="00031B9E">
        <w:rPr>
          <w:rFonts w:ascii="Verdana" w:hAnsi="Verdana" w:cs="Times New Roman"/>
          <w:sz w:val="20"/>
          <w:szCs w:val="20"/>
        </w:rPr>
        <w:t>/m2.</w:t>
      </w:r>
    </w:p>
    <w:p w14:paraId="60563F24" w14:textId="7A9C6836" w:rsidR="008200D0" w:rsidRDefault="008200D0" w:rsidP="00492B16">
      <w:pPr>
        <w:jc w:val="both"/>
        <w:rPr>
          <w:rFonts w:ascii="Verdana" w:hAnsi="Verdana" w:cs="Times New Roman"/>
          <w:b/>
          <w:i/>
          <w:color w:val="FF0000"/>
          <w:sz w:val="20"/>
          <w:szCs w:val="20"/>
        </w:rPr>
      </w:pPr>
      <w:r w:rsidRPr="008200D0">
        <w:rPr>
          <w:rFonts w:ascii="Verdana" w:hAnsi="Verdana" w:cs="Times New Roman"/>
          <w:b/>
          <w:sz w:val="20"/>
          <w:szCs w:val="20"/>
          <w:u w:val="single"/>
        </w:rPr>
        <w:t>OBJECTIVE</w:t>
      </w:r>
      <w:r>
        <w:rPr>
          <w:rFonts w:ascii="Verdana" w:hAnsi="Verdana" w:cs="Times New Roman"/>
          <w:sz w:val="20"/>
          <w:szCs w:val="20"/>
        </w:rPr>
        <w:t xml:space="preserve">: </w:t>
      </w:r>
      <w:r w:rsidRPr="008200D0">
        <w:rPr>
          <w:rFonts w:ascii="Verdana" w:hAnsi="Verdana" w:cs="Times New Roman"/>
          <w:b/>
          <w:i/>
          <w:color w:val="FF0000"/>
          <w:sz w:val="20"/>
          <w:szCs w:val="20"/>
        </w:rPr>
        <w:t xml:space="preserve">The objective is to </w:t>
      </w:r>
      <w:r>
        <w:rPr>
          <w:rFonts w:ascii="Verdana" w:hAnsi="Verdana" w:cs="Times New Roman"/>
          <w:b/>
          <w:i/>
          <w:color w:val="FF0000"/>
          <w:sz w:val="20"/>
          <w:szCs w:val="20"/>
        </w:rPr>
        <w:t xml:space="preserve">replace this huge demand with </w:t>
      </w:r>
      <w:r w:rsidR="00C12364">
        <w:rPr>
          <w:rFonts w:ascii="Verdana" w:hAnsi="Verdana" w:cs="Times New Roman"/>
          <w:b/>
          <w:i/>
          <w:color w:val="FF0000"/>
          <w:sz w:val="20"/>
          <w:szCs w:val="20"/>
        </w:rPr>
        <w:t>“</w:t>
      </w:r>
      <w:r>
        <w:rPr>
          <w:rFonts w:ascii="Verdana" w:hAnsi="Verdana" w:cs="Times New Roman"/>
          <w:b/>
          <w:i/>
          <w:color w:val="FF0000"/>
          <w:sz w:val="20"/>
          <w:szCs w:val="20"/>
        </w:rPr>
        <w:t xml:space="preserve">2.00mm </w:t>
      </w:r>
      <w:r w:rsidRPr="008200D0">
        <w:rPr>
          <w:rFonts w:ascii="Verdana" w:hAnsi="Verdana" w:cs="Times New Roman"/>
          <w:b/>
          <w:i/>
          <w:color w:val="FF0000"/>
          <w:sz w:val="20"/>
          <w:szCs w:val="20"/>
        </w:rPr>
        <w:t xml:space="preserve">Hot-Dip Galvanized wire </w:t>
      </w:r>
      <w:r w:rsidR="00993C88">
        <w:rPr>
          <w:rFonts w:ascii="Verdana" w:hAnsi="Verdana" w:cs="Times New Roman"/>
          <w:b/>
          <w:i/>
          <w:color w:val="FF0000"/>
          <w:sz w:val="20"/>
          <w:szCs w:val="20"/>
        </w:rPr>
        <w:t xml:space="preserve">with </w:t>
      </w:r>
      <w:r w:rsidR="006B3E44">
        <w:rPr>
          <w:rFonts w:ascii="Verdana" w:hAnsi="Verdana" w:cs="Times New Roman"/>
          <w:b/>
          <w:i/>
          <w:color w:val="FF0000"/>
          <w:sz w:val="20"/>
          <w:szCs w:val="20"/>
        </w:rPr>
        <w:t>62</w:t>
      </w:r>
      <w:r w:rsidR="00993C88">
        <w:rPr>
          <w:rFonts w:ascii="Verdana" w:hAnsi="Verdana" w:cs="Times New Roman"/>
          <w:b/>
          <w:i/>
          <w:color w:val="FF0000"/>
          <w:sz w:val="20"/>
          <w:szCs w:val="20"/>
        </w:rPr>
        <w:t xml:space="preserve"> GSM coating</w:t>
      </w:r>
      <w:r w:rsidR="00C12364">
        <w:rPr>
          <w:rFonts w:ascii="Verdana" w:hAnsi="Verdana" w:cs="Times New Roman"/>
          <w:b/>
          <w:i/>
          <w:color w:val="FF0000"/>
          <w:sz w:val="20"/>
          <w:szCs w:val="20"/>
        </w:rPr>
        <w:t>”</w:t>
      </w:r>
      <w:r w:rsidR="00993C88">
        <w:rPr>
          <w:rFonts w:ascii="Verdana" w:hAnsi="Verdana" w:cs="Times New Roman"/>
          <w:b/>
          <w:i/>
          <w:color w:val="FF0000"/>
          <w:sz w:val="20"/>
          <w:szCs w:val="20"/>
        </w:rPr>
        <w:t xml:space="preserve"> </w:t>
      </w:r>
      <w:r w:rsidRPr="008200D0">
        <w:rPr>
          <w:rFonts w:ascii="Verdana" w:hAnsi="Verdana" w:cs="Times New Roman"/>
          <w:b/>
          <w:i/>
          <w:color w:val="FF0000"/>
          <w:sz w:val="20"/>
          <w:szCs w:val="20"/>
        </w:rPr>
        <w:t>keeping al</w:t>
      </w:r>
      <w:r>
        <w:rPr>
          <w:rFonts w:ascii="Verdana" w:hAnsi="Verdana" w:cs="Times New Roman"/>
          <w:b/>
          <w:i/>
          <w:color w:val="FF0000"/>
          <w:sz w:val="20"/>
          <w:szCs w:val="20"/>
        </w:rPr>
        <w:t xml:space="preserve">l other specifications same and to completely stop using 1.80mm hot dip GI </w:t>
      </w:r>
      <w:r w:rsidR="00993C88">
        <w:rPr>
          <w:rFonts w:ascii="Verdana" w:hAnsi="Verdana" w:cs="Times New Roman"/>
          <w:b/>
          <w:i/>
          <w:color w:val="FF0000"/>
          <w:sz w:val="20"/>
          <w:szCs w:val="20"/>
        </w:rPr>
        <w:t>wire for producing chain-links thereby standardizing the m</w:t>
      </w:r>
      <w:r>
        <w:rPr>
          <w:rFonts w:ascii="Verdana" w:hAnsi="Verdana" w:cs="Times New Roman"/>
          <w:b/>
          <w:i/>
          <w:color w:val="FF0000"/>
          <w:sz w:val="20"/>
          <w:szCs w:val="20"/>
        </w:rPr>
        <w:t xml:space="preserve">inimum wire diameter for producing chain-links </w:t>
      </w:r>
      <w:r w:rsidR="00993C88">
        <w:rPr>
          <w:rFonts w:ascii="Verdana" w:hAnsi="Verdana" w:cs="Times New Roman"/>
          <w:b/>
          <w:i/>
          <w:color w:val="FF0000"/>
          <w:sz w:val="20"/>
          <w:szCs w:val="20"/>
        </w:rPr>
        <w:t>as 2.00mm</w:t>
      </w:r>
      <w:r w:rsidR="00031B9E">
        <w:rPr>
          <w:rFonts w:ascii="Verdana" w:hAnsi="Verdana" w:cs="Times New Roman"/>
          <w:b/>
          <w:i/>
          <w:color w:val="FF0000"/>
          <w:sz w:val="20"/>
          <w:szCs w:val="20"/>
        </w:rPr>
        <w:t>. Uganda and Tanzania has changed their standards to minimum 2mm wire dia.</w:t>
      </w:r>
    </w:p>
    <w:p w14:paraId="67C12CC8" w14:textId="77777777" w:rsidR="008804CC" w:rsidRDefault="008804CC" w:rsidP="00492B16">
      <w:pPr>
        <w:jc w:val="both"/>
        <w:rPr>
          <w:rFonts w:ascii="Verdana" w:hAnsi="Verdana" w:cs="Times New Roman"/>
          <w:b/>
          <w:i/>
          <w:sz w:val="28"/>
          <w:szCs w:val="28"/>
        </w:rPr>
      </w:pPr>
    </w:p>
    <w:p w14:paraId="78DFD34A" w14:textId="77777777" w:rsidR="00A03E8E" w:rsidRDefault="00A03E8E" w:rsidP="00492B16">
      <w:pPr>
        <w:jc w:val="both"/>
        <w:rPr>
          <w:rFonts w:ascii="Verdana" w:hAnsi="Verdana" w:cs="Times New Roman"/>
          <w:b/>
          <w:i/>
          <w:sz w:val="28"/>
          <w:szCs w:val="28"/>
        </w:rPr>
      </w:pPr>
      <w:r>
        <w:rPr>
          <w:rFonts w:ascii="Verdana" w:hAnsi="Verdana" w:cs="Times New Roman"/>
          <w:b/>
          <w:i/>
          <w:sz w:val="28"/>
          <w:szCs w:val="28"/>
        </w:rPr>
        <w:t>What has been taken as a reference to suggest this?</w:t>
      </w:r>
    </w:p>
    <w:p w14:paraId="3DB9A788" w14:textId="77777777" w:rsidR="00A03E8E" w:rsidRDefault="00A03E8E" w:rsidP="00492B16">
      <w:pPr>
        <w:jc w:val="both"/>
        <w:rPr>
          <w:rStyle w:val="a"/>
          <w:rFonts w:ascii="Georgia" w:hAnsi="Georgia"/>
          <w:b/>
          <w:bCs/>
          <w:color w:val="000000"/>
          <w:sz w:val="44"/>
          <w:szCs w:val="44"/>
          <w:bdr w:val="none" w:sz="0" w:space="0" w:color="auto" w:frame="1"/>
          <w:shd w:val="clear" w:color="auto" w:fill="FFFFFF"/>
        </w:rPr>
      </w:pPr>
      <w:r w:rsidRPr="00A03E8E">
        <w:rPr>
          <w:rStyle w:val="a"/>
          <w:rFonts w:ascii="Georgia" w:hAnsi="Georgia"/>
          <w:b/>
          <w:bCs/>
          <w:color w:val="000000"/>
          <w:spacing w:val="-15"/>
          <w:sz w:val="44"/>
          <w:szCs w:val="44"/>
          <w:bdr w:val="none" w:sz="0" w:space="0" w:color="auto" w:frame="1"/>
          <w:shd w:val="clear" w:color="auto" w:fill="FFFFFF"/>
        </w:rPr>
        <w:t>BS EN</w:t>
      </w:r>
      <w:r>
        <w:rPr>
          <w:rStyle w:val="a"/>
          <w:rFonts w:ascii="Georgia" w:hAnsi="Georgia"/>
          <w:b/>
          <w:bCs/>
          <w:color w:val="000000"/>
          <w:spacing w:val="-15"/>
          <w:sz w:val="44"/>
          <w:szCs w:val="44"/>
          <w:bdr w:val="none" w:sz="0" w:space="0" w:color="auto" w:frame="1"/>
          <w:shd w:val="clear" w:color="auto" w:fill="FFFFFF"/>
        </w:rPr>
        <w:t xml:space="preserve"> </w:t>
      </w:r>
      <w:r w:rsidRPr="00A03E8E">
        <w:rPr>
          <w:rStyle w:val="a"/>
          <w:rFonts w:ascii="Georgia" w:hAnsi="Georgia"/>
          <w:b/>
          <w:bCs/>
          <w:color w:val="000000"/>
          <w:sz w:val="44"/>
          <w:szCs w:val="44"/>
          <w:bdr w:val="none" w:sz="0" w:space="0" w:color="auto" w:frame="1"/>
          <w:shd w:val="clear" w:color="auto" w:fill="FFFFFF"/>
        </w:rPr>
        <w:t>10244-2:2009</w:t>
      </w:r>
    </w:p>
    <w:p w14:paraId="165CEABE" w14:textId="77777777" w:rsidR="00A03E8E" w:rsidRDefault="001B6CBC" w:rsidP="00492B16">
      <w:pPr>
        <w:jc w:val="both"/>
        <w:rPr>
          <w:rFonts w:ascii="Verdana" w:hAnsi="Verdana" w:cs="Times New Roman"/>
          <w:sz w:val="20"/>
          <w:szCs w:val="20"/>
        </w:rPr>
      </w:pPr>
      <w:hyperlink r:id="rId7" w:history="1">
        <w:r w:rsidR="00A03E8E" w:rsidRPr="00BE6CF7">
          <w:rPr>
            <w:rStyle w:val="Hyperlink"/>
            <w:rFonts w:ascii="Verdana" w:hAnsi="Verdana" w:cs="Times New Roman"/>
            <w:sz w:val="20"/>
            <w:szCs w:val="20"/>
          </w:rPr>
          <w:t>https://www.scribd.com/doc/58015001/BS-EN-10244-2-2009-Steel-wire-and-wire-products-Nonferrous-metallic-coatings-on-steel-wire-Part-2-Zinc-or-zinc-alloy-coatings</w:t>
        </w:r>
      </w:hyperlink>
    </w:p>
    <w:p w14:paraId="05A648CE" w14:textId="77777777" w:rsidR="00A03E8E" w:rsidRPr="00A03E8E" w:rsidRDefault="00A03E8E" w:rsidP="00492B16">
      <w:pPr>
        <w:jc w:val="both"/>
        <w:rPr>
          <w:rFonts w:ascii="Verdana" w:hAnsi="Verdana" w:cs="Times New Roman"/>
          <w:sz w:val="20"/>
          <w:szCs w:val="20"/>
        </w:rPr>
      </w:pPr>
    </w:p>
    <w:p w14:paraId="5743A8C7" w14:textId="77777777" w:rsidR="00993C88" w:rsidRDefault="00993C88" w:rsidP="008804CC">
      <w:pPr>
        <w:pStyle w:val="Title"/>
      </w:pPr>
      <w:r w:rsidRPr="00993C88">
        <w:t xml:space="preserve">TECHNICAL BENEFITS: </w:t>
      </w:r>
    </w:p>
    <w:p w14:paraId="59AEBEFF" w14:textId="50F5715A" w:rsidR="00993C88" w:rsidRPr="00A03E8E" w:rsidRDefault="00993C88" w:rsidP="00993C88">
      <w:pPr>
        <w:pStyle w:val="ListParagraph"/>
        <w:numPr>
          <w:ilvl w:val="0"/>
          <w:numId w:val="2"/>
        </w:numPr>
        <w:jc w:val="both"/>
        <w:rPr>
          <w:rFonts w:ascii="Verdana" w:hAnsi="Verdana" w:cs="Times New Roman"/>
          <w:b/>
          <w:sz w:val="20"/>
          <w:szCs w:val="20"/>
          <w:u w:val="single"/>
        </w:rPr>
      </w:pPr>
      <w:r w:rsidRPr="00993C88">
        <w:rPr>
          <w:rFonts w:ascii="Verdana" w:hAnsi="Verdana" w:cs="Times New Roman"/>
          <w:b/>
          <w:sz w:val="20"/>
          <w:szCs w:val="20"/>
          <w:u w:val="single"/>
        </w:rPr>
        <w:t>STRONG &amp; DURABLE CHAI</w:t>
      </w:r>
      <w:r w:rsidR="00C12364">
        <w:rPr>
          <w:rFonts w:ascii="Verdana" w:hAnsi="Verdana" w:cs="Times New Roman"/>
          <w:b/>
          <w:sz w:val="20"/>
          <w:szCs w:val="20"/>
          <w:u w:val="single"/>
        </w:rPr>
        <w:t>NLINKS</w:t>
      </w:r>
      <w:r w:rsidRPr="00993C88">
        <w:rPr>
          <w:rFonts w:ascii="Verdana" w:hAnsi="Verdana" w:cs="Times New Roman"/>
          <w:b/>
          <w:sz w:val="20"/>
          <w:szCs w:val="20"/>
          <w:u w:val="single"/>
        </w:rPr>
        <w:t>:</w:t>
      </w:r>
      <w:r>
        <w:rPr>
          <w:rFonts w:ascii="Verdana" w:hAnsi="Verdana" w:cs="Times New Roman"/>
          <w:sz w:val="20"/>
          <w:szCs w:val="20"/>
        </w:rPr>
        <w:t xml:space="preserve"> The nation will notice a positive change by eradicating the use of 1.80mm HOT DIP GI wire for chain-links completely and replacing it with 2.00mm HOT DIP GI wire. This uplift in the technical parameters will ensure durability and longevity of the products helping the nation to reach new heights of QUALITY</w:t>
      </w:r>
      <w:r w:rsidR="00031B9E">
        <w:rPr>
          <w:rFonts w:ascii="Verdana" w:hAnsi="Verdana" w:cs="Times New Roman"/>
          <w:sz w:val="20"/>
          <w:szCs w:val="20"/>
        </w:rPr>
        <w:t xml:space="preserve"> and saving of foreign exchange as the replacement of chain link will take longer.</w:t>
      </w:r>
    </w:p>
    <w:p w14:paraId="1FE21B46" w14:textId="77777777" w:rsidR="00A03E8E" w:rsidRPr="00A03E8E" w:rsidRDefault="00A03E8E" w:rsidP="00A03E8E">
      <w:pPr>
        <w:ind w:left="720"/>
        <w:jc w:val="both"/>
        <w:rPr>
          <w:rFonts w:ascii="Verdana" w:hAnsi="Verdana" w:cs="Times New Roman"/>
          <w:sz w:val="20"/>
          <w:szCs w:val="20"/>
        </w:rPr>
      </w:pPr>
      <w:r w:rsidRPr="00A03E8E">
        <w:rPr>
          <w:rFonts w:ascii="Verdana" w:hAnsi="Verdana" w:cs="Times New Roman"/>
          <w:sz w:val="20"/>
          <w:szCs w:val="20"/>
        </w:rPr>
        <w:t>A</w:t>
      </w:r>
      <w:r>
        <w:rPr>
          <w:rFonts w:ascii="Verdana" w:hAnsi="Verdana" w:cs="Times New Roman"/>
          <w:sz w:val="20"/>
          <w:szCs w:val="20"/>
        </w:rPr>
        <w:t>dding a few numbers to this</w:t>
      </w:r>
      <w:r w:rsidRPr="00A03E8E">
        <w:rPr>
          <w:rFonts w:ascii="Verdana" w:hAnsi="Verdana" w:cs="Times New Roman"/>
          <w:sz w:val="20"/>
          <w:szCs w:val="20"/>
        </w:rPr>
        <w:t>: 1.8</w:t>
      </w:r>
      <w:r>
        <w:rPr>
          <w:rFonts w:ascii="Verdana" w:hAnsi="Verdana" w:cs="Times New Roman"/>
          <w:sz w:val="20"/>
          <w:szCs w:val="20"/>
        </w:rPr>
        <w:t xml:space="preserve"> </w:t>
      </w:r>
      <w:r w:rsidRPr="00A03E8E">
        <w:rPr>
          <w:rFonts w:ascii="Verdana" w:hAnsi="Verdana" w:cs="Times New Roman"/>
          <w:sz w:val="20"/>
          <w:szCs w:val="20"/>
        </w:rPr>
        <w:t xml:space="preserve">mm wire will have a life of approximately 3-5 years after which the </w:t>
      </w:r>
      <w:r>
        <w:rPr>
          <w:rFonts w:ascii="Verdana" w:hAnsi="Verdana" w:cs="Times New Roman"/>
          <w:sz w:val="20"/>
          <w:szCs w:val="20"/>
        </w:rPr>
        <w:t>wire</w:t>
      </w:r>
      <w:r w:rsidRPr="00A03E8E">
        <w:rPr>
          <w:rFonts w:ascii="Verdana" w:hAnsi="Verdana" w:cs="Times New Roman"/>
          <w:sz w:val="20"/>
          <w:szCs w:val="20"/>
        </w:rPr>
        <w:t xml:space="preserve"> will be completely rusted</w:t>
      </w:r>
      <w:r>
        <w:rPr>
          <w:rFonts w:ascii="Verdana" w:hAnsi="Verdana" w:cs="Times New Roman"/>
          <w:sz w:val="20"/>
          <w:szCs w:val="20"/>
        </w:rPr>
        <w:t>. However, 2.0 mm wire will have a life of approximately 7-8 years to do the same.</w:t>
      </w:r>
    </w:p>
    <w:p w14:paraId="403D0FB7" w14:textId="77777777" w:rsidR="00C12364" w:rsidRPr="00A03E8E" w:rsidRDefault="00F33CA2" w:rsidP="00C12364">
      <w:pPr>
        <w:pStyle w:val="ListParagraph"/>
        <w:numPr>
          <w:ilvl w:val="0"/>
          <w:numId w:val="2"/>
        </w:numPr>
        <w:jc w:val="both"/>
        <w:rPr>
          <w:rFonts w:ascii="Verdana" w:hAnsi="Verdana" w:cs="Times New Roman"/>
          <w:b/>
          <w:sz w:val="20"/>
          <w:szCs w:val="20"/>
          <w:u w:val="single"/>
        </w:rPr>
      </w:pPr>
      <w:r>
        <w:rPr>
          <w:rFonts w:ascii="Verdana" w:hAnsi="Verdana" w:cs="Times New Roman"/>
          <w:b/>
          <w:sz w:val="20"/>
          <w:szCs w:val="20"/>
          <w:u w:val="single"/>
        </w:rPr>
        <w:t xml:space="preserve">LONG </w:t>
      </w:r>
      <w:r w:rsidR="00C12364">
        <w:rPr>
          <w:rFonts w:ascii="Verdana" w:hAnsi="Verdana" w:cs="Times New Roman"/>
          <w:b/>
          <w:sz w:val="20"/>
          <w:szCs w:val="20"/>
          <w:u w:val="single"/>
        </w:rPr>
        <w:t>COATING</w:t>
      </w:r>
      <w:r>
        <w:rPr>
          <w:rFonts w:ascii="Verdana" w:hAnsi="Verdana" w:cs="Times New Roman"/>
          <w:b/>
          <w:sz w:val="20"/>
          <w:szCs w:val="20"/>
          <w:u w:val="single"/>
        </w:rPr>
        <w:t xml:space="preserve"> LIFE</w:t>
      </w:r>
      <w:r w:rsidR="00C12364">
        <w:rPr>
          <w:rFonts w:ascii="Verdana" w:hAnsi="Verdana" w:cs="Times New Roman"/>
          <w:b/>
          <w:sz w:val="20"/>
          <w:szCs w:val="20"/>
          <w:u w:val="single"/>
        </w:rPr>
        <w:t>:</w:t>
      </w:r>
      <w:r w:rsidR="00C12364" w:rsidRPr="00C12364">
        <w:rPr>
          <w:rFonts w:ascii="Verdana" w:hAnsi="Verdana" w:cs="Times New Roman"/>
          <w:b/>
          <w:sz w:val="20"/>
          <w:szCs w:val="20"/>
        </w:rPr>
        <w:t xml:space="preserve"> </w:t>
      </w:r>
      <w:r w:rsidR="00C12364">
        <w:rPr>
          <w:rFonts w:ascii="Verdana" w:hAnsi="Verdana" w:cs="Times New Roman"/>
          <w:sz w:val="20"/>
          <w:szCs w:val="20"/>
        </w:rPr>
        <w:t>By replacing the</w:t>
      </w:r>
      <w:r w:rsidR="00A03E8E">
        <w:rPr>
          <w:rFonts w:ascii="Verdana" w:hAnsi="Verdana" w:cs="Times New Roman"/>
          <w:sz w:val="20"/>
          <w:szCs w:val="20"/>
        </w:rPr>
        <w:t xml:space="preserve"> “1.80mm Hot Dip GI wire with 56</w:t>
      </w:r>
      <w:r w:rsidR="00C12364">
        <w:rPr>
          <w:rFonts w:ascii="Verdana" w:hAnsi="Verdana" w:cs="Times New Roman"/>
          <w:sz w:val="20"/>
          <w:szCs w:val="20"/>
        </w:rPr>
        <w:t>GSM coating” with “2.00mm Hot Dip GI wire with 80GSM coating”, longevity of the coating will increase especially in areas where the chain-links are subjected to moisture prone conditions</w:t>
      </w:r>
      <w:r>
        <w:rPr>
          <w:rFonts w:ascii="Verdana" w:hAnsi="Verdana" w:cs="Times New Roman"/>
          <w:sz w:val="20"/>
          <w:szCs w:val="20"/>
        </w:rPr>
        <w:t>. Also white rust development time can be prolonged with the heavy coating</w:t>
      </w:r>
      <w:r w:rsidR="00A03E8E">
        <w:rPr>
          <w:rFonts w:ascii="Verdana" w:hAnsi="Verdana" w:cs="Times New Roman"/>
          <w:sz w:val="20"/>
          <w:szCs w:val="20"/>
        </w:rPr>
        <w:t>.</w:t>
      </w:r>
    </w:p>
    <w:p w14:paraId="0190BDAB" w14:textId="5AA13F97" w:rsidR="00A03E8E" w:rsidRPr="00A03E8E" w:rsidRDefault="00A03E8E" w:rsidP="00A03E8E">
      <w:pPr>
        <w:ind w:left="720"/>
        <w:jc w:val="both"/>
        <w:rPr>
          <w:rFonts w:ascii="Verdana" w:hAnsi="Verdana" w:cs="Times New Roman"/>
          <w:sz w:val="20"/>
          <w:szCs w:val="20"/>
        </w:rPr>
      </w:pPr>
      <w:r w:rsidRPr="00A03E8E">
        <w:rPr>
          <w:rFonts w:ascii="Verdana" w:hAnsi="Verdana" w:cs="Times New Roman"/>
          <w:sz w:val="20"/>
          <w:szCs w:val="20"/>
        </w:rPr>
        <w:t>A</w:t>
      </w:r>
      <w:r>
        <w:rPr>
          <w:rFonts w:ascii="Verdana" w:hAnsi="Verdana" w:cs="Times New Roman"/>
          <w:sz w:val="20"/>
          <w:szCs w:val="20"/>
        </w:rPr>
        <w:t>dding numbers to this statement</w:t>
      </w:r>
      <w:r w:rsidRPr="00A03E8E">
        <w:rPr>
          <w:rFonts w:ascii="Verdana" w:hAnsi="Verdana" w:cs="Times New Roman"/>
          <w:sz w:val="20"/>
          <w:szCs w:val="20"/>
        </w:rPr>
        <w:t xml:space="preserve">: The time taken for the 1.8mm wire with 56 GSM of zinc coating takes approximately 7-8 months to show signs of rust. 2.0mm wire with 80 GSM of zinc coating takes approximately </w:t>
      </w:r>
      <w:r w:rsidR="00031B9E">
        <w:rPr>
          <w:rFonts w:ascii="Verdana" w:hAnsi="Verdana" w:cs="Times New Roman"/>
          <w:sz w:val="20"/>
          <w:szCs w:val="20"/>
        </w:rPr>
        <w:t>2 1/2 years</w:t>
      </w:r>
      <w:r w:rsidRPr="00A03E8E">
        <w:rPr>
          <w:rFonts w:ascii="Verdana" w:hAnsi="Verdana" w:cs="Times New Roman"/>
          <w:sz w:val="20"/>
          <w:szCs w:val="20"/>
        </w:rPr>
        <w:t xml:space="preserve"> to show signs of rust.</w:t>
      </w:r>
    </w:p>
    <w:p w14:paraId="28C908F6" w14:textId="77777777" w:rsidR="00556F87" w:rsidRDefault="00556F87" w:rsidP="00750EF0">
      <w:pPr>
        <w:jc w:val="both"/>
        <w:rPr>
          <w:rFonts w:ascii="Verdana" w:hAnsi="Verdana" w:cs="Times New Roman"/>
          <w:b/>
          <w:sz w:val="20"/>
          <w:szCs w:val="20"/>
          <w:u w:val="single"/>
        </w:rPr>
      </w:pPr>
    </w:p>
    <w:p w14:paraId="44A92177" w14:textId="77777777" w:rsidR="001B0EF3" w:rsidRDefault="00556F87" w:rsidP="008804CC">
      <w:pPr>
        <w:pStyle w:val="Title"/>
      </w:pPr>
      <w:bookmarkStart w:id="0" w:name="_GoBack"/>
      <w:bookmarkEnd w:id="0"/>
      <w:r>
        <w:lastRenderedPageBreak/>
        <w:t>BENEFITS TO THE END USER</w:t>
      </w:r>
      <w:r w:rsidR="001B0EF3" w:rsidRPr="001B0EF3">
        <w:t>:</w:t>
      </w:r>
    </w:p>
    <w:p w14:paraId="2775A028" w14:textId="77777777" w:rsidR="00556F87" w:rsidRPr="00556F87" w:rsidRDefault="00556F87" w:rsidP="00556F87">
      <w:pPr>
        <w:pStyle w:val="ListParagraph"/>
        <w:numPr>
          <w:ilvl w:val="0"/>
          <w:numId w:val="3"/>
        </w:numPr>
        <w:jc w:val="both"/>
        <w:rPr>
          <w:rFonts w:ascii="Verdana" w:hAnsi="Verdana" w:cs="Times New Roman"/>
          <w:b/>
          <w:sz w:val="20"/>
          <w:szCs w:val="20"/>
          <w:u w:val="single"/>
        </w:rPr>
      </w:pPr>
      <w:r>
        <w:rPr>
          <w:rFonts w:ascii="Verdana" w:hAnsi="Verdana" w:cs="Times New Roman"/>
          <w:b/>
          <w:sz w:val="20"/>
          <w:szCs w:val="20"/>
          <w:u w:val="single"/>
        </w:rPr>
        <w:t>STRONGER</w:t>
      </w:r>
      <w:r w:rsidR="008B7109">
        <w:rPr>
          <w:rFonts w:ascii="Verdana" w:hAnsi="Verdana" w:cs="Times New Roman"/>
          <w:b/>
          <w:sz w:val="20"/>
          <w:szCs w:val="20"/>
          <w:u w:val="single"/>
        </w:rPr>
        <w:t xml:space="preserve"> and HEAVIER</w:t>
      </w:r>
      <w:r>
        <w:rPr>
          <w:rFonts w:ascii="Verdana" w:hAnsi="Verdana" w:cs="Times New Roman"/>
          <w:b/>
          <w:sz w:val="20"/>
          <w:szCs w:val="20"/>
          <w:u w:val="single"/>
        </w:rPr>
        <w:t xml:space="preserve"> CHAINLINKS</w:t>
      </w:r>
      <w:r w:rsidR="001B0EF3">
        <w:rPr>
          <w:rFonts w:ascii="Verdana" w:hAnsi="Verdana" w:cs="Times New Roman"/>
          <w:b/>
          <w:sz w:val="20"/>
          <w:szCs w:val="20"/>
          <w:u w:val="single"/>
        </w:rPr>
        <w:t>:</w:t>
      </w:r>
      <w:r w:rsidR="001B0EF3" w:rsidRPr="001B0EF3">
        <w:rPr>
          <w:rFonts w:ascii="Verdana" w:hAnsi="Verdana" w:cs="Times New Roman"/>
          <w:b/>
          <w:sz w:val="20"/>
          <w:szCs w:val="20"/>
        </w:rPr>
        <w:t xml:space="preserve"> </w:t>
      </w:r>
      <w:r>
        <w:rPr>
          <w:rFonts w:ascii="Verdana" w:hAnsi="Verdana" w:cs="Times New Roman"/>
          <w:sz w:val="20"/>
          <w:szCs w:val="20"/>
        </w:rPr>
        <w:t>The 2.0 mm wire is 13% stronger</w:t>
      </w:r>
      <w:r w:rsidR="008B7109">
        <w:rPr>
          <w:rFonts w:ascii="Verdana" w:hAnsi="Verdana" w:cs="Times New Roman"/>
          <w:sz w:val="20"/>
          <w:szCs w:val="20"/>
        </w:rPr>
        <w:t xml:space="preserve"> and 23% Heavier</w:t>
      </w:r>
      <w:r>
        <w:rPr>
          <w:rFonts w:ascii="Verdana" w:hAnsi="Verdana" w:cs="Times New Roman"/>
          <w:sz w:val="20"/>
          <w:szCs w:val="20"/>
        </w:rPr>
        <w:t xml:space="preserve"> than the 1.8mm wire, therefore having benefits such as:-</w:t>
      </w:r>
    </w:p>
    <w:p w14:paraId="668DF4C6" w14:textId="77777777" w:rsidR="00556F87" w:rsidRPr="00556F87" w:rsidRDefault="00556F87" w:rsidP="00556F87">
      <w:pPr>
        <w:pStyle w:val="ListParagraph"/>
        <w:numPr>
          <w:ilvl w:val="1"/>
          <w:numId w:val="3"/>
        </w:numPr>
        <w:jc w:val="both"/>
        <w:rPr>
          <w:rStyle w:val="Emphasis"/>
        </w:rPr>
      </w:pPr>
      <w:r w:rsidRPr="00556F87">
        <w:rPr>
          <w:rStyle w:val="Emphasis"/>
        </w:rPr>
        <w:t>Resistance against animal attacks</w:t>
      </w:r>
      <w:r w:rsidR="00451741">
        <w:rPr>
          <w:rStyle w:val="Emphasis"/>
        </w:rPr>
        <w:t>.</w:t>
      </w:r>
    </w:p>
    <w:p w14:paraId="6EF42C63" w14:textId="77777777" w:rsidR="00556F87" w:rsidRPr="00556F87" w:rsidRDefault="00556F87" w:rsidP="00556F87">
      <w:pPr>
        <w:pStyle w:val="ListParagraph"/>
        <w:numPr>
          <w:ilvl w:val="1"/>
          <w:numId w:val="3"/>
        </w:numPr>
        <w:jc w:val="both"/>
        <w:rPr>
          <w:rStyle w:val="Emphasis"/>
        </w:rPr>
      </w:pPr>
      <w:r w:rsidRPr="00556F87">
        <w:rPr>
          <w:rStyle w:val="Emphasis"/>
        </w:rPr>
        <w:t>Helps reduce soil erosion</w:t>
      </w:r>
      <w:r w:rsidR="00451741">
        <w:rPr>
          <w:rStyle w:val="Emphasis"/>
        </w:rPr>
        <w:t>.</w:t>
      </w:r>
    </w:p>
    <w:p w14:paraId="2857D7B7" w14:textId="77777777" w:rsidR="00556F87" w:rsidRPr="00556F87" w:rsidRDefault="00556F87" w:rsidP="00556F87">
      <w:pPr>
        <w:pStyle w:val="ListParagraph"/>
        <w:numPr>
          <w:ilvl w:val="1"/>
          <w:numId w:val="3"/>
        </w:numPr>
        <w:jc w:val="both"/>
        <w:rPr>
          <w:rStyle w:val="Emphasis"/>
        </w:rPr>
      </w:pPr>
      <w:r w:rsidRPr="00556F87">
        <w:rPr>
          <w:rStyle w:val="Emphasis"/>
        </w:rPr>
        <w:t>Better security against human trespassing</w:t>
      </w:r>
      <w:r w:rsidR="00451741">
        <w:rPr>
          <w:rStyle w:val="Emphasis"/>
        </w:rPr>
        <w:t>.</w:t>
      </w:r>
    </w:p>
    <w:p w14:paraId="4CFB43CC" w14:textId="77777777" w:rsidR="001B0EF3" w:rsidRPr="001B0EF3" w:rsidRDefault="00556F87" w:rsidP="00556F87">
      <w:pPr>
        <w:pStyle w:val="ListParagraph"/>
        <w:ind w:left="1440"/>
        <w:jc w:val="both"/>
        <w:rPr>
          <w:rFonts w:ascii="Verdana" w:hAnsi="Verdana" w:cs="Times New Roman"/>
          <w:b/>
          <w:sz w:val="20"/>
          <w:szCs w:val="20"/>
          <w:u w:val="single"/>
        </w:rPr>
      </w:pPr>
      <w:r>
        <w:rPr>
          <w:rFonts w:ascii="Verdana" w:hAnsi="Verdana" w:cs="Times New Roman"/>
          <w:sz w:val="20"/>
          <w:szCs w:val="20"/>
        </w:rPr>
        <w:t xml:space="preserve"> </w:t>
      </w:r>
    </w:p>
    <w:p w14:paraId="5E64CB6A" w14:textId="4CA8F62E" w:rsidR="001B0EF3" w:rsidRPr="00451741" w:rsidRDefault="00451741" w:rsidP="00451741">
      <w:pPr>
        <w:pStyle w:val="ListParagraph"/>
        <w:numPr>
          <w:ilvl w:val="0"/>
          <w:numId w:val="3"/>
        </w:numPr>
        <w:jc w:val="both"/>
        <w:rPr>
          <w:rFonts w:ascii="Verdana" w:hAnsi="Verdana" w:cs="Times New Roman"/>
          <w:sz w:val="20"/>
          <w:szCs w:val="20"/>
        </w:rPr>
      </w:pPr>
      <w:r>
        <w:rPr>
          <w:rFonts w:ascii="Verdana" w:hAnsi="Verdana" w:cs="Times New Roman"/>
          <w:b/>
          <w:sz w:val="20"/>
          <w:szCs w:val="20"/>
          <w:u w:val="single"/>
        </w:rPr>
        <w:t>RESISTANCE TO RUST</w:t>
      </w:r>
      <w:r w:rsidR="001B0EF3">
        <w:rPr>
          <w:rFonts w:ascii="Verdana" w:hAnsi="Verdana" w:cs="Times New Roman"/>
          <w:b/>
          <w:sz w:val="20"/>
          <w:szCs w:val="20"/>
          <w:u w:val="single"/>
        </w:rPr>
        <w:t>:</w:t>
      </w:r>
      <w:r w:rsidR="001B0EF3" w:rsidRPr="001B0EF3">
        <w:rPr>
          <w:rFonts w:ascii="Verdana" w:hAnsi="Verdana" w:cs="Times New Roman"/>
          <w:b/>
          <w:sz w:val="20"/>
          <w:szCs w:val="20"/>
        </w:rPr>
        <w:t xml:space="preserve"> </w:t>
      </w:r>
      <w:r w:rsidRPr="00451741">
        <w:rPr>
          <w:rFonts w:ascii="Verdana" w:hAnsi="Verdana" w:cs="Times New Roman"/>
          <w:sz w:val="20"/>
          <w:szCs w:val="20"/>
        </w:rPr>
        <w:t xml:space="preserve">The 2.0 mm wire with </w:t>
      </w:r>
      <w:r w:rsidR="006B3E44">
        <w:rPr>
          <w:rFonts w:ascii="Verdana" w:hAnsi="Verdana" w:cs="Times New Roman"/>
          <w:sz w:val="20"/>
          <w:szCs w:val="20"/>
        </w:rPr>
        <w:t>62</w:t>
      </w:r>
      <w:r w:rsidRPr="00451741">
        <w:rPr>
          <w:rFonts w:ascii="Verdana" w:hAnsi="Verdana" w:cs="Times New Roman"/>
          <w:sz w:val="20"/>
          <w:szCs w:val="20"/>
        </w:rPr>
        <w:t xml:space="preserve"> GSM Zinc coating increases resistance to rust </w:t>
      </w:r>
      <w:proofErr w:type="gramStart"/>
      <w:r w:rsidRPr="00451741">
        <w:rPr>
          <w:rFonts w:ascii="Verdana" w:hAnsi="Verdana" w:cs="Times New Roman"/>
          <w:sz w:val="20"/>
          <w:szCs w:val="20"/>
        </w:rPr>
        <w:t>by  18</w:t>
      </w:r>
      <w:proofErr w:type="gramEnd"/>
      <w:r w:rsidRPr="00451741">
        <w:rPr>
          <w:rFonts w:ascii="Verdana" w:hAnsi="Verdana" w:cs="Times New Roman"/>
          <w:sz w:val="20"/>
          <w:szCs w:val="20"/>
        </w:rPr>
        <w:t xml:space="preserve"> months, therefore having the following benefits:-</w:t>
      </w:r>
    </w:p>
    <w:p w14:paraId="5BDC8756" w14:textId="77777777" w:rsidR="00451741" w:rsidRDefault="00451741" w:rsidP="00451741">
      <w:pPr>
        <w:pStyle w:val="ListParagraph"/>
        <w:numPr>
          <w:ilvl w:val="1"/>
          <w:numId w:val="3"/>
        </w:numPr>
        <w:jc w:val="both"/>
        <w:rPr>
          <w:rStyle w:val="Emphasis"/>
        </w:rPr>
      </w:pPr>
      <w:r>
        <w:rPr>
          <w:rStyle w:val="Emphasis"/>
        </w:rPr>
        <w:t>Reducing the time frame to replace the existing fence.</w:t>
      </w:r>
    </w:p>
    <w:p w14:paraId="3640C250" w14:textId="77777777" w:rsidR="00451741" w:rsidRDefault="007A0C29" w:rsidP="007A0C29">
      <w:pPr>
        <w:pStyle w:val="ListParagraph"/>
        <w:numPr>
          <w:ilvl w:val="1"/>
          <w:numId w:val="3"/>
        </w:numPr>
        <w:jc w:val="both"/>
        <w:rPr>
          <w:rStyle w:val="Emphasis"/>
        </w:rPr>
      </w:pPr>
      <w:r>
        <w:rPr>
          <w:rStyle w:val="Emphasis"/>
        </w:rPr>
        <w:t>Improved resistance to soil related deterioration (Chainlink under the soil is subject to buoyancy pressure).</w:t>
      </w:r>
    </w:p>
    <w:p w14:paraId="6D6B4942" w14:textId="77777777" w:rsidR="007A0C29" w:rsidRDefault="007A0C29" w:rsidP="007A0C29">
      <w:pPr>
        <w:pStyle w:val="ListParagraph"/>
        <w:ind w:left="1440"/>
        <w:jc w:val="both"/>
        <w:rPr>
          <w:rStyle w:val="Emphasis"/>
        </w:rPr>
      </w:pPr>
    </w:p>
    <w:p w14:paraId="47E64CC8" w14:textId="73C8DF29" w:rsidR="00E3037B" w:rsidRPr="006B3E44" w:rsidRDefault="007A0C29" w:rsidP="007A0C29">
      <w:pPr>
        <w:pStyle w:val="ListParagraph"/>
        <w:numPr>
          <w:ilvl w:val="0"/>
          <w:numId w:val="3"/>
        </w:numPr>
        <w:jc w:val="both"/>
        <w:rPr>
          <w:rFonts w:ascii="Verdana" w:hAnsi="Verdana" w:cs="Times New Roman"/>
          <w:b/>
          <w:sz w:val="20"/>
          <w:szCs w:val="20"/>
          <w:u w:val="single"/>
        </w:rPr>
      </w:pPr>
      <w:r>
        <w:rPr>
          <w:rFonts w:ascii="Verdana" w:hAnsi="Verdana" w:cs="Times New Roman"/>
          <w:b/>
          <w:sz w:val="20"/>
          <w:szCs w:val="20"/>
          <w:u w:val="single"/>
        </w:rPr>
        <w:t>VALUE FOR MONEY</w:t>
      </w:r>
      <w:r w:rsidR="00E3037B">
        <w:rPr>
          <w:rFonts w:ascii="Verdana" w:hAnsi="Verdana" w:cs="Times New Roman"/>
          <w:b/>
          <w:sz w:val="20"/>
          <w:szCs w:val="20"/>
          <w:u w:val="single"/>
        </w:rPr>
        <w:t>:</w:t>
      </w:r>
      <w:r w:rsidR="00E3037B" w:rsidRPr="00E3037B">
        <w:rPr>
          <w:rFonts w:ascii="Verdana" w:hAnsi="Verdana" w:cs="Times New Roman"/>
          <w:sz w:val="20"/>
          <w:szCs w:val="20"/>
        </w:rPr>
        <w:t xml:space="preserve"> </w:t>
      </w:r>
      <w:r>
        <w:rPr>
          <w:rFonts w:ascii="Verdana" w:hAnsi="Verdana" w:cs="Times New Roman"/>
          <w:sz w:val="20"/>
          <w:szCs w:val="20"/>
        </w:rPr>
        <w:t xml:space="preserve">The current price of a 2.0mm </w:t>
      </w:r>
      <w:proofErr w:type="spellStart"/>
      <w:r>
        <w:rPr>
          <w:rFonts w:ascii="Verdana" w:hAnsi="Verdana" w:cs="Times New Roman"/>
          <w:sz w:val="20"/>
          <w:szCs w:val="20"/>
        </w:rPr>
        <w:t>chainlink</w:t>
      </w:r>
      <w:proofErr w:type="spellEnd"/>
      <w:r>
        <w:rPr>
          <w:rFonts w:ascii="Verdana" w:hAnsi="Verdana" w:cs="Times New Roman"/>
          <w:sz w:val="20"/>
          <w:szCs w:val="20"/>
        </w:rPr>
        <w:t xml:space="preserve"> with </w:t>
      </w:r>
      <w:r w:rsidR="006B3E44">
        <w:rPr>
          <w:rFonts w:ascii="Verdana" w:hAnsi="Verdana" w:cs="Times New Roman"/>
          <w:sz w:val="20"/>
          <w:szCs w:val="20"/>
        </w:rPr>
        <w:t>62</w:t>
      </w:r>
      <w:r>
        <w:rPr>
          <w:rFonts w:ascii="Verdana" w:hAnsi="Verdana" w:cs="Times New Roman"/>
          <w:sz w:val="20"/>
          <w:szCs w:val="20"/>
        </w:rPr>
        <w:t xml:space="preserve"> GSM zinc coating is </w:t>
      </w:r>
      <w:proofErr w:type="spellStart"/>
      <w:r>
        <w:rPr>
          <w:rFonts w:ascii="Verdana" w:hAnsi="Verdana" w:cs="Times New Roman"/>
          <w:sz w:val="20"/>
          <w:szCs w:val="20"/>
        </w:rPr>
        <w:t>Ksh</w:t>
      </w:r>
      <w:proofErr w:type="spellEnd"/>
      <w:r w:rsidR="008804CC">
        <w:rPr>
          <w:rFonts w:ascii="Verdana" w:hAnsi="Verdana" w:cs="Times New Roman"/>
          <w:sz w:val="20"/>
          <w:szCs w:val="20"/>
        </w:rPr>
        <w:t xml:space="preserve"> </w:t>
      </w:r>
      <w:r w:rsidR="00E1550E">
        <w:rPr>
          <w:rFonts w:ascii="Verdana" w:hAnsi="Verdana" w:cs="Times New Roman"/>
          <w:sz w:val="20"/>
          <w:szCs w:val="20"/>
        </w:rPr>
        <w:t>51</w:t>
      </w:r>
      <w:r w:rsidR="008804CC">
        <w:rPr>
          <w:rFonts w:ascii="Verdana" w:hAnsi="Verdana" w:cs="Times New Roman"/>
          <w:sz w:val="20"/>
          <w:szCs w:val="20"/>
        </w:rPr>
        <w:t>0</w:t>
      </w:r>
      <w:r>
        <w:rPr>
          <w:rFonts w:ascii="Verdana" w:hAnsi="Verdana" w:cs="Times New Roman"/>
          <w:sz w:val="20"/>
          <w:szCs w:val="20"/>
        </w:rPr>
        <w:t xml:space="preserve">/ft. The current price of a 1.8mm chainlink is 430/ft. Therefore, </w:t>
      </w:r>
      <w:r w:rsidR="00E1550E">
        <w:rPr>
          <w:rFonts w:ascii="Verdana" w:hAnsi="Verdana" w:cs="Times New Roman"/>
          <w:sz w:val="20"/>
          <w:szCs w:val="20"/>
        </w:rPr>
        <w:t xml:space="preserve">by spending extra </w:t>
      </w:r>
      <w:proofErr w:type="spellStart"/>
      <w:r w:rsidR="00E1550E">
        <w:rPr>
          <w:rFonts w:ascii="Verdana" w:hAnsi="Verdana" w:cs="Times New Roman"/>
          <w:sz w:val="20"/>
          <w:szCs w:val="20"/>
        </w:rPr>
        <w:t>ksh</w:t>
      </w:r>
      <w:proofErr w:type="spellEnd"/>
      <w:r w:rsidR="00E1550E">
        <w:rPr>
          <w:rFonts w:ascii="Verdana" w:hAnsi="Verdana" w:cs="Times New Roman"/>
          <w:sz w:val="20"/>
          <w:szCs w:val="20"/>
        </w:rPr>
        <w:t xml:space="preserve"> 80/ft (18%), the consumer </w:t>
      </w:r>
      <w:proofErr w:type="gramStart"/>
      <w:r w:rsidR="00E1550E">
        <w:rPr>
          <w:rFonts w:ascii="Verdana" w:hAnsi="Verdana" w:cs="Times New Roman"/>
          <w:sz w:val="20"/>
          <w:szCs w:val="20"/>
        </w:rPr>
        <w:t>get</w:t>
      </w:r>
      <w:proofErr w:type="gramEnd"/>
      <w:r w:rsidR="00E1550E">
        <w:rPr>
          <w:rFonts w:ascii="Verdana" w:hAnsi="Verdana" w:cs="Times New Roman"/>
          <w:sz w:val="20"/>
          <w:szCs w:val="20"/>
        </w:rPr>
        <w:t xml:space="preserve"> the double the value as the replacement takes longer.</w:t>
      </w:r>
    </w:p>
    <w:p w14:paraId="7C262F5D" w14:textId="7A9A086C" w:rsidR="006B3E44" w:rsidRPr="007A0C29" w:rsidRDefault="006B3E44" w:rsidP="007A0C29">
      <w:pPr>
        <w:pStyle w:val="ListParagraph"/>
        <w:numPr>
          <w:ilvl w:val="0"/>
          <w:numId w:val="3"/>
        </w:numPr>
        <w:jc w:val="both"/>
        <w:rPr>
          <w:rFonts w:ascii="Verdana" w:hAnsi="Verdana" w:cs="Times New Roman"/>
          <w:b/>
          <w:sz w:val="20"/>
          <w:szCs w:val="20"/>
          <w:u w:val="single"/>
        </w:rPr>
      </w:pPr>
      <w:r>
        <w:rPr>
          <w:rFonts w:ascii="Verdana" w:hAnsi="Verdana" w:cs="Times New Roman"/>
          <w:b/>
          <w:sz w:val="20"/>
          <w:szCs w:val="20"/>
          <w:u w:val="single"/>
        </w:rPr>
        <w:t>SOCIO ECONOMICS:</w:t>
      </w:r>
      <w:r>
        <w:rPr>
          <w:rFonts w:ascii="Verdana" w:hAnsi="Verdana" w:cs="Times New Roman"/>
          <w:bCs/>
          <w:sz w:val="20"/>
          <w:szCs w:val="20"/>
        </w:rPr>
        <w:t xml:space="preserve"> The consumer gets better value for his money due to longer shelf life and Kenya government saves a lot in foreign exchange as the GI wire product is completely imported </w:t>
      </w:r>
      <w:proofErr w:type="gramStart"/>
      <w:r>
        <w:rPr>
          <w:rFonts w:ascii="Verdana" w:hAnsi="Verdana" w:cs="Times New Roman"/>
          <w:bCs/>
          <w:sz w:val="20"/>
          <w:szCs w:val="20"/>
        </w:rPr>
        <w:t>in to</w:t>
      </w:r>
      <w:proofErr w:type="gramEnd"/>
      <w:r>
        <w:rPr>
          <w:rFonts w:ascii="Verdana" w:hAnsi="Verdana" w:cs="Times New Roman"/>
          <w:bCs/>
          <w:sz w:val="20"/>
          <w:szCs w:val="20"/>
        </w:rPr>
        <w:t xml:space="preserve"> the country.</w:t>
      </w:r>
    </w:p>
    <w:p w14:paraId="691C6C65" w14:textId="77777777" w:rsidR="007A0C29" w:rsidRPr="00E3037B" w:rsidRDefault="007A0C29" w:rsidP="007A0C29">
      <w:pPr>
        <w:pStyle w:val="ListParagraph"/>
        <w:jc w:val="both"/>
        <w:rPr>
          <w:rFonts w:ascii="Verdana" w:hAnsi="Verdana" w:cs="Times New Roman"/>
          <w:b/>
          <w:sz w:val="20"/>
          <w:szCs w:val="20"/>
          <w:u w:val="single"/>
        </w:rPr>
      </w:pPr>
    </w:p>
    <w:p w14:paraId="0277536F" w14:textId="77777777" w:rsidR="00C509D8" w:rsidRDefault="00C509D8" w:rsidP="00C509D8">
      <w:pPr>
        <w:pStyle w:val="ListParagraph"/>
        <w:jc w:val="both"/>
        <w:rPr>
          <w:rFonts w:ascii="Verdana" w:hAnsi="Verdana" w:cs="Times New Roman"/>
          <w:b/>
          <w:sz w:val="20"/>
          <w:szCs w:val="20"/>
        </w:rPr>
      </w:pPr>
    </w:p>
    <w:p w14:paraId="36C87CA7" w14:textId="77777777" w:rsidR="008B7109" w:rsidRDefault="008B7109" w:rsidP="00C509D8">
      <w:pPr>
        <w:pStyle w:val="ListParagraph"/>
        <w:jc w:val="both"/>
        <w:rPr>
          <w:rFonts w:ascii="Verdana" w:hAnsi="Verdana" w:cs="Times New Roman"/>
          <w:b/>
          <w:sz w:val="20"/>
          <w:szCs w:val="20"/>
        </w:rPr>
      </w:pPr>
    </w:p>
    <w:p w14:paraId="4462D668" w14:textId="77777777" w:rsidR="00C509D8" w:rsidRDefault="00C509D8" w:rsidP="00C509D8">
      <w:pPr>
        <w:pStyle w:val="ListParagraph"/>
        <w:jc w:val="both"/>
        <w:rPr>
          <w:rFonts w:ascii="Verdana" w:hAnsi="Verdana" w:cs="Times New Roman"/>
          <w:b/>
          <w:sz w:val="20"/>
          <w:szCs w:val="20"/>
        </w:rPr>
      </w:pPr>
      <w:r>
        <w:rPr>
          <w:rFonts w:ascii="Verdana" w:hAnsi="Verdana" w:cs="Times New Roman"/>
          <w:b/>
          <w:sz w:val="20"/>
          <w:szCs w:val="20"/>
        </w:rPr>
        <w:t>Prepared by:</w:t>
      </w:r>
    </w:p>
    <w:p w14:paraId="1EC8260E" w14:textId="77777777" w:rsidR="008B7109" w:rsidRDefault="008B7109" w:rsidP="00C509D8">
      <w:pPr>
        <w:pStyle w:val="ListParagraph"/>
        <w:jc w:val="both"/>
        <w:rPr>
          <w:rFonts w:ascii="Verdana" w:hAnsi="Verdana" w:cs="Times New Roman"/>
          <w:b/>
          <w:sz w:val="20"/>
          <w:szCs w:val="20"/>
        </w:rPr>
      </w:pPr>
    </w:p>
    <w:p w14:paraId="0A60DB55" w14:textId="34F74B4E" w:rsidR="006B3E44" w:rsidRPr="006B3E44" w:rsidRDefault="008B7109" w:rsidP="006B3E44">
      <w:pPr>
        <w:pStyle w:val="ListParagraph"/>
        <w:jc w:val="both"/>
        <w:rPr>
          <w:rFonts w:ascii="Verdana" w:hAnsi="Verdana" w:cs="Times New Roman"/>
          <w:b/>
          <w:bCs/>
          <w:sz w:val="20"/>
          <w:szCs w:val="20"/>
        </w:rPr>
      </w:pPr>
      <w:r w:rsidRPr="008B7109">
        <w:rPr>
          <w:rFonts w:ascii="Verdana" w:hAnsi="Verdana" w:cs="Times New Roman"/>
          <w:b/>
          <w:bCs/>
          <w:sz w:val="20"/>
          <w:szCs w:val="20"/>
        </w:rPr>
        <w:t xml:space="preserve">BLUENILE </w:t>
      </w:r>
      <w:r w:rsidR="006B3E44">
        <w:rPr>
          <w:rFonts w:ascii="Verdana" w:hAnsi="Verdana" w:cs="Times New Roman"/>
          <w:b/>
          <w:bCs/>
          <w:sz w:val="20"/>
          <w:szCs w:val="20"/>
        </w:rPr>
        <w:t>ROLLING MILLS LTD</w:t>
      </w:r>
    </w:p>
    <w:sectPr w:rsidR="006B3E44" w:rsidRPr="006B3E44" w:rsidSect="00AF2F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A17BA" w14:textId="77777777" w:rsidR="001B6CBC" w:rsidRDefault="001B6CBC" w:rsidP="008200D0">
      <w:pPr>
        <w:spacing w:after="0" w:line="240" w:lineRule="auto"/>
      </w:pPr>
      <w:r>
        <w:separator/>
      </w:r>
    </w:p>
  </w:endnote>
  <w:endnote w:type="continuationSeparator" w:id="0">
    <w:p w14:paraId="35941B46" w14:textId="77777777" w:rsidR="001B6CBC" w:rsidRDefault="001B6CBC" w:rsidP="0082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23D7" w14:textId="77777777" w:rsidR="008B7109" w:rsidRDefault="008B7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BCC3" w14:textId="77777777" w:rsidR="008B7109" w:rsidRDefault="008B7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65933" w14:textId="77777777" w:rsidR="008B7109" w:rsidRDefault="008B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197DD" w14:textId="77777777" w:rsidR="001B6CBC" w:rsidRDefault="001B6CBC" w:rsidP="008200D0">
      <w:pPr>
        <w:spacing w:after="0" w:line="240" w:lineRule="auto"/>
      </w:pPr>
      <w:r>
        <w:separator/>
      </w:r>
    </w:p>
  </w:footnote>
  <w:footnote w:type="continuationSeparator" w:id="0">
    <w:p w14:paraId="4AC1465E" w14:textId="77777777" w:rsidR="001B6CBC" w:rsidRDefault="001B6CBC" w:rsidP="0082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5A037" w14:textId="77777777" w:rsidR="008B7109" w:rsidRDefault="001B6CBC">
    <w:pPr>
      <w:pStyle w:val="Header"/>
    </w:pPr>
    <w:r>
      <w:rPr>
        <w:noProof/>
      </w:rPr>
      <w:pict w14:anchorId="3AF8A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50626" o:spid="_x0000_s2050" type="#_x0000_t136" style="position:absolute;margin-left:0;margin-top:0;width:536.15pt;height:123.7pt;rotation:315;z-index:-251655168;mso-position-horizontal:center;mso-position-horizontal-relative:margin;mso-position-vertical:center;mso-position-vertical-relative:margin" o:allowincell="f" fillcolor="#548dd4 [1951]" stroked="f">
          <v:fill opacity=".5"/>
          <v:textpath style="font-family:&quot;Lucida Calligraphy&quot;;font-size:1pt" string="Kifaru Stee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F94A0" w14:textId="77777777" w:rsidR="008200D0" w:rsidRDefault="001B6CBC">
    <w:pPr>
      <w:pStyle w:val="Header"/>
      <w:pBdr>
        <w:bottom w:val="single" w:sz="4" w:space="1" w:color="D9D9D9" w:themeColor="background1" w:themeShade="D9"/>
      </w:pBdr>
      <w:rPr>
        <w:b/>
        <w:bCs/>
      </w:rPr>
    </w:pPr>
    <w:r>
      <w:rPr>
        <w:noProof/>
      </w:rPr>
      <w:pict w14:anchorId="6FE920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50627" o:spid="_x0000_s2051" type="#_x0000_t136" style="position:absolute;margin-left:0;margin-top:0;width:536.15pt;height:123.7pt;rotation:315;z-index:-251653120;mso-position-horizontal:center;mso-position-horizontal-relative:margin;mso-position-vertical:center;mso-position-vertical-relative:margin" o:allowincell="f" fillcolor="#548dd4 [1951]" stroked="f">
          <v:fill opacity=".5"/>
          <v:textpath style="font-family:&quot;Lucida Calligraphy&quot;;font-size:1pt" string="Kifaru Steel"/>
          <w10:wrap anchorx="margin" anchory="margin"/>
        </v:shape>
      </w:pict>
    </w:r>
    <w:sdt>
      <w:sdtPr>
        <w:id w:val="1750230416"/>
        <w:docPartObj>
          <w:docPartGallery w:val="Page Numbers (Top of Page)"/>
          <w:docPartUnique/>
        </w:docPartObj>
      </w:sdtPr>
      <w:sdtEndPr>
        <w:rPr>
          <w:color w:val="808080" w:themeColor="background1" w:themeShade="80"/>
          <w:spacing w:val="60"/>
        </w:rPr>
      </w:sdtEndPr>
      <w:sdtContent>
        <w:r w:rsidR="008200D0">
          <w:fldChar w:fldCharType="begin"/>
        </w:r>
        <w:r w:rsidR="008200D0">
          <w:instrText xml:space="preserve"> PAGE   \* MERGEFORMAT </w:instrText>
        </w:r>
        <w:r w:rsidR="008200D0">
          <w:fldChar w:fldCharType="separate"/>
        </w:r>
        <w:r w:rsidR="008B7109" w:rsidRPr="008B7109">
          <w:rPr>
            <w:b/>
            <w:bCs/>
            <w:noProof/>
          </w:rPr>
          <w:t>3</w:t>
        </w:r>
        <w:r w:rsidR="008200D0">
          <w:rPr>
            <w:b/>
            <w:bCs/>
            <w:noProof/>
          </w:rPr>
          <w:fldChar w:fldCharType="end"/>
        </w:r>
        <w:r w:rsidR="008200D0">
          <w:rPr>
            <w:b/>
            <w:bCs/>
          </w:rPr>
          <w:t xml:space="preserve"> | </w:t>
        </w:r>
        <w:r w:rsidR="008200D0">
          <w:rPr>
            <w:color w:val="808080" w:themeColor="background1" w:themeShade="80"/>
            <w:spacing w:val="60"/>
          </w:rPr>
          <w:t>Page</w:t>
        </w:r>
        <w:r w:rsidR="00E3037B">
          <w:rPr>
            <w:color w:val="808080" w:themeColor="background1" w:themeShade="80"/>
            <w:spacing w:val="60"/>
          </w:rPr>
          <w:t>1.80mm v/s 2.00mm</w:t>
        </w:r>
      </w:sdtContent>
    </w:sdt>
  </w:p>
  <w:p w14:paraId="10F59E1D" w14:textId="77777777" w:rsidR="008200D0" w:rsidRDefault="00820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FCFAE" w14:textId="77777777" w:rsidR="008B7109" w:rsidRDefault="001B6CBC">
    <w:pPr>
      <w:pStyle w:val="Header"/>
    </w:pPr>
    <w:r>
      <w:rPr>
        <w:noProof/>
      </w:rPr>
      <w:pict w14:anchorId="5D819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50625" o:spid="_x0000_s2049" type="#_x0000_t136" style="position:absolute;margin-left:0;margin-top:0;width:536.15pt;height:123.7pt;rotation:315;z-index:-251657216;mso-position-horizontal:center;mso-position-horizontal-relative:margin;mso-position-vertical:center;mso-position-vertical-relative:margin" o:allowincell="f" fillcolor="#548dd4 [1951]" stroked="f">
          <v:fill opacity=".5"/>
          <v:textpath style="font-family:&quot;Lucida Calligraphy&quot;;font-size:1pt" string="Kifaru Stee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73C27"/>
    <w:multiLevelType w:val="hybridMultilevel"/>
    <w:tmpl w:val="C4CE8F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B39E8"/>
    <w:multiLevelType w:val="hybridMultilevel"/>
    <w:tmpl w:val="8BF82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419E"/>
    <w:multiLevelType w:val="hybridMultilevel"/>
    <w:tmpl w:val="016E4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66A82"/>
    <w:multiLevelType w:val="hybridMultilevel"/>
    <w:tmpl w:val="54EAFD2C"/>
    <w:lvl w:ilvl="0" w:tplc="1B8067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D2"/>
    <w:rsid w:val="00004FA8"/>
    <w:rsid w:val="00031B9E"/>
    <w:rsid w:val="001B0EF3"/>
    <w:rsid w:val="001B6CBC"/>
    <w:rsid w:val="003B63EF"/>
    <w:rsid w:val="00417C62"/>
    <w:rsid w:val="00451741"/>
    <w:rsid w:val="004766BC"/>
    <w:rsid w:val="00492B16"/>
    <w:rsid w:val="00556F87"/>
    <w:rsid w:val="005F0706"/>
    <w:rsid w:val="006B3E44"/>
    <w:rsid w:val="00750EF0"/>
    <w:rsid w:val="007A0C29"/>
    <w:rsid w:val="008200D0"/>
    <w:rsid w:val="00831135"/>
    <w:rsid w:val="00862227"/>
    <w:rsid w:val="008804CC"/>
    <w:rsid w:val="008B7109"/>
    <w:rsid w:val="00993C88"/>
    <w:rsid w:val="00A03E8E"/>
    <w:rsid w:val="00AF2FD2"/>
    <w:rsid w:val="00B73897"/>
    <w:rsid w:val="00C12364"/>
    <w:rsid w:val="00C509D8"/>
    <w:rsid w:val="00D135DC"/>
    <w:rsid w:val="00D770F4"/>
    <w:rsid w:val="00DE44AA"/>
    <w:rsid w:val="00E1550E"/>
    <w:rsid w:val="00E3037B"/>
    <w:rsid w:val="00F16110"/>
    <w:rsid w:val="00F33CA2"/>
    <w:rsid w:val="00F51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4E6002"/>
  <w15:docId w15:val="{CF62300F-F8BD-4378-9B74-FD7FEC51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4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D2"/>
    <w:pPr>
      <w:ind w:left="720"/>
      <w:contextualSpacing/>
    </w:pPr>
  </w:style>
  <w:style w:type="table" w:styleId="TableGrid">
    <w:name w:val="Table Grid"/>
    <w:basedOn w:val="TableNormal"/>
    <w:uiPriority w:val="59"/>
    <w:rsid w:val="0049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0D0"/>
  </w:style>
  <w:style w:type="paragraph" w:styleId="Footer">
    <w:name w:val="footer"/>
    <w:basedOn w:val="Normal"/>
    <w:link w:val="FooterChar"/>
    <w:uiPriority w:val="99"/>
    <w:unhideWhenUsed/>
    <w:rsid w:val="0082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0D0"/>
  </w:style>
  <w:style w:type="paragraph" w:styleId="BalloonText">
    <w:name w:val="Balloon Text"/>
    <w:basedOn w:val="Normal"/>
    <w:link w:val="BalloonTextChar"/>
    <w:uiPriority w:val="99"/>
    <w:semiHidden/>
    <w:unhideWhenUsed/>
    <w:rsid w:val="00D13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DC"/>
    <w:rPr>
      <w:rFonts w:ascii="Tahoma" w:hAnsi="Tahoma" w:cs="Tahoma"/>
      <w:sz w:val="16"/>
      <w:szCs w:val="16"/>
    </w:rPr>
  </w:style>
  <w:style w:type="character" w:customStyle="1" w:styleId="a">
    <w:name w:val="a"/>
    <w:basedOn w:val="DefaultParagraphFont"/>
    <w:rsid w:val="00A03E8E"/>
  </w:style>
  <w:style w:type="character" w:styleId="Hyperlink">
    <w:name w:val="Hyperlink"/>
    <w:basedOn w:val="DefaultParagraphFont"/>
    <w:uiPriority w:val="99"/>
    <w:unhideWhenUsed/>
    <w:rsid w:val="00A03E8E"/>
    <w:rPr>
      <w:color w:val="0000FF" w:themeColor="hyperlink"/>
      <w:u w:val="single"/>
    </w:rPr>
  </w:style>
  <w:style w:type="character" w:styleId="Emphasis">
    <w:name w:val="Emphasis"/>
    <w:basedOn w:val="DefaultParagraphFont"/>
    <w:uiPriority w:val="20"/>
    <w:qFormat/>
    <w:rsid w:val="00556F87"/>
    <w:rPr>
      <w:i/>
      <w:iCs/>
    </w:rPr>
  </w:style>
  <w:style w:type="paragraph" w:styleId="Title">
    <w:name w:val="Title"/>
    <w:basedOn w:val="Normal"/>
    <w:next w:val="Normal"/>
    <w:link w:val="TitleChar"/>
    <w:uiPriority w:val="10"/>
    <w:qFormat/>
    <w:rsid w:val="008804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4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04C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804CC"/>
    <w:rPr>
      <w:i/>
      <w:iCs/>
      <w:color w:val="808080" w:themeColor="text1" w:themeTint="7F"/>
    </w:rPr>
  </w:style>
  <w:style w:type="paragraph" w:styleId="Subtitle">
    <w:name w:val="Subtitle"/>
    <w:basedOn w:val="Normal"/>
    <w:next w:val="Normal"/>
    <w:link w:val="SubtitleChar"/>
    <w:uiPriority w:val="11"/>
    <w:qFormat/>
    <w:rsid w:val="00880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04C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cribd.com/doc/58015001/BS-EN-10244-2-2009-Steel-wire-and-wire-products-Nonferrous-metallic-coatings-on-steel-wire-Part-2-Zinc-or-zinc-alloy-coating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dc:creator>
  <cp:lastModifiedBy>Kifaru Steel</cp:lastModifiedBy>
  <cp:revision>3</cp:revision>
  <dcterms:created xsi:type="dcterms:W3CDTF">2019-06-14T14:13:00Z</dcterms:created>
  <dcterms:modified xsi:type="dcterms:W3CDTF">2019-06-14T14:19:00Z</dcterms:modified>
</cp:coreProperties>
</file>