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01" w:rsidRDefault="00771569">
      <w:pPr>
        <w:spacing w:line="259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704" w:type="dxa"/>
        <w:tblInd w:w="-108" w:type="dxa"/>
        <w:tblCellMar>
          <w:top w:w="0" w:type="dxa"/>
          <w:left w:w="103" w:type="dxa"/>
          <w:bottom w:w="232" w:type="dxa"/>
          <w:right w:w="115" w:type="dxa"/>
        </w:tblCellMar>
        <w:tblLook w:val="04A0" w:firstRow="1" w:lastRow="0" w:firstColumn="1" w:lastColumn="0" w:noHBand="0" w:noVBand="1"/>
      </w:tblPr>
      <w:tblGrid>
        <w:gridCol w:w="4271"/>
        <w:gridCol w:w="5433"/>
      </w:tblGrid>
      <w:tr w:rsidR="00111601">
        <w:trPr>
          <w:trHeight w:val="1352"/>
        </w:trPr>
        <w:tc>
          <w:tcPr>
            <w:tcW w:w="4271" w:type="dxa"/>
            <w:tcBorders>
              <w:top w:val="single" w:sz="17" w:space="0" w:color="3366FF"/>
              <w:left w:val="single" w:sz="17" w:space="0" w:color="3366FF"/>
              <w:bottom w:val="single" w:sz="17" w:space="0" w:color="3366FF"/>
              <w:right w:val="single" w:sz="17" w:space="0" w:color="3366FF"/>
            </w:tcBorders>
            <w:vAlign w:val="bottom"/>
          </w:tcPr>
          <w:p w:rsidR="00111601" w:rsidRDefault="00771569">
            <w:pPr>
              <w:spacing w:line="259" w:lineRule="auto"/>
              <w:ind w:left="0" w:right="2262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4900" cy="636905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i/>
                <w:color w:val="3366FF"/>
                <w:sz w:val="16"/>
              </w:rPr>
              <w:t xml:space="preserve"> </w:t>
            </w:r>
          </w:p>
        </w:tc>
        <w:tc>
          <w:tcPr>
            <w:tcW w:w="5433" w:type="dxa"/>
            <w:tcBorders>
              <w:top w:val="single" w:sz="17" w:space="0" w:color="3366FF"/>
              <w:left w:val="single" w:sz="17" w:space="0" w:color="3366FF"/>
              <w:bottom w:val="single" w:sz="17" w:space="0" w:color="3366FF"/>
              <w:right w:val="single" w:sz="17" w:space="0" w:color="3366FF"/>
            </w:tcBorders>
            <w:shd w:val="clear" w:color="auto" w:fill="0066CC"/>
            <w:vAlign w:val="center"/>
          </w:tcPr>
          <w:p w:rsidR="00111601" w:rsidRDefault="00771569">
            <w:pPr>
              <w:spacing w:after="236" w:line="259" w:lineRule="auto"/>
              <w:ind w:left="0" w:firstLine="0"/>
              <w:jc w:val="left"/>
            </w:pPr>
            <w:r>
              <w:rPr>
                <w:rFonts w:ascii="Franklin Gothic" w:eastAsia="Franklin Gothic" w:hAnsi="Franklin Gothic" w:cs="Franklin Gothic"/>
                <w:color w:val="FFFFFF"/>
                <w:sz w:val="36"/>
              </w:rPr>
              <w:t xml:space="preserve">Kenya Bureau of  </w:t>
            </w:r>
          </w:p>
          <w:p w:rsidR="00111601" w:rsidRDefault="00771569">
            <w:pPr>
              <w:spacing w:line="259" w:lineRule="auto"/>
              <w:ind w:left="0" w:firstLine="0"/>
              <w:jc w:val="left"/>
            </w:pPr>
            <w:r>
              <w:rPr>
                <w:rFonts w:ascii="Franklin Gothic" w:eastAsia="Franklin Gothic" w:hAnsi="Franklin Gothic" w:cs="Franklin Gothic"/>
                <w:color w:val="FFFFFF"/>
                <w:sz w:val="36"/>
              </w:rPr>
              <w:t>Standards</w:t>
            </w:r>
            <w:r>
              <w:rPr>
                <w:b/>
                <w:color w:val="FFFFFF"/>
                <w:sz w:val="36"/>
              </w:rPr>
              <w:t xml:space="preserve"> </w:t>
            </w:r>
          </w:p>
        </w:tc>
      </w:tr>
    </w:tbl>
    <w:p w:rsidR="00111601" w:rsidRDefault="00771569">
      <w:pPr>
        <w:spacing w:line="259" w:lineRule="auto"/>
        <w:ind w:left="0" w:right="206" w:firstLine="0"/>
        <w:jc w:val="center"/>
      </w:pPr>
      <w:r>
        <w:rPr>
          <w:b/>
          <w:sz w:val="28"/>
        </w:rPr>
        <w:t xml:space="preserve"> </w:t>
      </w:r>
    </w:p>
    <w:p w:rsidR="00111601" w:rsidRDefault="00771569">
      <w:pPr>
        <w:spacing w:line="259" w:lineRule="auto"/>
        <w:ind w:left="0" w:right="11" w:firstLine="0"/>
        <w:jc w:val="center"/>
      </w:pPr>
      <w:r>
        <w:rPr>
          <w:b/>
          <w:sz w:val="28"/>
        </w:rPr>
        <w:t xml:space="preserve">KENYA BUREAU OF STANDARDS CERTIFICATION BODY </w:t>
      </w:r>
    </w:p>
    <w:p w:rsidR="00111601" w:rsidRDefault="00771569">
      <w:pPr>
        <w:spacing w:line="259" w:lineRule="auto"/>
        <w:ind w:left="72" w:firstLine="0"/>
        <w:jc w:val="center"/>
      </w:pPr>
      <w:r>
        <w:rPr>
          <w:b/>
          <w:sz w:val="28"/>
        </w:rPr>
        <w:t xml:space="preserve"> </w:t>
      </w:r>
    </w:p>
    <w:p w:rsidR="00111601" w:rsidRDefault="00771569">
      <w:pPr>
        <w:spacing w:line="259" w:lineRule="auto"/>
        <w:ind w:left="2143" w:firstLine="0"/>
        <w:jc w:val="left"/>
      </w:pPr>
      <w:r>
        <w:rPr>
          <w:b/>
          <w:sz w:val="28"/>
        </w:rPr>
        <w:t>CER/POL/02: Policy on Confidentiality</w:t>
      </w:r>
      <w:r>
        <w:rPr>
          <w:b/>
          <w:sz w:val="20"/>
        </w:rPr>
        <w:t xml:space="preserve"> </w:t>
      </w:r>
    </w:p>
    <w:p w:rsidR="00111601" w:rsidRDefault="00771569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11601" w:rsidRDefault="00771569">
      <w:pPr>
        <w:pStyle w:val="Heading1"/>
        <w:ind w:left="705" w:hanging="720"/>
      </w:pPr>
      <w:r>
        <w:t xml:space="preserve">Introduction </w:t>
      </w:r>
    </w:p>
    <w:p w:rsidR="00111601" w:rsidRDefault="00771569">
      <w:pPr>
        <w:ind w:left="720" w:right="-8" w:firstLine="0"/>
      </w:pPr>
      <w:r>
        <w:t xml:space="preserve">This policy defines how confidentiality of the information obtained or created </w:t>
      </w:r>
      <w:r>
        <w:t xml:space="preserve">during the certification activities, </w:t>
      </w:r>
      <w:proofErr w:type="gramStart"/>
      <w:r>
        <w:t>is ensured</w:t>
      </w:r>
      <w:proofErr w:type="gramEnd"/>
      <w:r>
        <w:t xml:space="preserve">.  </w:t>
      </w:r>
    </w:p>
    <w:p w:rsidR="00111601" w:rsidRDefault="00771569">
      <w:pPr>
        <w:spacing w:after="36" w:line="259" w:lineRule="auto"/>
        <w:ind w:left="0" w:firstLine="0"/>
        <w:jc w:val="left"/>
      </w:pPr>
      <w:r>
        <w:t xml:space="preserve"> </w:t>
      </w:r>
    </w:p>
    <w:p w:rsidR="00111601" w:rsidRDefault="00771569">
      <w:pPr>
        <w:pStyle w:val="Heading1"/>
        <w:ind w:left="767" w:hanging="782"/>
      </w:pPr>
      <w:r>
        <w:t xml:space="preserve">Obligations of KEBS CB </w:t>
      </w:r>
    </w:p>
    <w:p w:rsidR="00111601" w:rsidRDefault="00771569">
      <w:pPr>
        <w:spacing w:after="30"/>
        <w:ind w:left="715" w:right="-8"/>
      </w:pPr>
      <w:r>
        <w:t>2.1 KEBS CB commits itself to confidentiality concerning all information available to it in the context of its activities on the Client’s premises, whether this information relate</w:t>
      </w:r>
      <w:r>
        <w:t xml:space="preserve">s to internal matters of the client or to its business relations. This also applies to verbal or written results of the audit. </w:t>
      </w:r>
    </w:p>
    <w:p w:rsidR="00111601" w:rsidRDefault="00771569">
      <w:pPr>
        <w:ind w:left="715" w:right="-8"/>
      </w:pPr>
      <w:r>
        <w:t xml:space="preserve">2.2 KEBS CB shall not disclose the Client’s confidential information, trade secrets or processing </w:t>
      </w:r>
      <w:proofErr w:type="gramStart"/>
      <w:r>
        <w:t>procedures</w:t>
      </w:r>
      <w:proofErr w:type="gramEnd"/>
      <w:r>
        <w:t xml:space="preserve"> to any third party </w:t>
      </w:r>
      <w:r>
        <w:t xml:space="preserve">(unless required to do so by Law). </w:t>
      </w:r>
    </w:p>
    <w:p w:rsidR="00111601" w:rsidRDefault="00771569">
      <w:pPr>
        <w:ind w:left="715" w:right="-8"/>
      </w:pPr>
      <w:r>
        <w:t xml:space="preserve">2.3 KEBS CB shall allow access to both its own documents and Client-related data to Accreditation Authorities as relevant. </w:t>
      </w:r>
    </w:p>
    <w:p w:rsidR="00111601" w:rsidRDefault="00771569">
      <w:pPr>
        <w:ind w:left="715" w:right="-8"/>
      </w:pPr>
      <w:r>
        <w:t>2.4 KEBS CB shall inform the Client, in advance, of any proprietary information it intends to pl</w:t>
      </w:r>
      <w:r>
        <w:t xml:space="preserve">ace in the public domain. </w:t>
      </w:r>
      <w:proofErr w:type="gramStart"/>
      <w:r>
        <w:t>All but information that is publicly accessible by the Client</w:t>
      </w:r>
      <w:proofErr w:type="gramEnd"/>
      <w:r>
        <w:t xml:space="preserve"> shall be considered confidential. </w:t>
      </w:r>
    </w:p>
    <w:p w:rsidR="00111601" w:rsidRDefault="00771569">
      <w:pPr>
        <w:ind w:left="715" w:right="-8"/>
      </w:pPr>
      <w:r>
        <w:t xml:space="preserve">2.5 Information about the Client from sources other than the Client (e.g. complainants, regulators) </w:t>
      </w:r>
      <w:proofErr w:type="gramStart"/>
      <w:r>
        <w:t>shall be treated</w:t>
      </w:r>
      <w:proofErr w:type="gramEnd"/>
      <w:r>
        <w:t xml:space="preserve"> as confidential,</w:t>
      </w:r>
      <w:r>
        <w:t xml:space="preserve"> consistent with this Policy. </w:t>
      </w:r>
    </w:p>
    <w:p w:rsidR="00111601" w:rsidRDefault="00771569">
      <w:pPr>
        <w:ind w:left="715" w:right="-8"/>
      </w:pPr>
      <w:r>
        <w:t xml:space="preserve">2.6 All personnel, including committee members, technical experts, subcontracted/external bodies or individuals acting on behalf of the KEBS CB, shall keep confidential all information obtained or created during </w:t>
      </w:r>
      <w:r>
        <w:t xml:space="preserve">the certification activity. </w:t>
      </w:r>
    </w:p>
    <w:p w:rsidR="00111601" w:rsidRDefault="00771569">
      <w:pPr>
        <w:ind w:left="715" w:right="-8"/>
      </w:pPr>
      <w:r>
        <w:t xml:space="preserve">2.7 For issues at hand, declaration of interest </w:t>
      </w:r>
      <w:proofErr w:type="gramStart"/>
      <w:r>
        <w:t>shall be expressed</w:t>
      </w:r>
      <w:proofErr w:type="gramEnd"/>
      <w:r>
        <w:t xml:space="preserve"> using an appropriately designed form. All involved personnel (i.e. KEBS auditors, technical experts, subcontracted/external auditors, committee members and othe</w:t>
      </w:r>
      <w:r>
        <w:t xml:space="preserve">r associates as relevant) shall sign an undertaking committing them to comply with the confidentiality and independence requirements </w:t>
      </w:r>
    </w:p>
    <w:p w:rsidR="00111601" w:rsidRDefault="00771569">
      <w:pPr>
        <w:ind w:left="715" w:right="-8"/>
      </w:pPr>
      <w:r>
        <w:t>2.8 KEBS CB shall ensure there is adequate equipment and facilities for secure handling of confidential documents and reco</w:t>
      </w:r>
      <w:r>
        <w:t xml:space="preserve">rds for the certification activity. </w:t>
      </w:r>
    </w:p>
    <w:p w:rsidR="00111601" w:rsidRDefault="00771569">
      <w:pPr>
        <w:spacing w:after="19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11601" w:rsidRDefault="00771569">
      <w:pPr>
        <w:pStyle w:val="Heading1"/>
        <w:ind w:left="705" w:hanging="720"/>
      </w:pPr>
      <w:r>
        <w:t xml:space="preserve">Obligations of the Client </w:t>
      </w:r>
    </w:p>
    <w:p w:rsidR="00111601" w:rsidRDefault="00771569">
      <w:pPr>
        <w:ind w:left="-15" w:right="-8" w:firstLine="0"/>
      </w:pPr>
      <w:r>
        <w:t>The Client is obliged to maintain strict confidentiality about any information revealed within the terms of the Certification Contract as well as knowledge of matters relating to KEBS CB, it</w:t>
      </w:r>
      <w:r>
        <w:t xml:space="preserve">s employees and auditors. This obligation also applies after termination of the Contract. The Client similarly accepts the obligation on behalf of his auxiliary persons and associates. </w:t>
      </w:r>
    </w:p>
    <w:p w:rsidR="00111601" w:rsidRDefault="00771569">
      <w:pPr>
        <w:spacing w:after="70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5981065" cy="56388"/>
                <wp:effectExtent l="0" t="0" r="0" b="0"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</wpg:grpSpPr>
                      <wps:wsp>
                        <wps:cNvPr id="1764" name="Shape 1764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1" style="width:470.95pt;height:4.44pt;mso-position-horizontal-relative:char;mso-position-vertical-relative:line" coordsize="59810,563">
                <v:shape id="Shape 1766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622423"/>
                </v:shape>
                <v:shape id="Shape 1767" style="position:absolute;width:59810;height:91;left:0;top:472;" coordsize="5981065,9144" path="m0,0l5981065,0l5981065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</w:p>
    <w:p w:rsidR="00111601" w:rsidRDefault="00771569">
      <w:pPr>
        <w:tabs>
          <w:tab w:val="center" w:pos="9052"/>
        </w:tabs>
        <w:spacing w:after="22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18"/>
        </w:rPr>
        <w:t>CER/POL/02 REV.0              10 May 2019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Page 1 </w:t>
      </w:r>
    </w:p>
    <w:p w:rsidR="00111601" w:rsidRDefault="00771569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111601">
      <w:pgSz w:w="12240" w:h="15840"/>
      <w:pgMar w:top="1256" w:right="1155" w:bottom="13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6713C"/>
    <w:multiLevelType w:val="hybridMultilevel"/>
    <w:tmpl w:val="B2B2C666"/>
    <w:lvl w:ilvl="0" w:tplc="B3B49EB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218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027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C42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2F2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3445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1C58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456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6070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01"/>
    <w:rsid w:val="00111601"/>
    <w:rsid w:val="007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ACE94-24FC-4A36-B256-D955CE52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9" w:lineRule="auto"/>
      <w:ind w:left="1450" w:hanging="73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outac</dc:creator>
  <cp:keywords/>
  <cp:lastModifiedBy>Wangui Purity</cp:lastModifiedBy>
  <cp:revision>2</cp:revision>
  <dcterms:created xsi:type="dcterms:W3CDTF">2020-01-20T15:26:00Z</dcterms:created>
  <dcterms:modified xsi:type="dcterms:W3CDTF">2020-01-20T15:26:00Z</dcterms:modified>
</cp:coreProperties>
</file>