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04" w:type="dxa"/>
        <w:tblInd w:w="-108" w:type="dxa"/>
        <w:tblCellMar>
          <w:top w:w="0" w:type="dxa"/>
          <w:left w:w="17" w:type="dxa"/>
          <w:bottom w:w="235" w:type="dxa"/>
          <w:right w:w="115" w:type="dxa"/>
        </w:tblCellMar>
        <w:tblLook w:val="04A0" w:firstRow="1" w:lastRow="0" w:firstColumn="1" w:lastColumn="0" w:noHBand="0" w:noVBand="1"/>
      </w:tblPr>
      <w:tblGrid>
        <w:gridCol w:w="4271"/>
        <w:gridCol w:w="5433"/>
      </w:tblGrid>
      <w:tr w:rsidR="000B1985">
        <w:trPr>
          <w:trHeight w:val="1352"/>
        </w:trPr>
        <w:tc>
          <w:tcPr>
            <w:tcW w:w="4271" w:type="dxa"/>
            <w:tcBorders>
              <w:top w:val="single" w:sz="17" w:space="0" w:color="3366FF"/>
              <w:left w:val="single" w:sz="17" w:space="0" w:color="3366FF"/>
              <w:bottom w:val="single" w:sz="17" w:space="0" w:color="3366FF"/>
              <w:right w:val="single" w:sz="17" w:space="0" w:color="3366FF"/>
            </w:tcBorders>
            <w:vAlign w:val="bottom"/>
          </w:tcPr>
          <w:p w:rsidR="000B1985" w:rsidRDefault="006E7663">
            <w:pPr>
              <w:spacing w:after="0" w:line="259" w:lineRule="auto"/>
              <w:ind w:left="0" w:right="0" w:firstLine="0"/>
              <w:jc w:val="left"/>
            </w:pPr>
            <w:bookmarkStart w:id="0" w:name="_GoBack"/>
            <w:bookmarkEnd w:id="0"/>
            <w:r>
              <w:rPr>
                <w:noProof/>
              </w:rPr>
              <w:drawing>
                <wp:inline distT="0" distB="0" distL="0" distR="0">
                  <wp:extent cx="1104900" cy="63690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1104900" cy="636905"/>
                          </a:xfrm>
                          <a:prstGeom prst="rect">
                            <a:avLst/>
                          </a:prstGeom>
                        </pic:spPr>
                      </pic:pic>
                    </a:graphicData>
                  </a:graphic>
                </wp:inline>
              </w:drawing>
            </w:r>
            <w:r>
              <w:rPr>
                <w:rFonts w:ascii="Times New Roman" w:eastAsia="Times New Roman" w:hAnsi="Times New Roman" w:cs="Times New Roman"/>
                <w:b/>
                <w:i/>
                <w:color w:val="3366FF"/>
                <w:sz w:val="16"/>
              </w:rPr>
              <w:t xml:space="preserve"> </w:t>
            </w:r>
          </w:p>
        </w:tc>
        <w:tc>
          <w:tcPr>
            <w:tcW w:w="5433" w:type="dxa"/>
            <w:tcBorders>
              <w:top w:val="single" w:sz="17" w:space="0" w:color="3366FF"/>
              <w:left w:val="single" w:sz="17" w:space="0" w:color="3366FF"/>
              <w:bottom w:val="single" w:sz="17" w:space="0" w:color="3366FF"/>
              <w:right w:val="single" w:sz="17" w:space="0" w:color="3366FF"/>
            </w:tcBorders>
            <w:shd w:val="clear" w:color="auto" w:fill="0066CC"/>
            <w:vAlign w:val="center"/>
          </w:tcPr>
          <w:p w:rsidR="000B1985" w:rsidRDefault="006E7663">
            <w:pPr>
              <w:spacing w:after="239" w:line="259" w:lineRule="auto"/>
              <w:ind w:left="86" w:right="0" w:firstLine="0"/>
              <w:jc w:val="left"/>
            </w:pPr>
            <w:r>
              <w:rPr>
                <w:rFonts w:ascii="Franklin Gothic" w:eastAsia="Franklin Gothic" w:hAnsi="Franklin Gothic" w:cs="Franklin Gothic"/>
                <w:color w:val="FFFFFF"/>
                <w:sz w:val="36"/>
              </w:rPr>
              <w:t xml:space="preserve">Kenya Bureau of  </w:t>
            </w:r>
          </w:p>
          <w:p w:rsidR="000B1985" w:rsidRDefault="006E7663">
            <w:pPr>
              <w:spacing w:after="0" w:line="259" w:lineRule="auto"/>
              <w:ind w:left="86" w:right="0" w:firstLine="0"/>
              <w:jc w:val="left"/>
            </w:pPr>
            <w:r>
              <w:rPr>
                <w:rFonts w:ascii="Franklin Gothic" w:eastAsia="Franklin Gothic" w:hAnsi="Franklin Gothic" w:cs="Franklin Gothic"/>
                <w:color w:val="FFFFFF"/>
                <w:sz w:val="36"/>
              </w:rPr>
              <w:t>Standards</w:t>
            </w:r>
            <w:r>
              <w:rPr>
                <w:b/>
                <w:color w:val="FFFFFF"/>
                <w:sz w:val="36"/>
              </w:rPr>
              <w:t xml:space="preserve"> </w:t>
            </w:r>
          </w:p>
        </w:tc>
      </w:tr>
    </w:tbl>
    <w:p w:rsidR="000B1985" w:rsidRDefault="006E7663">
      <w:pPr>
        <w:spacing w:after="0" w:line="259" w:lineRule="auto"/>
        <w:ind w:left="0" w:right="206" w:firstLine="0"/>
        <w:jc w:val="center"/>
      </w:pPr>
      <w:r>
        <w:rPr>
          <w:b/>
          <w:sz w:val="28"/>
        </w:rPr>
        <w:t xml:space="preserve"> </w:t>
      </w:r>
    </w:p>
    <w:p w:rsidR="000B1985" w:rsidRDefault="006E7663">
      <w:pPr>
        <w:spacing w:after="0" w:line="259" w:lineRule="auto"/>
        <w:ind w:left="10" w:right="11"/>
        <w:jc w:val="center"/>
      </w:pPr>
      <w:r>
        <w:rPr>
          <w:b/>
          <w:sz w:val="28"/>
        </w:rPr>
        <w:t xml:space="preserve">KENYA BUREAU OF STANDARDS CERTIFICATION BODY </w:t>
      </w:r>
    </w:p>
    <w:p w:rsidR="000B1985" w:rsidRDefault="006E7663">
      <w:pPr>
        <w:spacing w:after="0" w:line="259" w:lineRule="auto"/>
        <w:ind w:left="72" w:right="0" w:firstLine="0"/>
        <w:jc w:val="center"/>
      </w:pPr>
      <w:r>
        <w:rPr>
          <w:b/>
          <w:sz w:val="28"/>
        </w:rPr>
        <w:t xml:space="preserve"> </w:t>
      </w:r>
    </w:p>
    <w:p w:rsidR="000B1985" w:rsidRDefault="006E7663">
      <w:pPr>
        <w:spacing w:after="0" w:line="259" w:lineRule="auto"/>
        <w:ind w:left="10" w:right="10"/>
        <w:jc w:val="center"/>
      </w:pPr>
      <w:r>
        <w:rPr>
          <w:b/>
          <w:sz w:val="28"/>
        </w:rPr>
        <w:t xml:space="preserve">CER/POL/03:   Policy on certification fees and terms of payment  </w:t>
      </w:r>
    </w:p>
    <w:p w:rsidR="000B1985" w:rsidRDefault="006E7663">
      <w:pPr>
        <w:spacing w:after="0" w:line="259" w:lineRule="auto"/>
        <w:ind w:left="72" w:right="0" w:firstLine="0"/>
        <w:jc w:val="center"/>
      </w:pPr>
      <w:r>
        <w:rPr>
          <w:b/>
          <w:sz w:val="28"/>
        </w:rPr>
        <w:t xml:space="preserve"> </w:t>
      </w:r>
    </w:p>
    <w:p w:rsidR="000B1985" w:rsidRDefault="006E7663">
      <w:pPr>
        <w:pStyle w:val="Heading1"/>
        <w:ind w:left="705" w:hanging="720"/>
      </w:pPr>
      <w:r>
        <w:t xml:space="preserve">Introduction </w:t>
      </w:r>
    </w:p>
    <w:p w:rsidR="000B1985" w:rsidRDefault="006E7663">
      <w:pPr>
        <w:ind w:right="0"/>
      </w:pPr>
      <w:r>
        <w:t xml:space="preserve">This policy </w:t>
      </w:r>
      <w:r>
        <w:t xml:space="preserve">defines the basis of determination of fees payable by the Clients to the Kenya Bureau of Standards Certification Body (KEBS CB). The policy also covers the terms of payment.  </w:t>
      </w:r>
    </w:p>
    <w:p w:rsidR="000B1985" w:rsidRDefault="006E7663">
      <w:pPr>
        <w:spacing w:after="35" w:line="259" w:lineRule="auto"/>
        <w:ind w:left="0" w:right="0" w:firstLine="0"/>
        <w:jc w:val="left"/>
      </w:pPr>
      <w:r>
        <w:t xml:space="preserve"> </w:t>
      </w:r>
    </w:p>
    <w:p w:rsidR="000B1985" w:rsidRDefault="006E7663">
      <w:pPr>
        <w:pStyle w:val="Heading1"/>
        <w:ind w:left="705" w:hanging="720"/>
      </w:pPr>
      <w:r>
        <w:t xml:space="preserve">General </w:t>
      </w:r>
    </w:p>
    <w:p w:rsidR="000B1985" w:rsidRDefault="006E7663">
      <w:pPr>
        <w:ind w:left="705" w:right="0" w:hanging="720"/>
      </w:pPr>
      <w:r>
        <w:rPr>
          <w:sz w:val="20"/>
        </w:rPr>
        <w:t xml:space="preserve">2.1 </w:t>
      </w:r>
      <w:r>
        <w:t xml:space="preserve">Audit fees are based on auditor </w:t>
      </w:r>
      <w:proofErr w:type="gramStart"/>
      <w:r>
        <w:t>time which</w:t>
      </w:r>
      <w:proofErr w:type="gramEnd"/>
      <w:r>
        <w:t xml:space="preserve"> is calculated based on</w:t>
      </w:r>
      <w:r>
        <w:t xml:space="preserve"> the requirements in International Accreditation Forum (IAF) document: IAF MD5</w:t>
      </w:r>
      <w:r>
        <w:rPr>
          <w:i/>
        </w:rPr>
        <w:t xml:space="preserve"> (Mandatory</w:t>
      </w:r>
      <w:r>
        <w:t xml:space="preserve"> </w:t>
      </w:r>
      <w:r>
        <w:rPr>
          <w:i/>
        </w:rPr>
        <w:t xml:space="preserve">document for the determination of audit time of QMS and EMS audits) </w:t>
      </w:r>
      <w:r>
        <w:t>and ISO/TS 22003 (</w:t>
      </w:r>
      <w:r>
        <w:rPr>
          <w:i/>
        </w:rPr>
        <w:t>Food safety management systems – requirements for bodies providing audit and cer</w:t>
      </w:r>
      <w:r>
        <w:rPr>
          <w:i/>
        </w:rPr>
        <w:t>tification of food safety management systems</w:t>
      </w:r>
      <w:r>
        <w:t xml:space="preserve">). Consideration </w:t>
      </w:r>
      <w:proofErr w:type="gramStart"/>
      <w:r>
        <w:t>is also made</w:t>
      </w:r>
      <w:proofErr w:type="gramEnd"/>
      <w:r>
        <w:t xml:space="preserve"> to ISO 17023 (</w:t>
      </w:r>
      <w:r>
        <w:rPr>
          <w:i/>
        </w:rPr>
        <w:t>Guidelines for determining the duration of management system certification audits</w:t>
      </w:r>
      <w:r>
        <w:t>) MD 22 for Occupational Health and Safety MD 11 for Integrated Management System and I</w:t>
      </w:r>
      <w:r>
        <w:t xml:space="preserve">SO/IEC 27006 for ISMS. </w:t>
      </w:r>
    </w:p>
    <w:p w:rsidR="000B1985" w:rsidRDefault="006E7663">
      <w:pPr>
        <w:spacing w:after="14" w:line="259" w:lineRule="auto"/>
        <w:ind w:left="0" w:right="0" w:firstLine="0"/>
        <w:jc w:val="left"/>
      </w:pPr>
      <w:r>
        <w:rPr>
          <w:i/>
        </w:rPr>
        <w:t xml:space="preserve"> </w:t>
      </w:r>
    </w:p>
    <w:p w:rsidR="000B1985" w:rsidRDefault="006E7663">
      <w:pPr>
        <w:ind w:right="0"/>
      </w:pPr>
      <w:r>
        <w:rPr>
          <w:b/>
        </w:rPr>
        <w:t>Note:</w:t>
      </w:r>
      <w:r>
        <w:rPr>
          <w:i/>
        </w:rPr>
        <w:t xml:space="preserve"> </w:t>
      </w:r>
      <w:r>
        <w:t xml:space="preserve">IAF MD documents may be downloaded </w:t>
      </w:r>
      <w:proofErr w:type="gramStart"/>
      <w:r>
        <w:t>for free</w:t>
      </w:r>
      <w:proofErr w:type="gramEnd"/>
      <w:r>
        <w:t xml:space="preserve"> from the IAF website, </w:t>
      </w:r>
      <w:hyperlink r:id="rId6">
        <w:r>
          <w:rPr>
            <w:color w:val="0000FF"/>
            <w:u w:val="single" w:color="0000FF"/>
          </w:rPr>
          <w:t>www.iaf.nu</w:t>
        </w:r>
      </w:hyperlink>
      <w:hyperlink r:id="rId7">
        <w:r>
          <w:t>.</w:t>
        </w:r>
      </w:hyperlink>
      <w:r>
        <w:t xml:space="preserve"> </w:t>
      </w:r>
    </w:p>
    <w:p w:rsidR="000B1985" w:rsidRDefault="006E7663">
      <w:pPr>
        <w:spacing w:after="16" w:line="259" w:lineRule="auto"/>
        <w:ind w:left="720" w:right="0" w:firstLine="0"/>
        <w:jc w:val="left"/>
      </w:pPr>
      <w:r>
        <w:t xml:space="preserve"> </w:t>
      </w:r>
    </w:p>
    <w:p w:rsidR="000B1985" w:rsidRDefault="006E7663">
      <w:pPr>
        <w:tabs>
          <w:tab w:val="center" w:pos="4921"/>
        </w:tabs>
        <w:ind w:left="-15" w:right="0" w:firstLine="0"/>
        <w:jc w:val="left"/>
      </w:pPr>
      <w:r>
        <w:t xml:space="preserve">2.2 </w:t>
      </w:r>
      <w:r>
        <w:tab/>
      </w:r>
      <w:r>
        <w:t xml:space="preserve">Fees for personnel certification </w:t>
      </w:r>
      <w:proofErr w:type="gramStart"/>
      <w:r>
        <w:t>are based</w:t>
      </w:r>
      <w:proofErr w:type="gramEnd"/>
      <w:r>
        <w:t xml:space="preserve"> on the scope of certification of the applicant.  </w:t>
      </w:r>
    </w:p>
    <w:p w:rsidR="000B1985" w:rsidRDefault="006E7663">
      <w:pPr>
        <w:spacing w:after="16" w:line="259" w:lineRule="auto"/>
        <w:ind w:left="0" w:right="0" w:firstLine="0"/>
        <w:jc w:val="left"/>
      </w:pPr>
      <w:r>
        <w:t xml:space="preserve"> </w:t>
      </w:r>
    </w:p>
    <w:p w:rsidR="000B1985" w:rsidRDefault="006E7663">
      <w:pPr>
        <w:ind w:left="705" w:right="0" w:hanging="720"/>
      </w:pPr>
      <w:r>
        <w:t>2.3 Fees for KEBSTQM Software are based on the number of user licenses requested and the desired number of con-</w:t>
      </w:r>
      <w:r>
        <w:t xml:space="preserve">current users, over and above the cost of buying the </w:t>
      </w:r>
      <w:proofErr w:type="gramStart"/>
      <w:r>
        <w:t>software which includes the cost of installation</w:t>
      </w:r>
      <w:proofErr w:type="gramEnd"/>
      <w:r>
        <w:t xml:space="preserve"> and training of a maximum of 5 key personnel.   </w:t>
      </w:r>
    </w:p>
    <w:p w:rsidR="000B1985" w:rsidRDefault="006E7663">
      <w:pPr>
        <w:spacing w:after="16" w:line="259" w:lineRule="auto"/>
        <w:ind w:left="0" w:right="0" w:firstLine="0"/>
        <w:jc w:val="left"/>
      </w:pPr>
      <w:r>
        <w:t xml:space="preserve"> </w:t>
      </w:r>
    </w:p>
    <w:p w:rsidR="000B1985" w:rsidRDefault="006E7663">
      <w:pPr>
        <w:tabs>
          <w:tab w:val="center" w:pos="3350"/>
        </w:tabs>
        <w:ind w:left="-15" w:right="0" w:firstLine="0"/>
        <w:jc w:val="left"/>
      </w:pPr>
      <w:r>
        <w:t xml:space="preserve">2.4 </w:t>
      </w:r>
      <w:r>
        <w:tab/>
        <w:t xml:space="preserve">Individual cost estimates are prepared for each Client.   </w:t>
      </w:r>
    </w:p>
    <w:p w:rsidR="000B1985" w:rsidRDefault="006E7663">
      <w:pPr>
        <w:spacing w:after="19" w:line="259" w:lineRule="auto"/>
        <w:ind w:left="0" w:right="0" w:firstLine="0"/>
        <w:jc w:val="left"/>
      </w:pPr>
      <w:r>
        <w:t xml:space="preserve"> </w:t>
      </w:r>
    </w:p>
    <w:p w:rsidR="000B1985" w:rsidRDefault="006E7663">
      <w:pPr>
        <w:ind w:left="705" w:right="0" w:hanging="720"/>
      </w:pPr>
      <w:r>
        <w:t>2.5 Where applicable the client is al</w:t>
      </w:r>
      <w:r>
        <w:t xml:space="preserve">so charged subsistence and transport costs which are directly associated with the specific activity. All associated fees </w:t>
      </w:r>
      <w:proofErr w:type="gramStart"/>
      <w:r>
        <w:t>shall be notified to the Client in advance and mutually agreed</w:t>
      </w:r>
      <w:proofErr w:type="gramEnd"/>
      <w:r>
        <w:t xml:space="preserve">. </w:t>
      </w:r>
    </w:p>
    <w:p w:rsidR="000B1985" w:rsidRDefault="006E7663">
      <w:pPr>
        <w:spacing w:after="37" w:line="259" w:lineRule="auto"/>
        <w:ind w:left="0" w:right="0" w:firstLine="0"/>
        <w:jc w:val="left"/>
      </w:pPr>
      <w:r>
        <w:t xml:space="preserve"> </w:t>
      </w:r>
    </w:p>
    <w:p w:rsidR="000B1985" w:rsidRDefault="006E7663">
      <w:pPr>
        <w:pStyle w:val="Heading1"/>
        <w:ind w:left="705" w:hanging="720"/>
      </w:pPr>
      <w:r>
        <w:t xml:space="preserve">Application Fees </w:t>
      </w:r>
    </w:p>
    <w:p w:rsidR="000B1985" w:rsidRDefault="006E7663">
      <w:pPr>
        <w:tabs>
          <w:tab w:val="center" w:pos="3173"/>
        </w:tabs>
        <w:ind w:left="-15" w:right="0" w:firstLine="0"/>
        <w:jc w:val="left"/>
      </w:pPr>
      <w:r>
        <w:t xml:space="preserve">  </w:t>
      </w:r>
      <w:r>
        <w:tab/>
        <w:t xml:space="preserve">Application fees are </w:t>
      </w:r>
      <w:r>
        <w:t xml:space="preserve">fixed and payable in advance. </w:t>
      </w:r>
    </w:p>
    <w:p w:rsidR="000B1985" w:rsidRDefault="006E7663">
      <w:pPr>
        <w:spacing w:after="16" w:line="259" w:lineRule="auto"/>
        <w:ind w:left="0" w:right="0" w:firstLine="0"/>
        <w:jc w:val="left"/>
      </w:pPr>
      <w:r>
        <w:t xml:space="preserve"> </w:t>
      </w:r>
    </w:p>
    <w:p w:rsidR="000B1985" w:rsidRDefault="006E7663">
      <w:pPr>
        <w:spacing w:after="16" w:line="259" w:lineRule="auto"/>
        <w:ind w:left="0" w:right="0" w:firstLine="0"/>
        <w:jc w:val="left"/>
      </w:pPr>
      <w:r>
        <w:t xml:space="preserve"> </w:t>
      </w:r>
    </w:p>
    <w:p w:rsidR="000B1985" w:rsidRDefault="006E7663">
      <w:pPr>
        <w:spacing w:after="0" w:line="259" w:lineRule="auto"/>
        <w:ind w:left="0" w:right="0" w:firstLine="0"/>
        <w:jc w:val="left"/>
      </w:pPr>
      <w:r>
        <w:t xml:space="preserve"> </w:t>
      </w:r>
    </w:p>
    <w:p w:rsidR="000B1985" w:rsidRDefault="006E7663">
      <w:pPr>
        <w:spacing w:after="70" w:line="259" w:lineRule="auto"/>
        <w:ind w:left="-29" w:right="0" w:firstLine="0"/>
        <w:jc w:val="left"/>
      </w:pPr>
      <w:r>
        <w:rPr>
          <w:rFonts w:ascii="Calibri" w:eastAsia="Calibri" w:hAnsi="Calibri" w:cs="Calibri"/>
          <w:noProof/>
        </w:rPr>
        <mc:AlternateContent>
          <mc:Choice Requires="wpg">
            <w:drawing>
              <wp:inline distT="0" distB="0" distL="0" distR="0">
                <wp:extent cx="5981065" cy="56388"/>
                <wp:effectExtent l="0" t="0" r="0" b="0"/>
                <wp:docPr id="2475" name="Group 247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963" name="Shape 296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64" name="Shape 296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2475" style="width:470.95pt;height:4.44pt;mso-position-horizontal-relative:char;mso-position-vertical-relative:line" coordsize="59810,563">
                <v:shape id="Shape 2965" style="position:absolute;width:59810;height:381;left:0;top:0;" coordsize="5981065,38100" path="m0,0l5981065,0l5981065,38100l0,38100l0,0">
                  <v:stroke weight="0pt" endcap="flat" joinstyle="miter" miterlimit="10" on="false" color="#000000" opacity="0"/>
                  <v:fill on="true" color="#622423"/>
                </v:shape>
                <v:shape id="Shape 2966" style="position:absolute;width:59810;height:91;left:0;top:472;" coordsize="5981065,9144" path="m0,0l5981065,0l5981065,9144l0,9144l0,0">
                  <v:stroke weight="0pt" endcap="flat" joinstyle="miter" miterlimit="10" on="false" color="#000000" opacity="0"/>
                  <v:fill on="true" color="#622423"/>
                </v:shape>
              </v:group>
            </w:pict>
          </mc:Fallback>
        </mc:AlternateContent>
      </w:r>
    </w:p>
    <w:p w:rsidR="000B1985" w:rsidRDefault="006E7663">
      <w:pPr>
        <w:tabs>
          <w:tab w:val="center" w:pos="9052"/>
        </w:tabs>
        <w:spacing w:after="225" w:line="259" w:lineRule="auto"/>
        <w:ind w:left="-15" w:right="0" w:firstLine="0"/>
        <w:jc w:val="left"/>
      </w:pPr>
      <w:r>
        <w:rPr>
          <w:rFonts w:ascii="Times New Roman" w:eastAsia="Times New Roman" w:hAnsi="Times New Roman" w:cs="Times New Roman"/>
          <w:i/>
          <w:sz w:val="18"/>
        </w:rPr>
        <w:t>CER/POL/03 REV.01 2019-05-10</w:t>
      </w:r>
      <w:r>
        <w:rPr>
          <w:rFonts w:ascii="Cambria" w:eastAsia="Cambria" w:hAnsi="Cambria" w:cs="Cambria"/>
        </w:rPr>
        <w:t xml:space="preserve"> </w:t>
      </w:r>
      <w:r>
        <w:rPr>
          <w:rFonts w:ascii="Cambria" w:eastAsia="Cambria" w:hAnsi="Cambria" w:cs="Cambria"/>
        </w:rPr>
        <w:tab/>
        <w:t xml:space="preserve">Page 1 </w:t>
      </w:r>
    </w:p>
    <w:p w:rsidR="000B1985" w:rsidRDefault="006E7663">
      <w:pPr>
        <w:spacing w:after="0" w:line="259" w:lineRule="auto"/>
        <w:ind w:left="0" w:right="0" w:firstLine="0"/>
        <w:jc w:val="left"/>
      </w:pPr>
      <w:r>
        <w:rPr>
          <w:rFonts w:ascii="Calibri" w:eastAsia="Calibri" w:hAnsi="Calibri" w:cs="Calibri"/>
        </w:rPr>
        <w:t xml:space="preserve"> </w:t>
      </w:r>
    </w:p>
    <w:p w:rsidR="000B1985" w:rsidRDefault="006E7663">
      <w:pPr>
        <w:pStyle w:val="Heading1"/>
        <w:ind w:left="705" w:hanging="720"/>
      </w:pPr>
      <w:r>
        <w:lastRenderedPageBreak/>
        <w:t>Audit Fees</w:t>
      </w:r>
      <w:r>
        <w:rPr>
          <w:sz w:val="22"/>
        </w:rPr>
        <w:t xml:space="preserve"> </w:t>
      </w:r>
    </w:p>
    <w:p w:rsidR="000B1985" w:rsidRDefault="006E7663">
      <w:pPr>
        <w:ind w:left="705" w:right="0" w:hanging="720"/>
      </w:pPr>
      <w:r>
        <w:rPr>
          <w:sz w:val="20"/>
        </w:rPr>
        <w:t xml:space="preserve">4.1 </w:t>
      </w:r>
      <w:r>
        <w:t xml:space="preserve">Audit fees (charged at the KEBS CB prevailing rate) </w:t>
      </w:r>
      <w:proofErr w:type="gramStart"/>
      <w:r>
        <w:t>shall be invoiced</w:t>
      </w:r>
      <w:proofErr w:type="gramEnd"/>
      <w:r>
        <w:t xml:space="preserve"> before each certification stage as these depend on the duration of the activity. </w:t>
      </w:r>
    </w:p>
    <w:p w:rsidR="000B1985" w:rsidRDefault="006E7663">
      <w:pPr>
        <w:tabs>
          <w:tab w:val="center" w:pos="720"/>
        </w:tabs>
        <w:ind w:left="-15" w:right="0" w:firstLine="0"/>
        <w:jc w:val="left"/>
      </w:pPr>
      <w:r>
        <w:t xml:space="preserve">4.2 </w:t>
      </w:r>
      <w:r>
        <w:tab/>
        <w:t xml:space="preserve"> </w:t>
      </w:r>
    </w:p>
    <w:p w:rsidR="000B1985" w:rsidRDefault="006E7663">
      <w:pPr>
        <w:spacing w:after="37" w:line="259" w:lineRule="auto"/>
        <w:ind w:left="0" w:right="0" w:firstLine="0"/>
        <w:jc w:val="left"/>
      </w:pPr>
      <w:r>
        <w:t xml:space="preserve"> </w:t>
      </w:r>
    </w:p>
    <w:p w:rsidR="000B1985" w:rsidRDefault="006E7663">
      <w:pPr>
        <w:pStyle w:val="Heading1"/>
        <w:ind w:left="705" w:hanging="720"/>
      </w:pPr>
      <w:r>
        <w:t>Travel and Subsistence</w:t>
      </w:r>
      <w:r>
        <w:rPr>
          <w:sz w:val="22"/>
        </w:rPr>
        <w:t xml:space="preserve"> </w:t>
      </w:r>
    </w:p>
    <w:p w:rsidR="000B1985" w:rsidRDefault="006E7663">
      <w:pPr>
        <w:ind w:left="705" w:right="0" w:hanging="720"/>
      </w:pPr>
      <w:proofErr w:type="gramStart"/>
      <w:r>
        <w:t>5.1  In</w:t>
      </w:r>
      <w:proofErr w:type="gramEnd"/>
      <w:r>
        <w:t xml:space="preserve"> addition to fees, per diem (subsistence) and travelling expenses are charged as applicable. This is specifically for activities carried out outside Nairobi. Included in the subsistence cost is one extra day for traveling </w:t>
      </w:r>
    </w:p>
    <w:p w:rsidR="000B1985" w:rsidRDefault="006E7663">
      <w:pPr>
        <w:spacing w:after="16" w:line="259" w:lineRule="auto"/>
        <w:ind w:left="0" w:right="0" w:firstLine="0"/>
        <w:jc w:val="left"/>
      </w:pPr>
      <w:r>
        <w:t xml:space="preserve"> </w:t>
      </w:r>
    </w:p>
    <w:p w:rsidR="000B1985" w:rsidRDefault="006E7663">
      <w:pPr>
        <w:tabs>
          <w:tab w:val="center" w:pos="2836"/>
        </w:tabs>
        <w:ind w:left="-15" w:right="0" w:firstLine="0"/>
        <w:jc w:val="left"/>
      </w:pPr>
      <w:r>
        <w:t xml:space="preserve">5.2 </w:t>
      </w:r>
      <w:r>
        <w:tab/>
        <w:t xml:space="preserve">The travel cost </w:t>
      </w:r>
      <w:proofErr w:type="gramStart"/>
      <w:r>
        <w:t>is based</w:t>
      </w:r>
      <w:proofErr w:type="gramEnd"/>
      <w:r>
        <w:t xml:space="preserve"> on each return trip: </w:t>
      </w:r>
    </w:p>
    <w:p w:rsidR="000B1985" w:rsidRDefault="006E7663">
      <w:pPr>
        <w:ind w:left="665" w:right="81"/>
      </w:pPr>
      <w:proofErr w:type="spellStart"/>
      <w:r>
        <w:rPr>
          <w:sz w:val="20"/>
        </w:rPr>
        <w:t>i</w:t>
      </w:r>
      <w:proofErr w:type="spellEnd"/>
      <w:r>
        <w:rPr>
          <w:sz w:val="20"/>
        </w:rPr>
        <w:t xml:space="preserve">) </w:t>
      </w:r>
      <w:r>
        <w:rPr>
          <w:sz w:val="20"/>
        </w:rPr>
        <w:tab/>
      </w:r>
      <w:r>
        <w:t xml:space="preserve">Road transport </w:t>
      </w:r>
      <w:proofErr w:type="gramStart"/>
      <w:r>
        <w:t>is charged</w:t>
      </w:r>
      <w:proofErr w:type="gramEnd"/>
      <w:r>
        <w:t xml:space="preserve"> per km at the approved Automobile Association (AA) rate.  </w:t>
      </w:r>
      <w:r>
        <w:rPr>
          <w:sz w:val="20"/>
        </w:rPr>
        <w:t xml:space="preserve">ii) </w:t>
      </w:r>
      <w:r>
        <w:rPr>
          <w:sz w:val="20"/>
        </w:rPr>
        <w:tab/>
      </w:r>
      <w:r>
        <w:t xml:space="preserve">Air transport </w:t>
      </w:r>
      <w:proofErr w:type="gramStart"/>
      <w:r>
        <w:t>is charged</w:t>
      </w:r>
      <w:proofErr w:type="gramEnd"/>
      <w:r>
        <w:t xml:space="preserve">, where applicable, at the prevailing rate.    </w:t>
      </w:r>
    </w:p>
    <w:p w:rsidR="000B1985" w:rsidRDefault="006E7663">
      <w:pPr>
        <w:ind w:left="1080" w:right="0" w:hanging="470"/>
      </w:pPr>
      <w:proofErr w:type="gramStart"/>
      <w:r>
        <w:rPr>
          <w:sz w:val="20"/>
        </w:rPr>
        <w:t xml:space="preserve">iii) </w:t>
      </w:r>
      <w:r>
        <w:t>For international payments</w:t>
      </w:r>
      <w:proofErr w:type="gramEnd"/>
      <w:r>
        <w:t xml:space="preserve"> the cer</w:t>
      </w:r>
      <w:r>
        <w:t xml:space="preserve">tification officer shall consider the terms and conditions applicable especially on tax retention and work permit fees.  </w:t>
      </w:r>
    </w:p>
    <w:p w:rsidR="000B1985" w:rsidRDefault="006E7663">
      <w:pPr>
        <w:spacing w:after="14" w:line="259" w:lineRule="auto"/>
        <w:ind w:left="811" w:right="0" w:firstLine="0"/>
        <w:jc w:val="left"/>
      </w:pPr>
      <w:r>
        <w:t xml:space="preserve"> </w:t>
      </w:r>
    </w:p>
    <w:p w:rsidR="000B1985" w:rsidRDefault="006E7663">
      <w:pPr>
        <w:spacing w:after="42" w:line="259" w:lineRule="auto"/>
        <w:ind w:left="0" w:right="0" w:firstLine="0"/>
        <w:jc w:val="left"/>
      </w:pPr>
      <w:r>
        <w:rPr>
          <w:b/>
        </w:rPr>
        <w:t xml:space="preserve"> </w:t>
      </w:r>
    </w:p>
    <w:p w:rsidR="000B1985" w:rsidRDefault="006E7663">
      <w:pPr>
        <w:pStyle w:val="Heading1"/>
        <w:ind w:left="705" w:hanging="720"/>
      </w:pPr>
      <w:r>
        <w:t>Terms of Payment</w:t>
      </w:r>
      <w:r>
        <w:rPr>
          <w:sz w:val="22"/>
        </w:rPr>
        <w:t xml:space="preserve"> </w:t>
      </w:r>
    </w:p>
    <w:p w:rsidR="000B1985" w:rsidRDefault="006E7663">
      <w:pPr>
        <w:ind w:left="705" w:right="0" w:hanging="720"/>
      </w:pPr>
      <w:r>
        <w:t xml:space="preserve">6.1 Where the client does not have an account with KEBS, they shall make a formal request and fill the </w:t>
      </w:r>
      <w:proofErr w:type="gramStart"/>
      <w:r>
        <w:t>credit fa</w:t>
      </w:r>
      <w:r>
        <w:t>cility appraisal form-KEB/FIN/OP/05</w:t>
      </w:r>
      <w:proofErr w:type="gramEnd"/>
      <w:r>
        <w:t xml:space="preserve">. The request </w:t>
      </w:r>
      <w:proofErr w:type="gramStart"/>
      <w:r>
        <w:t>shall be considered</w:t>
      </w:r>
      <w:proofErr w:type="gramEnd"/>
      <w:r>
        <w:t xml:space="preserve"> and a decision on whether to open a client account. Once the account has been opened, the KEBS CB shall accept Orders from the </w:t>
      </w:r>
      <w:proofErr w:type="gramStart"/>
      <w:r>
        <w:t>client which</w:t>
      </w:r>
      <w:proofErr w:type="gramEnd"/>
      <w:r>
        <w:t xml:space="preserve"> shall be due for payment within 30 days of the </w:t>
      </w:r>
      <w:r>
        <w:t xml:space="preserve">date of invoice.  </w:t>
      </w:r>
    </w:p>
    <w:p w:rsidR="000B1985" w:rsidRDefault="006E7663">
      <w:pPr>
        <w:spacing w:after="16" w:line="259" w:lineRule="auto"/>
        <w:ind w:left="0" w:right="0" w:firstLine="0"/>
        <w:jc w:val="left"/>
      </w:pPr>
      <w:r>
        <w:t xml:space="preserve"> </w:t>
      </w:r>
    </w:p>
    <w:p w:rsidR="000B1985" w:rsidRDefault="006E7663">
      <w:pPr>
        <w:tabs>
          <w:tab w:val="center" w:pos="4146"/>
        </w:tabs>
        <w:ind w:left="-15" w:right="0" w:firstLine="0"/>
        <w:jc w:val="left"/>
      </w:pPr>
      <w:r>
        <w:t xml:space="preserve">6.2 </w:t>
      </w:r>
      <w:r>
        <w:tab/>
        <w:t xml:space="preserve">If the client does not have an account, payment </w:t>
      </w:r>
      <w:proofErr w:type="gramStart"/>
      <w:r>
        <w:t>shall be made</w:t>
      </w:r>
      <w:proofErr w:type="gramEnd"/>
      <w:r>
        <w:t xml:space="preserve"> upfront. </w:t>
      </w:r>
    </w:p>
    <w:p w:rsidR="000B1985" w:rsidRDefault="006E7663">
      <w:pPr>
        <w:spacing w:after="19" w:line="259" w:lineRule="auto"/>
        <w:ind w:left="0" w:right="0" w:firstLine="0"/>
        <w:jc w:val="left"/>
      </w:pPr>
      <w:r>
        <w:t xml:space="preserve"> </w:t>
      </w:r>
    </w:p>
    <w:p w:rsidR="000B1985" w:rsidRDefault="006E7663">
      <w:pPr>
        <w:tabs>
          <w:tab w:val="center" w:pos="4853"/>
        </w:tabs>
        <w:ind w:left="-15" w:right="0" w:firstLine="0"/>
        <w:jc w:val="left"/>
      </w:pPr>
      <w:r>
        <w:t xml:space="preserve">6.3 </w:t>
      </w:r>
      <w:r>
        <w:tab/>
        <w:t xml:space="preserve">Failure to pay invoices as per agreed terms may result in a revocation of certification. </w:t>
      </w:r>
    </w:p>
    <w:p w:rsidR="000B1985" w:rsidRDefault="006E7663">
      <w:pPr>
        <w:spacing w:after="38" w:line="259" w:lineRule="auto"/>
        <w:ind w:left="0" w:right="0" w:firstLine="0"/>
        <w:jc w:val="left"/>
      </w:pPr>
      <w:r>
        <w:rPr>
          <w:b/>
        </w:rPr>
        <w:t xml:space="preserve"> </w:t>
      </w:r>
    </w:p>
    <w:p w:rsidR="000B1985" w:rsidRDefault="006E7663">
      <w:pPr>
        <w:pStyle w:val="Heading1"/>
        <w:ind w:left="705" w:hanging="720"/>
      </w:pPr>
      <w:r>
        <w:t xml:space="preserve">Change of Fees </w:t>
      </w:r>
    </w:p>
    <w:p w:rsidR="000B1985" w:rsidRDefault="006E7663">
      <w:pPr>
        <w:ind w:right="0"/>
      </w:pPr>
      <w:r>
        <w:t xml:space="preserve">Whenever the KEBS CB </w:t>
      </w:r>
      <w:r>
        <w:t xml:space="preserve">wishes to alter the fees, a written notification </w:t>
      </w:r>
      <w:proofErr w:type="gramStart"/>
      <w:r>
        <w:t>shall be sent</w:t>
      </w:r>
      <w:proofErr w:type="gramEnd"/>
      <w:r>
        <w:t xml:space="preserve"> to the Client at least two calendar months before the implementation of the changes. </w:t>
      </w:r>
    </w:p>
    <w:p w:rsidR="000B1985" w:rsidRDefault="006E7663">
      <w:pPr>
        <w:spacing w:after="16" w:line="259" w:lineRule="auto"/>
        <w:ind w:left="0" w:right="0" w:firstLine="0"/>
        <w:jc w:val="left"/>
      </w:pPr>
      <w:r>
        <w:rPr>
          <w:b/>
        </w:rPr>
        <w:t xml:space="preserve"> </w:t>
      </w:r>
    </w:p>
    <w:p w:rsidR="000B1985" w:rsidRDefault="006E7663">
      <w:pPr>
        <w:spacing w:after="16" w:line="259" w:lineRule="auto"/>
        <w:ind w:left="0" w:right="0" w:firstLine="0"/>
        <w:jc w:val="left"/>
      </w:pPr>
      <w:r>
        <w:rPr>
          <w:b/>
        </w:rPr>
        <w:t xml:space="preserve"> </w:t>
      </w:r>
    </w:p>
    <w:p w:rsidR="000B1985" w:rsidRDefault="006E7663">
      <w:pPr>
        <w:spacing w:after="19" w:line="259" w:lineRule="auto"/>
        <w:ind w:left="0" w:right="0" w:firstLine="0"/>
        <w:jc w:val="left"/>
      </w:pPr>
      <w:r>
        <w:rPr>
          <w:b/>
        </w:rPr>
        <w:t xml:space="preserve"> </w:t>
      </w:r>
    </w:p>
    <w:p w:rsidR="000B1985" w:rsidRDefault="006E7663">
      <w:pPr>
        <w:spacing w:after="23" w:line="259" w:lineRule="auto"/>
        <w:ind w:left="0" w:right="0" w:firstLine="0"/>
        <w:jc w:val="left"/>
      </w:pPr>
      <w:r>
        <w:rPr>
          <w:i/>
        </w:rPr>
        <w:t xml:space="preserve"> </w:t>
      </w:r>
    </w:p>
    <w:p w:rsidR="000B1985" w:rsidRDefault="006E7663">
      <w:pPr>
        <w:spacing w:after="2163" w:line="259" w:lineRule="auto"/>
        <w:ind w:left="0" w:right="0" w:firstLine="0"/>
        <w:jc w:val="left"/>
      </w:pPr>
      <w:r>
        <w:rPr>
          <w:rFonts w:ascii="Calibri" w:eastAsia="Calibri" w:hAnsi="Calibri" w:cs="Calibri"/>
        </w:rPr>
        <w:t xml:space="preserve"> </w:t>
      </w:r>
    </w:p>
    <w:p w:rsidR="000B1985" w:rsidRDefault="006E7663">
      <w:pPr>
        <w:spacing w:after="70" w:line="259" w:lineRule="auto"/>
        <w:ind w:left="-29" w:right="0" w:firstLine="0"/>
        <w:jc w:val="left"/>
      </w:pPr>
      <w:r>
        <w:rPr>
          <w:rFonts w:ascii="Calibri" w:eastAsia="Calibri" w:hAnsi="Calibri" w:cs="Calibri"/>
          <w:noProof/>
        </w:rPr>
        <mc:AlternateContent>
          <mc:Choice Requires="wpg">
            <w:drawing>
              <wp:inline distT="0" distB="0" distL="0" distR="0">
                <wp:extent cx="5981065" cy="56388"/>
                <wp:effectExtent l="0" t="0" r="0" b="0"/>
                <wp:docPr id="2310" name="Group 231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967" name="Shape 2967"/>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68" name="Shape 2968"/>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2310" style="width:470.95pt;height:4.44pt;mso-position-horizontal-relative:char;mso-position-vertical-relative:line" coordsize="59810,563">
                <v:shape id="Shape 2969" style="position:absolute;width:59810;height:381;left:0;top:0;" coordsize="5981065,38100" path="m0,0l5981065,0l5981065,38100l0,38100l0,0">
                  <v:stroke weight="0pt" endcap="flat" joinstyle="miter" miterlimit="10" on="false" color="#000000" opacity="0"/>
                  <v:fill on="true" color="#622423"/>
                </v:shape>
                <v:shape id="Shape 2970" style="position:absolute;width:59810;height:91;left:0;top:472;" coordsize="5981065,9144" path="m0,0l5981065,0l5981065,9144l0,9144l0,0">
                  <v:stroke weight="0pt" endcap="flat" joinstyle="miter" miterlimit="10" on="false" color="#000000" opacity="0"/>
                  <v:fill on="true" color="#622423"/>
                </v:shape>
              </v:group>
            </w:pict>
          </mc:Fallback>
        </mc:AlternateContent>
      </w:r>
    </w:p>
    <w:p w:rsidR="000B1985" w:rsidRDefault="006E7663">
      <w:pPr>
        <w:tabs>
          <w:tab w:val="center" w:pos="9052"/>
        </w:tabs>
        <w:spacing w:after="225" w:line="259" w:lineRule="auto"/>
        <w:ind w:left="-15" w:right="0" w:firstLine="0"/>
        <w:jc w:val="left"/>
      </w:pPr>
      <w:r>
        <w:rPr>
          <w:rFonts w:ascii="Times New Roman" w:eastAsia="Times New Roman" w:hAnsi="Times New Roman" w:cs="Times New Roman"/>
          <w:i/>
          <w:sz w:val="18"/>
        </w:rPr>
        <w:t>CER/POL/03 REV.01 2019-05-10</w:t>
      </w:r>
      <w:r>
        <w:rPr>
          <w:rFonts w:ascii="Cambria" w:eastAsia="Cambria" w:hAnsi="Cambria" w:cs="Cambria"/>
        </w:rPr>
        <w:t xml:space="preserve"> </w:t>
      </w:r>
      <w:r>
        <w:rPr>
          <w:rFonts w:ascii="Cambria" w:eastAsia="Cambria" w:hAnsi="Cambria" w:cs="Cambria"/>
        </w:rPr>
        <w:tab/>
        <w:t xml:space="preserve">Page 2 </w:t>
      </w:r>
    </w:p>
    <w:p w:rsidR="000B1985" w:rsidRDefault="006E7663">
      <w:pPr>
        <w:spacing w:after="0" w:line="259" w:lineRule="auto"/>
        <w:ind w:left="0" w:right="0" w:firstLine="0"/>
        <w:jc w:val="left"/>
      </w:pPr>
      <w:r>
        <w:rPr>
          <w:rFonts w:ascii="Calibri" w:eastAsia="Calibri" w:hAnsi="Calibri" w:cs="Calibri"/>
        </w:rPr>
        <w:t xml:space="preserve"> </w:t>
      </w:r>
    </w:p>
    <w:sectPr w:rsidR="000B1985">
      <w:pgSz w:w="12240" w:h="15840"/>
      <w:pgMar w:top="1003" w:right="1154" w:bottom="9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216E"/>
    <w:multiLevelType w:val="hybridMultilevel"/>
    <w:tmpl w:val="55F02BBC"/>
    <w:lvl w:ilvl="0" w:tplc="3356D70C">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5F84F8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3F2D57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0627AC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D92089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EEE2D4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1447CB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60AB9B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F6896F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85"/>
    <w:rsid w:val="000B1985"/>
    <w:rsid w:val="006E7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8D1DF-0CC5-4C33-90F8-A562DBF5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8" w:lineRule="auto"/>
      <w:ind w:left="730" w:right="5"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1"/>
      </w:numPr>
      <w:spacing w:after="4"/>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af.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f.n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outac</dc:creator>
  <cp:keywords/>
  <cp:lastModifiedBy>Wangui Purity</cp:lastModifiedBy>
  <cp:revision>2</cp:revision>
  <dcterms:created xsi:type="dcterms:W3CDTF">2020-01-20T15:27:00Z</dcterms:created>
  <dcterms:modified xsi:type="dcterms:W3CDTF">2020-01-20T15:27:00Z</dcterms:modified>
</cp:coreProperties>
</file>