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04" w:type="dxa"/>
        <w:tblInd w:w="-108" w:type="dxa"/>
        <w:tblCellMar>
          <w:top w:w="0" w:type="dxa"/>
          <w:left w:w="103" w:type="dxa"/>
          <w:bottom w:w="235" w:type="dxa"/>
          <w:right w:w="115" w:type="dxa"/>
        </w:tblCellMar>
        <w:tblLook w:val="04A0" w:firstRow="1" w:lastRow="0" w:firstColumn="1" w:lastColumn="0" w:noHBand="0" w:noVBand="1"/>
      </w:tblPr>
      <w:tblGrid>
        <w:gridCol w:w="4271"/>
        <w:gridCol w:w="5433"/>
      </w:tblGrid>
      <w:tr w:rsidR="00D96D4A">
        <w:trPr>
          <w:trHeight w:val="1352"/>
        </w:trPr>
        <w:tc>
          <w:tcPr>
            <w:tcW w:w="4271" w:type="dxa"/>
            <w:tcBorders>
              <w:top w:val="single" w:sz="17" w:space="0" w:color="3366FF"/>
              <w:left w:val="single" w:sz="17" w:space="0" w:color="3366FF"/>
              <w:bottom w:val="single" w:sz="17" w:space="0" w:color="3366FF"/>
              <w:right w:val="single" w:sz="17" w:space="0" w:color="3366FF"/>
            </w:tcBorders>
            <w:vAlign w:val="bottom"/>
          </w:tcPr>
          <w:p w:rsidR="00D96D4A" w:rsidRDefault="00BC481A">
            <w:pPr>
              <w:spacing w:after="0" w:line="259" w:lineRule="auto"/>
              <w:ind w:left="0" w:right="2262" w:firstLine="0"/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1104900" cy="636905"/>
                  <wp:effectExtent l="0" t="0" r="0" b="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63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 </w:t>
            </w:r>
          </w:p>
        </w:tc>
        <w:tc>
          <w:tcPr>
            <w:tcW w:w="5433" w:type="dxa"/>
            <w:tcBorders>
              <w:top w:val="single" w:sz="17" w:space="0" w:color="3366FF"/>
              <w:left w:val="single" w:sz="17" w:space="0" w:color="3366FF"/>
              <w:bottom w:val="single" w:sz="17" w:space="0" w:color="3366FF"/>
              <w:right w:val="single" w:sz="17" w:space="0" w:color="3366FF"/>
            </w:tcBorders>
            <w:shd w:val="clear" w:color="auto" w:fill="0066CC"/>
            <w:vAlign w:val="center"/>
          </w:tcPr>
          <w:p w:rsidR="00D96D4A" w:rsidRDefault="00BC481A">
            <w:pPr>
              <w:spacing w:after="236" w:line="259" w:lineRule="auto"/>
              <w:ind w:left="0" w:right="0" w:firstLine="0"/>
              <w:jc w:val="left"/>
            </w:pPr>
            <w:r>
              <w:rPr>
                <w:rFonts w:ascii="Franklin Gothic" w:eastAsia="Franklin Gothic" w:hAnsi="Franklin Gothic" w:cs="Franklin Gothic"/>
                <w:sz w:val="36"/>
              </w:rPr>
              <w:t xml:space="preserve">Kenya Bureau of  </w:t>
            </w:r>
          </w:p>
          <w:p w:rsidR="00D96D4A" w:rsidRDefault="00BC481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Franklin Gothic" w:eastAsia="Franklin Gothic" w:hAnsi="Franklin Gothic" w:cs="Franklin Gothic"/>
                <w:sz w:val="36"/>
              </w:rPr>
              <w:t>Standards</w:t>
            </w:r>
            <w:r>
              <w:rPr>
                <w:b/>
                <w:sz w:val="36"/>
              </w:rPr>
              <w:t xml:space="preserve"> </w:t>
            </w:r>
          </w:p>
        </w:tc>
      </w:tr>
    </w:tbl>
    <w:p w:rsidR="00D96D4A" w:rsidRDefault="00BC481A">
      <w:pPr>
        <w:spacing w:after="0" w:line="259" w:lineRule="auto"/>
        <w:ind w:left="72" w:right="0" w:firstLine="0"/>
        <w:jc w:val="center"/>
      </w:pPr>
      <w:r>
        <w:rPr>
          <w:b/>
          <w:sz w:val="28"/>
        </w:rPr>
        <w:t xml:space="preserve"> </w:t>
      </w:r>
    </w:p>
    <w:p w:rsidR="00D96D4A" w:rsidRDefault="00BC481A">
      <w:pPr>
        <w:spacing w:after="0" w:line="259" w:lineRule="auto"/>
        <w:ind w:left="350" w:right="0" w:firstLine="0"/>
        <w:jc w:val="center"/>
      </w:pPr>
      <w:r>
        <w:rPr>
          <w:b/>
          <w:sz w:val="28"/>
        </w:rPr>
        <w:t xml:space="preserve"> </w:t>
      </w:r>
    </w:p>
    <w:p w:rsidR="00D96D4A" w:rsidRDefault="00BC481A">
      <w:pPr>
        <w:spacing w:after="0" w:line="259" w:lineRule="auto"/>
        <w:ind w:left="280" w:right="0" w:hanging="10"/>
        <w:jc w:val="center"/>
      </w:pPr>
      <w:r>
        <w:rPr>
          <w:b/>
          <w:sz w:val="28"/>
        </w:rPr>
        <w:t xml:space="preserve">KENYA BUREAU OF STANDARDS  </w:t>
      </w:r>
    </w:p>
    <w:p w:rsidR="00D96D4A" w:rsidRDefault="00BC481A">
      <w:pPr>
        <w:spacing w:after="0" w:line="259" w:lineRule="auto"/>
        <w:ind w:left="350" w:right="0" w:firstLine="0"/>
        <w:jc w:val="center"/>
      </w:pPr>
      <w:r>
        <w:rPr>
          <w:b/>
          <w:sz w:val="28"/>
        </w:rPr>
        <w:t xml:space="preserve"> </w:t>
      </w:r>
    </w:p>
    <w:p w:rsidR="00D96D4A" w:rsidRDefault="00BC481A">
      <w:pPr>
        <w:spacing w:after="0" w:line="259" w:lineRule="auto"/>
        <w:ind w:left="280" w:right="279" w:hanging="10"/>
        <w:jc w:val="center"/>
      </w:pPr>
      <w:r>
        <w:rPr>
          <w:b/>
          <w:sz w:val="28"/>
        </w:rPr>
        <w:t xml:space="preserve">CER/POL/04: Policy on handling audit nonconformities </w:t>
      </w:r>
    </w:p>
    <w:p w:rsidR="00D96D4A" w:rsidRDefault="00BC481A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D96D4A" w:rsidRDefault="00BC481A">
      <w:pPr>
        <w:pStyle w:val="Heading1"/>
        <w:ind w:left="705" w:hanging="720"/>
      </w:pPr>
      <w:r>
        <w:t xml:space="preserve">Introduction </w:t>
      </w:r>
    </w:p>
    <w:p w:rsidR="00D96D4A" w:rsidRDefault="00BC481A">
      <w:pPr>
        <w:ind w:left="720" w:right="0" w:firstLine="0"/>
      </w:pPr>
      <w:r>
        <w:t xml:space="preserve">This policy document defines how </w:t>
      </w:r>
      <w:proofErr w:type="gramStart"/>
      <w:r>
        <w:t>audit nonconformities shall be handled by the auditee</w:t>
      </w:r>
      <w:proofErr w:type="gramEnd"/>
      <w:r>
        <w:t xml:space="preserve">, and verified by </w:t>
      </w:r>
      <w:r>
        <w:t xml:space="preserve">KEBS CB prior to making a decision, either for certification or for continued certification. </w:t>
      </w:r>
    </w:p>
    <w:p w:rsidR="00D96D4A" w:rsidRDefault="00BC481A">
      <w:pPr>
        <w:spacing w:after="26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D96D4A" w:rsidRDefault="00BC481A">
      <w:pPr>
        <w:pStyle w:val="Heading1"/>
        <w:ind w:left="705" w:hanging="720"/>
      </w:pPr>
      <w:r>
        <w:t xml:space="preserve">General </w:t>
      </w:r>
    </w:p>
    <w:p w:rsidR="00D96D4A" w:rsidRDefault="00BC481A">
      <w:pPr>
        <w:ind w:left="715" w:right="0"/>
      </w:pPr>
      <w:r>
        <w:rPr>
          <w:sz w:val="20"/>
        </w:rPr>
        <w:t xml:space="preserve">2.1 </w:t>
      </w:r>
      <w:r>
        <w:t>The auditee shall promptly initiate all necessary corrective actions to prevent recurrence in respect of all non-conformities identified by the aud</w:t>
      </w:r>
      <w:r>
        <w:t xml:space="preserve">it team. </w:t>
      </w:r>
    </w:p>
    <w:p w:rsidR="00D96D4A" w:rsidRDefault="00BC481A">
      <w:pPr>
        <w:ind w:left="715" w:right="0"/>
      </w:pPr>
      <w:r>
        <w:t>2.2 The auditee shall determine and record the cause(s) of the nonconformities</w:t>
      </w:r>
      <w:r>
        <w:rPr>
          <w:rFonts w:ascii="Calibri" w:eastAsia="Calibri" w:hAnsi="Calibri" w:cs="Calibri"/>
        </w:rPr>
        <w:t xml:space="preserve"> determine the extent analysis to check </w:t>
      </w:r>
      <w:proofErr w:type="gramStart"/>
      <w:r>
        <w:rPr>
          <w:rFonts w:ascii="Calibri" w:eastAsia="Calibri" w:hAnsi="Calibri" w:cs="Calibri"/>
        </w:rPr>
        <w:t>whether similar nonconformities exist or could potentially occur,</w:t>
      </w:r>
      <w:r>
        <w:t xml:space="preserve"> and the proposed corrections and corrective action as guided b</w:t>
      </w:r>
      <w:r>
        <w:t>y the Corrective Action Request (CAR)</w:t>
      </w:r>
      <w:proofErr w:type="gramEnd"/>
      <w:r>
        <w:t xml:space="preserve">. The completion dates of the corrective action(s) </w:t>
      </w:r>
      <w:proofErr w:type="gramStart"/>
      <w:r>
        <w:t>shall be recorded</w:t>
      </w:r>
      <w:proofErr w:type="gramEnd"/>
      <w:r>
        <w:t xml:space="preserve"> on the CAR form </w:t>
      </w:r>
    </w:p>
    <w:p w:rsidR="00D96D4A" w:rsidRDefault="00BC481A">
      <w:pPr>
        <w:ind w:left="715" w:right="0"/>
      </w:pPr>
      <w:r>
        <w:t xml:space="preserve">2.3 The corrective actions </w:t>
      </w:r>
      <w:proofErr w:type="gramStart"/>
      <w:r>
        <w:t>shall be carried out</w:t>
      </w:r>
      <w:proofErr w:type="gramEnd"/>
      <w:r>
        <w:t xml:space="preserve"> as soon as possible or in any event within the period agreed with the KEBS CB.  </w:t>
      </w:r>
    </w:p>
    <w:p w:rsidR="00D96D4A" w:rsidRDefault="00BC481A">
      <w:pPr>
        <w:spacing w:after="38" w:line="259" w:lineRule="auto"/>
        <w:ind w:left="0" w:right="0" w:firstLine="0"/>
        <w:jc w:val="left"/>
      </w:pPr>
      <w:r>
        <w:t xml:space="preserve"> </w:t>
      </w:r>
    </w:p>
    <w:p w:rsidR="00D96D4A" w:rsidRDefault="00BC481A">
      <w:pPr>
        <w:pStyle w:val="Heading1"/>
        <w:ind w:left="705" w:hanging="720"/>
      </w:pPr>
      <w:r>
        <w:t>Handling minor nonconformities</w:t>
      </w:r>
      <w:r>
        <w:rPr>
          <w:sz w:val="20"/>
        </w:rPr>
        <w:t xml:space="preserve"> </w:t>
      </w:r>
    </w:p>
    <w:p w:rsidR="00D96D4A" w:rsidRDefault="00BC481A">
      <w:pPr>
        <w:tabs>
          <w:tab w:val="right" w:pos="9367"/>
        </w:tabs>
        <w:ind w:left="-15" w:right="0" w:firstLine="0"/>
        <w:jc w:val="left"/>
      </w:pPr>
      <w:r>
        <w:rPr>
          <w:sz w:val="20"/>
        </w:rPr>
        <w:t xml:space="preserve">3.3 </w:t>
      </w:r>
      <w:r>
        <w:rPr>
          <w:sz w:val="20"/>
        </w:rPr>
        <w:tab/>
      </w:r>
      <w:r>
        <w:t xml:space="preserve">For all the minor nonconformities, the auditee shall submit to KEBS CB proposed </w:t>
      </w:r>
    </w:p>
    <w:p w:rsidR="00D96D4A" w:rsidRDefault="00BC481A">
      <w:pPr>
        <w:ind w:left="720" w:right="0" w:firstLine="0"/>
      </w:pPr>
      <w:proofErr w:type="gramStart"/>
      <w:r>
        <w:t>corrective</w:t>
      </w:r>
      <w:proofErr w:type="gramEnd"/>
      <w:r>
        <w:t xml:space="preserve"> action plan(s) </w:t>
      </w:r>
    </w:p>
    <w:p w:rsidR="00D96D4A" w:rsidRDefault="00BC481A">
      <w:pPr>
        <w:ind w:left="715" w:right="0"/>
      </w:pPr>
      <w:proofErr w:type="gramStart"/>
      <w:r>
        <w:t xml:space="preserve">3.4 The adequacy of the proposed corrective actions shall be reviewed by the auditor and feedback given to the </w:t>
      </w:r>
      <w:r>
        <w:t>auditee</w:t>
      </w:r>
      <w:proofErr w:type="gramEnd"/>
      <w:r>
        <w:t xml:space="preserve">. </w:t>
      </w:r>
    </w:p>
    <w:p w:rsidR="00D96D4A" w:rsidRDefault="00BC481A">
      <w:pPr>
        <w:tabs>
          <w:tab w:val="right" w:pos="9367"/>
        </w:tabs>
        <w:ind w:left="-15" w:right="0" w:firstLine="0"/>
        <w:jc w:val="left"/>
      </w:pPr>
      <w:r>
        <w:t xml:space="preserve">3.6 </w:t>
      </w:r>
      <w:r>
        <w:tab/>
        <w:t xml:space="preserve">A decision shall only be made after KEBS CB has evaluated and approved the </w:t>
      </w:r>
    </w:p>
    <w:p w:rsidR="00D96D4A" w:rsidRDefault="00BC481A">
      <w:pPr>
        <w:ind w:left="720" w:right="0" w:firstLine="0"/>
      </w:pPr>
      <w:proofErr w:type="gramStart"/>
      <w:r>
        <w:t>corrective</w:t>
      </w:r>
      <w:proofErr w:type="gramEnd"/>
      <w:r>
        <w:t xml:space="preserve"> action plan proposed by the auditee </w:t>
      </w:r>
    </w:p>
    <w:p w:rsidR="00D96D4A" w:rsidRDefault="00BC481A">
      <w:pPr>
        <w:ind w:left="715" w:right="0"/>
      </w:pPr>
      <w:r>
        <w:t xml:space="preserve">3.7 The confirmation of corrective actions and evaluation of their effectiveness </w:t>
      </w:r>
      <w:proofErr w:type="gramStart"/>
      <w:r>
        <w:t>shall be conducted</w:t>
      </w:r>
      <w:proofErr w:type="gramEnd"/>
      <w:r>
        <w:t xml:space="preserve"> at the next audit</w:t>
      </w:r>
      <w:r>
        <w:t xml:space="preserve">  </w:t>
      </w:r>
    </w:p>
    <w:p w:rsidR="00D96D4A" w:rsidRDefault="00BC481A">
      <w:pPr>
        <w:spacing w:after="2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D96D4A" w:rsidRDefault="00BC481A">
      <w:pPr>
        <w:pStyle w:val="Heading1"/>
        <w:ind w:left="705" w:hanging="720"/>
      </w:pPr>
      <w:r>
        <w:t>Handling major nonconformities</w:t>
      </w:r>
      <w:r>
        <w:rPr>
          <w:sz w:val="20"/>
        </w:rPr>
        <w:t xml:space="preserve"> </w:t>
      </w:r>
    </w:p>
    <w:p w:rsidR="00D96D4A" w:rsidRDefault="00BC481A">
      <w:pPr>
        <w:tabs>
          <w:tab w:val="right" w:pos="9367"/>
        </w:tabs>
        <w:ind w:left="-15" w:right="0" w:firstLine="0"/>
        <w:jc w:val="left"/>
      </w:pPr>
      <w:r>
        <w:rPr>
          <w:sz w:val="20"/>
        </w:rPr>
        <w:t xml:space="preserve">4.3 </w:t>
      </w:r>
      <w:r>
        <w:rPr>
          <w:sz w:val="20"/>
        </w:rPr>
        <w:tab/>
      </w:r>
      <w:r>
        <w:t xml:space="preserve">For all the major nonconformities, the auditee shall submit to KEBS CB proposed </w:t>
      </w:r>
    </w:p>
    <w:p w:rsidR="00D96D4A" w:rsidRDefault="00BC481A">
      <w:pPr>
        <w:ind w:left="720" w:right="0" w:firstLine="0"/>
      </w:pPr>
      <w:proofErr w:type="gramStart"/>
      <w:r>
        <w:t>corrective</w:t>
      </w:r>
      <w:proofErr w:type="gramEnd"/>
      <w:r>
        <w:t xml:space="preserve"> action plan(s) </w:t>
      </w:r>
    </w:p>
    <w:p w:rsidR="00D96D4A" w:rsidRDefault="00BC481A">
      <w:pPr>
        <w:ind w:left="715" w:right="0"/>
      </w:pPr>
      <w:r>
        <w:t xml:space="preserve">4.4 The adequacy of the proposed corrective actions shall be reviewed and feedback given to the auditee. </w:t>
      </w:r>
    </w:p>
    <w:p w:rsidR="00D96D4A" w:rsidRDefault="00BC481A">
      <w:pPr>
        <w:spacing w:after="269"/>
        <w:ind w:left="715" w:right="0"/>
      </w:pPr>
      <w:r>
        <w:t xml:space="preserve">4.5 A decision </w:t>
      </w:r>
      <w:proofErr w:type="gramStart"/>
      <w:r>
        <w:t>shall only be made</w:t>
      </w:r>
      <w:proofErr w:type="gramEnd"/>
      <w:r>
        <w:t xml:space="preserve"> after KEBS CB has confirmed the corrective actions and evaluated their effectiveness in a close out audit within 60 days. </w:t>
      </w:r>
    </w:p>
    <w:p w:rsidR="00D96D4A" w:rsidRDefault="00BC481A">
      <w:pPr>
        <w:spacing w:after="70" w:line="259" w:lineRule="auto"/>
        <w:ind w:left="-29" w:right="-23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56388"/>
                <wp:effectExtent l="0" t="0" r="0" b="0"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388"/>
                          <a:chOff x="0" y="0"/>
                          <a:chExt cx="5981065" cy="56388"/>
                        </a:xfrm>
                      </wpg:grpSpPr>
                      <wps:wsp>
                        <wps:cNvPr id="1735" name="Shape 1735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1736"/>
                        <wps:cNvSpPr/>
                        <wps:spPr>
                          <a:xfrm>
                            <a:off x="0" y="47244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9" style="width:470.95pt;height:4.44pt;mso-position-horizontal-relative:char;mso-position-vertical-relative:line" coordsize="59810,563">
                <v:shape id="Shape 1737" style="position:absolute;width:59810;height:381;left:0;top:0;" coordsize="5981065,38100" path="m0,0l5981065,0l5981065,38100l0,38100l0,0">
                  <v:stroke weight="0pt" endcap="flat" joinstyle="miter" miterlimit="10" on="false" color="#000000" opacity="0"/>
                  <v:fill on="true" color="#622423"/>
                </v:shape>
                <v:shape id="Shape 1738" style="position:absolute;width:59810;height:91;left:0;top:472;" coordsize="5981065,9144" path="m0,0l5981065,0l5981065,9144l0,9144l0,0">
                  <v:stroke weight="0pt" endcap="flat" joinstyle="miter" miterlimit="10" on="false" color="#000000" opacity="0"/>
                  <v:fill on="true" color="#622423"/>
                </v:shape>
              </v:group>
            </w:pict>
          </mc:Fallback>
        </mc:AlternateContent>
      </w:r>
    </w:p>
    <w:p w:rsidR="00D96D4A" w:rsidRDefault="00BC481A">
      <w:pPr>
        <w:tabs>
          <w:tab w:val="right" w:pos="9367"/>
        </w:tabs>
        <w:spacing w:after="22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i/>
          <w:sz w:val="18"/>
        </w:rPr>
        <w:lastRenderedPageBreak/>
        <w:t>CER/POL/04 REV.1       16/05/2019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Page 1 </w:t>
      </w:r>
    </w:p>
    <w:p w:rsidR="00D96D4A" w:rsidRDefault="00BC481A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D96D4A">
      <w:pgSz w:w="12240" w:h="15840"/>
      <w:pgMar w:top="879" w:right="143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F52AC"/>
    <w:multiLevelType w:val="hybridMultilevel"/>
    <w:tmpl w:val="C7E2CCAA"/>
    <w:lvl w:ilvl="0" w:tplc="2452A36C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B699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165F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483B8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3C44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D697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9E0F3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0E5C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78C6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4A"/>
    <w:rsid w:val="00BC481A"/>
    <w:rsid w:val="00D9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2F4998-2D11-4121-BB0D-2234D4F7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8" w:lineRule="auto"/>
      <w:ind w:left="1450" w:right="2" w:hanging="73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outac</dc:creator>
  <cp:keywords/>
  <cp:lastModifiedBy>Wangui Purity</cp:lastModifiedBy>
  <cp:revision>2</cp:revision>
  <dcterms:created xsi:type="dcterms:W3CDTF">2020-01-20T15:28:00Z</dcterms:created>
  <dcterms:modified xsi:type="dcterms:W3CDTF">2020-01-20T15:28:00Z</dcterms:modified>
</cp:coreProperties>
</file>