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704" w:type="dxa"/>
        <w:tblInd w:w="-108" w:type="dxa"/>
        <w:tblCellMar>
          <w:top w:w="79" w:type="dxa"/>
          <w:left w:w="103" w:type="dxa"/>
          <w:bottom w:w="214" w:type="dxa"/>
          <w:right w:w="115" w:type="dxa"/>
        </w:tblCellMar>
        <w:tblLook w:val="04A0" w:firstRow="1" w:lastRow="0" w:firstColumn="1" w:lastColumn="0" w:noHBand="0" w:noVBand="1"/>
      </w:tblPr>
      <w:tblGrid>
        <w:gridCol w:w="4271"/>
        <w:gridCol w:w="5433"/>
      </w:tblGrid>
      <w:tr w:rsidR="00B47AED">
        <w:trPr>
          <w:trHeight w:val="1368"/>
        </w:trPr>
        <w:tc>
          <w:tcPr>
            <w:tcW w:w="4271" w:type="dxa"/>
            <w:tcBorders>
              <w:top w:val="single" w:sz="17" w:space="0" w:color="3366FF"/>
              <w:left w:val="single" w:sz="17" w:space="0" w:color="3366FF"/>
              <w:bottom w:val="single" w:sz="17" w:space="0" w:color="3366FF"/>
              <w:right w:val="single" w:sz="17" w:space="0" w:color="3366FF"/>
            </w:tcBorders>
            <w:vAlign w:val="bottom"/>
          </w:tcPr>
          <w:p w:rsidR="00B47AED" w:rsidRDefault="00A7782B">
            <w:pPr>
              <w:spacing w:after="0" w:line="259" w:lineRule="auto"/>
              <w:ind w:left="5" w:right="0" w:firstLine="0"/>
              <w:jc w:val="left"/>
            </w:pPr>
            <w:r>
              <w:rPr>
                <w:rFonts w:ascii="Times New Roman" w:eastAsia="Times New Roman" w:hAnsi="Times New Roman" w:cs="Times New Roman"/>
                <w:sz w:val="40"/>
              </w:rPr>
              <w:t xml:space="preserve"> </w:t>
            </w:r>
            <w:r>
              <w:rPr>
                <w:noProof/>
                <w:lang w:val="en-US" w:eastAsia="en-US"/>
              </w:rPr>
              <w:drawing>
                <wp:inline distT="0" distB="0" distL="0" distR="0">
                  <wp:extent cx="1104900" cy="636905"/>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4"/>
                          <a:stretch>
                            <a:fillRect/>
                          </a:stretch>
                        </pic:blipFill>
                        <pic:spPr>
                          <a:xfrm>
                            <a:off x="0" y="0"/>
                            <a:ext cx="1104900" cy="636905"/>
                          </a:xfrm>
                          <a:prstGeom prst="rect">
                            <a:avLst/>
                          </a:prstGeom>
                        </pic:spPr>
                      </pic:pic>
                    </a:graphicData>
                  </a:graphic>
                </wp:inline>
              </w:drawing>
            </w:r>
            <w:r>
              <w:rPr>
                <w:rFonts w:ascii="Times New Roman" w:eastAsia="Times New Roman" w:hAnsi="Times New Roman" w:cs="Times New Roman"/>
                <w:b/>
                <w:i/>
                <w:color w:val="3366FF"/>
                <w:sz w:val="16"/>
              </w:rPr>
              <w:t xml:space="preserve"> </w:t>
            </w:r>
          </w:p>
        </w:tc>
        <w:tc>
          <w:tcPr>
            <w:tcW w:w="5433" w:type="dxa"/>
            <w:tcBorders>
              <w:top w:val="single" w:sz="17" w:space="0" w:color="3366FF"/>
              <w:left w:val="single" w:sz="17" w:space="0" w:color="3366FF"/>
              <w:bottom w:val="single" w:sz="17" w:space="0" w:color="3366FF"/>
              <w:right w:val="single" w:sz="17" w:space="0" w:color="3366FF"/>
            </w:tcBorders>
            <w:shd w:val="clear" w:color="auto" w:fill="0066CC"/>
          </w:tcPr>
          <w:p w:rsidR="00B47AED" w:rsidRDefault="00A7782B">
            <w:pPr>
              <w:spacing w:after="236" w:line="259" w:lineRule="auto"/>
              <w:ind w:left="0" w:right="0" w:firstLine="0"/>
              <w:jc w:val="left"/>
            </w:pPr>
            <w:r>
              <w:rPr>
                <w:rFonts w:ascii="Franklin Gothic" w:eastAsia="Franklin Gothic" w:hAnsi="Franklin Gothic" w:cs="Franklin Gothic"/>
                <w:color w:val="FFFFFF"/>
                <w:sz w:val="36"/>
              </w:rPr>
              <w:t xml:space="preserve">Kenya Bureau of  </w:t>
            </w:r>
          </w:p>
          <w:p w:rsidR="00B47AED" w:rsidRDefault="00A7782B">
            <w:pPr>
              <w:spacing w:after="0" w:line="259" w:lineRule="auto"/>
              <w:ind w:left="0" w:right="0" w:firstLine="0"/>
              <w:jc w:val="left"/>
            </w:pPr>
            <w:r>
              <w:rPr>
                <w:rFonts w:ascii="Franklin Gothic" w:eastAsia="Franklin Gothic" w:hAnsi="Franklin Gothic" w:cs="Franklin Gothic"/>
                <w:color w:val="FFFFFF"/>
                <w:sz w:val="36"/>
              </w:rPr>
              <w:t>Standards</w:t>
            </w:r>
            <w:r>
              <w:rPr>
                <w:b/>
                <w:color w:val="FFFFFF"/>
                <w:sz w:val="36"/>
              </w:rPr>
              <w:t xml:space="preserve"> </w:t>
            </w:r>
          </w:p>
        </w:tc>
      </w:tr>
    </w:tbl>
    <w:p w:rsidR="00B47AED" w:rsidRDefault="00A7782B">
      <w:pPr>
        <w:spacing w:after="0" w:line="259" w:lineRule="auto"/>
        <w:ind w:left="16" w:right="0" w:firstLine="0"/>
        <w:jc w:val="center"/>
      </w:pPr>
      <w:r>
        <w:rPr>
          <w:b/>
          <w:sz w:val="28"/>
        </w:rPr>
        <w:t xml:space="preserve"> </w:t>
      </w:r>
    </w:p>
    <w:p w:rsidR="00B47AED" w:rsidRDefault="00A7782B">
      <w:pPr>
        <w:spacing w:after="0" w:line="259" w:lineRule="auto"/>
        <w:ind w:left="221" w:right="0"/>
        <w:jc w:val="center"/>
      </w:pPr>
      <w:r>
        <w:rPr>
          <w:b/>
          <w:sz w:val="28"/>
        </w:rPr>
        <w:t xml:space="preserve">KENYA BUREAU OF STANDARDS CERTIFICATION BODY </w:t>
      </w:r>
    </w:p>
    <w:p w:rsidR="00B47AED" w:rsidRDefault="00A7782B">
      <w:pPr>
        <w:spacing w:after="0" w:line="259" w:lineRule="auto"/>
        <w:ind w:left="295" w:right="0" w:firstLine="0"/>
        <w:jc w:val="center"/>
      </w:pPr>
      <w:r>
        <w:rPr>
          <w:b/>
          <w:sz w:val="28"/>
        </w:rPr>
        <w:t xml:space="preserve"> </w:t>
      </w:r>
    </w:p>
    <w:p w:rsidR="00B47AED" w:rsidRDefault="00A7782B">
      <w:pPr>
        <w:spacing w:after="0" w:line="259" w:lineRule="auto"/>
        <w:ind w:left="221" w:right="272"/>
        <w:jc w:val="center"/>
      </w:pPr>
      <w:r>
        <w:rPr>
          <w:b/>
          <w:sz w:val="28"/>
        </w:rPr>
        <w:t xml:space="preserve">CER/POL/06: Policy on Management of Impartiality </w:t>
      </w:r>
    </w:p>
    <w:p w:rsidR="00B47AED" w:rsidRDefault="00A7782B">
      <w:pPr>
        <w:spacing w:after="0" w:line="259" w:lineRule="auto"/>
        <w:ind w:left="0" w:right="0" w:firstLine="0"/>
        <w:jc w:val="left"/>
      </w:pPr>
      <w:r>
        <w:rPr>
          <w:b/>
          <w:sz w:val="28"/>
        </w:rPr>
        <w:t xml:space="preserve"> </w:t>
      </w:r>
    </w:p>
    <w:p w:rsidR="00B47AED" w:rsidRDefault="00A7782B">
      <w:pPr>
        <w:pStyle w:val="Heading1"/>
        <w:tabs>
          <w:tab w:val="center" w:pos="1420"/>
        </w:tabs>
        <w:ind w:left="-15" w:firstLine="0"/>
      </w:pPr>
      <w:r>
        <w:t xml:space="preserve">1.  </w:t>
      </w:r>
      <w:r>
        <w:tab/>
        <w:t xml:space="preserve">Introduction </w:t>
      </w:r>
    </w:p>
    <w:p w:rsidR="00B47AED" w:rsidRDefault="00A7782B">
      <w:pPr>
        <w:ind w:left="715" w:right="45"/>
      </w:pPr>
      <w:r>
        <w:t xml:space="preserve">As required by ISO/IEC 17021-1 and ISO 17024 the KEBS CB has established a policy statement on management of impartiality. This policy provides information on how management of impartiality with regard to the various parties associated with the CB will be done.  </w:t>
      </w:r>
    </w:p>
    <w:p w:rsidR="00B47AED" w:rsidRDefault="00A7782B">
      <w:pPr>
        <w:spacing w:after="20" w:line="259" w:lineRule="auto"/>
        <w:ind w:left="0" w:right="0" w:firstLine="0"/>
        <w:jc w:val="left"/>
      </w:pPr>
      <w:r>
        <w:rPr>
          <w:sz w:val="20"/>
        </w:rPr>
        <w:t xml:space="preserve"> </w:t>
      </w:r>
    </w:p>
    <w:p w:rsidR="00B47AED" w:rsidRDefault="00A7782B">
      <w:pPr>
        <w:pStyle w:val="Heading1"/>
        <w:tabs>
          <w:tab w:val="center" w:pos="1639"/>
        </w:tabs>
        <w:ind w:left="-15" w:firstLine="0"/>
      </w:pPr>
      <w:r>
        <w:t xml:space="preserve">2. </w:t>
      </w:r>
      <w:r>
        <w:tab/>
        <w:t xml:space="preserve">Parties involved </w:t>
      </w:r>
    </w:p>
    <w:p w:rsidR="00B47AED" w:rsidRDefault="00A7782B">
      <w:pPr>
        <w:ind w:left="715" w:right="45"/>
      </w:pPr>
      <w:r>
        <w:t xml:space="preserve">This policy addresses the following parties among others as defined in the risk register. </w:t>
      </w:r>
    </w:p>
    <w:p w:rsidR="00B47AED" w:rsidRDefault="00A7782B">
      <w:pPr>
        <w:ind w:left="715" w:right="45"/>
      </w:pPr>
      <w:r>
        <w:t xml:space="preserve">i) Audit and other personnel, i.e. auditors, technical experts, audit </w:t>
      </w:r>
      <w:proofErr w:type="gramStart"/>
      <w:r>
        <w:t>trainees ,observers</w:t>
      </w:r>
      <w:proofErr w:type="gramEnd"/>
      <w:r>
        <w:t xml:space="preserve"> and welders. ii) Public Body – e.g. Government Ministry to which KEBS is responsible or relates </w:t>
      </w:r>
      <w:proofErr w:type="gramStart"/>
      <w:r>
        <w:t>to  iii</w:t>
      </w:r>
      <w:proofErr w:type="gramEnd"/>
      <w:r>
        <w:t xml:space="preserve">) Consultant organizations </w:t>
      </w:r>
    </w:p>
    <w:p w:rsidR="00B47AED" w:rsidRDefault="00A7782B">
      <w:pPr>
        <w:spacing w:after="0" w:line="259" w:lineRule="auto"/>
        <w:ind w:left="720" w:right="0" w:firstLine="0"/>
        <w:jc w:val="left"/>
      </w:pPr>
      <w:r>
        <w:t xml:space="preserve"> </w:t>
      </w:r>
    </w:p>
    <w:p w:rsidR="00B47AED" w:rsidRDefault="00A7782B">
      <w:pPr>
        <w:spacing w:after="0" w:line="259" w:lineRule="auto"/>
        <w:ind w:left="0" w:right="0" w:firstLine="0"/>
        <w:jc w:val="left"/>
      </w:pPr>
      <w:r>
        <w:t xml:space="preserve"> </w:t>
      </w:r>
    </w:p>
    <w:p w:rsidR="00B47AED" w:rsidRDefault="00A7782B">
      <w:pPr>
        <w:spacing w:line="250" w:lineRule="auto"/>
        <w:ind w:left="705" w:right="0" w:hanging="720"/>
        <w:jc w:val="left"/>
      </w:pPr>
      <w:r>
        <w:rPr>
          <w:b/>
          <w:sz w:val="24"/>
        </w:rPr>
        <w:t xml:space="preserve">3. Management of Impartiality-Threats to impartiality have been defined in the Risk register. </w:t>
      </w:r>
    </w:p>
    <w:p w:rsidR="00B47AED" w:rsidRDefault="00A7782B">
      <w:pPr>
        <w:spacing w:after="0" w:line="259" w:lineRule="auto"/>
        <w:ind w:left="0" w:right="0" w:firstLine="0"/>
        <w:jc w:val="left"/>
      </w:pPr>
      <w:r>
        <w:rPr>
          <w:b/>
          <w:sz w:val="24"/>
        </w:rPr>
        <w:t xml:space="preserve"> </w:t>
      </w:r>
    </w:p>
    <w:p w:rsidR="00B47AED" w:rsidRDefault="00A7782B">
      <w:pPr>
        <w:pStyle w:val="Heading2"/>
        <w:tabs>
          <w:tab w:val="center" w:pos="1558"/>
        </w:tabs>
        <w:ind w:left="-15" w:firstLine="0"/>
      </w:pPr>
      <w:r>
        <w:t xml:space="preserve">3.1 </w:t>
      </w:r>
      <w:r>
        <w:tab/>
        <w:t xml:space="preserve">Audit personnel </w:t>
      </w:r>
    </w:p>
    <w:p w:rsidR="00B47AED" w:rsidRDefault="00A7782B">
      <w:pPr>
        <w:ind w:left="720" w:right="45" w:hanging="720"/>
      </w:pPr>
      <w:r>
        <w:rPr>
          <w:b/>
        </w:rPr>
        <w:t>3.1.1</w:t>
      </w:r>
      <w:r>
        <w:t xml:space="preserve"> All audit personnel are required to sign the Code of conduct which includes a commitment to remain impartial in all their dealings with the audit client.  </w:t>
      </w:r>
    </w:p>
    <w:p w:rsidR="00B47AED" w:rsidRDefault="00A7782B">
      <w:pPr>
        <w:spacing w:after="0" w:line="259" w:lineRule="auto"/>
        <w:ind w:left="0" w:right="0" w:firstLine="0"/>
        <w:jc w:val="left"/>
      </w:pPr>
      <w:r>
        <w:t xml:space="preserve"> </w:t>
      </w:r>
    </w:p>
    <w:p w:rsidR="00B47AED" w:rsidRDefault="00A7782B">
      <w:pPr>
        <w:ind w:left="720" w:right="45" w:hanging="720"/>
      </w:pPr>
      <w:r>
        <w:rPr>
          <w:b/>
        </w:rPr>
        <w:t>3.1.2</w:t>
      </w:r>
      <w:r>
        <w:t xml:space="preserve"> For all audit assignments, in case the personnel have reasons that can compromise their impartiality or independence concerning the auditee organization, they shall inform the appointing officer or the certification officer at the CB responsible for the scheme. </w:t>
      </w:r>
    </w:p>
    <w:p w:rsidR="00B47AED" w:rsidRDefault="00A7782B">
      <w:pPr>
        <w:spacing w:after="0" w:line="259" w:lineRule="auto"/>
        <w:ind w:left="0" w:right="0" w:firstLine="0"/>
        <w:jc w:val="left"/>
      </w:pPr>
      <w:r>
        <w:rPr>
          <w:b/>
        </w:rPr>
        <w:t xml:space="preserve"> </w:t>
      </w:r>
    </w:p>
    <w:p w:rsidR="00B47AED" w:rsidRDefault="00A7782B">
      <w:pPr>
        <w:pStyle w:val="Heading2"/>
        <w:tabs>
          <w:tab w:val="center" w:pos="3024"/>
        </w:tabs>
        <w:ind w:left="-15" w:firstLine="0"/>
      </w:pPr>
      <w:r>
        <w:t xml:space="preserve">3.2 </w:t>
      </w:r>
      <w:r>
        <w:tab/>
        <w:t xml:space="preserve">Organization to which the CB is responsible </w:t>
      </w:r>
    </w:p>
    <w:p w:rsidR="00B47AED" w:rsidRDefault="00A7782B">
      <w:pPr>
        <w:ind w:left="715" w:right="45"/>
      </w:pPr>
      <w:r>
        <w:t xml:space="preserve">Because of the potential intimidation threats that exist for the CB where the auditee organization is an organization in authority over the CB or the CB’s mother organization, KEBS, if such an organization requests for certification services to be provided by the CB, the CB shall ensure that the audit team always includes persons external to KEBS to manage any possible impartiality situation. </w:t>
      </w:r>
    </w:p>
    <w:p w:rsidR="00B47AED" w:rsidRDefault="00A7782B">
      <w:pPr>
        <w:spacing w:after="0" w:line="259" w:lineRule="auto"/>
        <w:ind w:left="0" w:right="0" w:firstLine="0"/>
        <w:jc w:val="left"/>
      </w:pPr>
      <w:r>
        <w:t xml:space="preserve"> </w:t>
      </w:r>
    </w:p>
    <w:p w:rsidR="00B47AED" w:rsidRDefault="00A7782B">
      <w:pPr>
        <w:pStyle w:val="Heading2"/>
        <w:ind w:left="-5"/>
      </w:pPr>
      <w:r>
        <w:t xml:space="preserve">3.3 Consultant organizations and their clients </w:t>
      </w:r>
    </w:p>
    <w:p w:rsidR="00B47AED" w:rsidRDefault="00A7782B">
      <w:pPr>
        <w:spacing w:after="0" w:line="259" w:lineRule="auto"/>
        <w:ind w:left="720" w:right="0" w:firstLine="0"/>
        <w:jc w:val="left"/>
      </w:pPr>
      <w:r>
        <w:t xml:space="preserve"> </w:t>
      </w:r>
    </w:p>
    <w:p w:rsidR="00310048" w:rsidRDefault="00A7782B">
      <w:pPr>
        <w:ind w:left="10" w:right="45"/>
      </w:pPr>
      <w:r>
        <w:rPr>
          <w:b/>
        </w:rPr>
        <w:t xml:space="preserve">3.3.1 </w:t>
      </w:r>
      <w:r w:rsidR="00310048">
        <w:t>Organizations offering management systems consultancy services for the purposes of certification, shall be certified by KEBS CB on condition that they will not use the certification to misinform clients that certification by KEBS CB would be easier/faster if they them to provide consultancy services.</w:t>
      </w:r>
    </w:p>
    <w:p w:rsidR="00310048" w:rsidRDefault="00310048">
      <w:pPr>
        <w:ind w:left="10" w:right="45"/>
      </w:pPr>
    </w:p>
    <w:p w:rsidR="00B47AED" w:rsidRDefault="00B47AED">
      <w:pPr>
        <w:spacing w:after="0" w:line="259" w:lineRule="auto"/>
        <w:ind w:left="360" w:right="0" w:firstLine="0"/>
        <w:jc w:val="left"/>
      </w:pPr>
      <w:bookmarkStart w:id="0" w:name="_GoBack"/>
      <w:bookmarkEnd w:id="0"/>
    </w:p>
    <w:p w:rsidR="00B47AED" w:rsidRDefault="00A7782B">
      <w:pPr>
        <w:spacing w:after="213" w:line="259" w:lineRule="auto"/>
        <w:ind w:left="720" w:right="0" w:firstLine="0"/>
        <w:jc w:val="left"/>
      </w:pPr>
      <w:r>
        <w:lastRenderedPageBreak/>
        <w:t xml:space="preserve"> </w:t>
      </w:r>
    </w:p>
    <w:p w:rsidR="00B47AED" w:rsidRDefault="00A7782B">
      <w:pPr>
        <w:spacing w:after="0" w:line="259" w:lineRule="auto"/>
        <w:ind w:left="0" w:right="0" w:firstLine="0"/>
        <w:jc w:val="left"/>
      </w:pPr>
      <w:r>
        <w:t xml:space="preserve"> </w:t>
      </w:r>
    </w:p>
    <w:p w:rsidR="00B47AED" w:rsidRDefault="00A7782B">
      <w:pPr>
        <w:spacing w:after="75" w:line="259" w:lineRule="auto"/>
        <w:ind w:left="0" w:right="0" w:firstLine="0"/>
      </w:pPr>
      <w:r>
        <w:t xml:space="preserve"> </w:t>
      </w:r>
      <w:r>
        <w:tab/>
        <w:t xml:space="preserve"> </w:t>
      </w:r>
      <w:r>
        <w:tab/>
        <w:t xml:space="preserve"> </w:t>
      </w:r>
    </w:p>
    <w:p w:rsidR="00B47AED" w:rsidRDefault="00A7782B">
      <w:pPr>
        <w:spacing w:after="67" w:line="259" w:lineRule="auto"/>
        <w:ind w:left="-29" w:right="0" w:firstLine="0"/>
        <w:jc w:val="left"/>
      </w:pPr>
      <w:r>
        <w:rPr>
          <w:rFonts w:ascii="Calibri" w:eastAsia="Calibri" w:hAnsi="Calibri" w:cs="Calibri"/>
          <w:noProof/>
          <w:lang w:val="en-US" w:eastAsia="en-US"/>
        </w:rPr>
        <mc:AlternateContent>
          <mc:Choice Requires="wpg">
            <w:drawing>
              <wp:inline distT="0" distB="0" distL="0" distR="0">
                <wp:extent cx="5981065" cy="56388"/>
                <wp:effectExtent l="0" t="0" r="0" b="0"/>
                <wp:docPr id="1332" name="Group 1332"/>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1680" name="Shape 1680"/>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81" name="Shape 1681"/>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1332" style="width:470.95pt;height:4.44pt;mso-position-horizontal-relative:char;mso-position-vertical-relative:line" coordsize="59810,563">
                <v:shape id="Shape 1682" style="position:absolute;width:59810;height:381;left:0;top:0;" coordsize="5981065,38100" path="m0,0l5981065,0l5981065,38100l0,38100l0,0">
                  <v:stroke weight="0pt" endcap="flat" joinstyle="miter" miterlimit="10" on="false" color="#000000" opacity="0"/>
                  <v:fill on="true" color="#622423"/>
                </v:shape>
                <v:shape id="Shape 1683" style="position:absolute;width:59810;height:91;left:0;top:472;" coordsize="5981065,9144" path="m0,0l5981065,0l5981065,9144l0,9144l0,0">
                  <v:stroke weight="0pt" endcap="flat" joinstyle="miter" miterlimit="10" on="false" color="#000000" opacity="0"/>
                  <v:fill on="true" color="#622423"/>
                </v:shape>
              </v:group>
            </w:pict>
          </mc:Fallback>
        </mc:AlternateContent>
      </w:r>
    </w:p>
    <w:p w:rsidR="00B47AED" w:rsidRDefault="00A7782B">
      <w:pPr>
        <w:tabs>
          <w:tab w:val="right" w:pos="9423"/>
        </w:tabs>
        <w:spacing w:after="235" w:line="259" w:lineRule="auto"/>
        <w:ind w:left="0" w:right="0" w:firstLine="0"/>
        <w:jc w:val="left"/>
      </w:pPr>
      <w:r>
        <w:rPr>
          <w:rFonts w:ascii="Times New Roman" w:eastAsia="Times New Roman" w:hAnsi="Times New Roman" w:cs="Times New Roman"/>
          <w:i/>
          <w:sz w:val="18"/>
        </w:rPr>
        <w:t>CER/POL/06 REV.2       2019-05-10</w:t>
      </w:r>
      <w:r>
        <w:rPr>
          <w:rFonts w:ascii="Cambria" w:eastAsia="Cambria" w:hAnsi="Cambria" w:cs="Cambria"/>
        </w:rPr>
        <w:t xml:space="preserve"> </w:t>
      </w:r>
      <w:r>
        <w:rPr>
          <w:rFonts w:ascii="Cambria" w:eastAsia="Cambria" w:hAnsi="Cambria" w:cs="Cambria"/>
        </w:rPr>
        <w:tab/>
        <w:t>Page 1</w:t>
      </w:r>
      <w:r>
        <w:rPr>
          <w:rFonts w:ascii="Calibri" w:eastAsia="Calibri" w:hAnsi="Calibri" w:cs="Calibri"/>
        </w:rPr>
        <w:t>/1</w:t>
      </w:r>
      <w:r>
        <w:rPr>
          <w:rFonts w:ascii="Cambria" w:eastAsia="Cambria" w:hAnsi="Cambria" w:cs="Cambria"/>
        </w:rPr>
        <w:t xml:space="preserve"> </w:t>
      </w:r>
    </w:p>
    <w:p w:rsidR="00B47AED" w:rsidRDefault="00A7782B">
      <w:pPr>
        <w:spacing w:after="0" w:line="259" w:lineRule="auto"/>
        <w:ind w:left="0" w:right="0" w:firstLine="0"/>
        <w:jc w:val="left"/>
      </w:pPr>
      <w:r>
        <w:rPr>
          <w:rFonts w:ascii="Calibri" w:eastAsia="Calibri" w:hAnsi="Calibri" w:cs="Calibri"/>
        </w:rPr>
        <w:t xml:space="preserve"> </w:t>
      </w:r>
    </w:p>
    <w:sectPr w:rsidR="00B47AED">
      <w:pgSz w:w="12240" w:h="15840"/>
      <w:pgMar w:top="593" w:right="1377"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AED"/>
    <w:rsid w:val="00310048"/>
    <w:rsid w:val="00A7782B"/>
    <w:rsid w:val="00B47A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E6191"/>
  <w15:docId w15:val="{E2E140BD-8C2E-4539-940D-D406FDEC1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730" w:right="60" w:hanging="10"/>
      <w:jc w:val="both"/>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5" w:line="250" w:lineRule="auto"/>
      <w:ind w:left="10" w:hanging="10"/>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outac</dc:creator>
  <cp:keywords/>
  <cp:lastModifiedBy>Lunani Isabella</cp:lastModifiedBy>
  <cp:revision>3</cp:revision>
  <dcterms:created xsi:type="dcterms:W3CDTF">2020-01-20T15:29:00Z</dcterms:created>
  <dcterms:modified xsi:type="dcterms:W3CDTF">2020-06-18T14:25:00Z</dcterms:modified>
</cp:coreProperties>
</file>