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704" w:type="dxa"/>
        <w:tblInd w:w="-108" w:type="dxa"/>
        <w:tblCellMar>
          <w:top w:w="0" w:type="dxa"/>
          <w:left w:w="103" w:type="dxa"/>
          <w:bottom w:w="235" w:type="dxa"/>
          <w:right w:w="115" w:type="dxa"/>
        </w:tblCellMar>
        <w:tblLook w:val="04A0" w:firstRow="1" w:lastRow="0" w:firstColumn="1" w:lastColumn="0" w:noHBand="0" w:noVBand="1"/>
      </w:tblPr>
      <w:tblGrid>
        <w:gridCol w:w="4271"/>
        <w:gridCol w:w="5433"/>
      </w:tblGrid>
      <w:tr w:rsidR="009E331C">
        <w:trPr>
          <w:trHeight w:val="1352"/>
        </w:trPr>
        <w:tc>
          <w:tcPr>
            <w:tcW w:w="4271" w:type="dxa"/>
            <w:tcBorders>
              <w:top w:val="single" w:sz="17" w:space="0" w:color="3366FF"/>
              <w:left w:val="single" w:sz="17" w:space="0" w:color="3366FF"/>
              <w:bottom w:val="single" w:sz="17" w:space="0" w:color="3366FF"/>
              <w:right w:val="single" w:sz="17" w:space="0" w:color="3366FF"/>
            </w:tcBorders>
            <w:vAlign w:val="bottom"/>
          </w:tcPr>
          <w:p w:rsidR="009E331C" w:rsidRDefault="00174AE4">
            <w:pPr>
              <w:spacing w:after="0" w:line="259" w:lineRule="auto"/>
              <w:ind w:left="0" w:right="2262" w:firstLine="0"/>
              <w:jc w:val="center"/>
            </w:pPr>
            <w:bookmarkStart w:id="0" w:name="_GoBack"/>
            <w:bookmarkEnd w:id="0"/>
            <w:r>
              <w:rPr>
                <w:noProof/>
              </w:rPr>
              <w:drawing>
                <wp:inline distT="0" distB="0" distL="0" distR="0">
                  <wp:extent cx="1104900" cy="636905"/>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5"/>
                          <a:stretch>
                            <a:fillRect/>
                          </a:stretch>
                        </pic:blipFill>
                        <pic:spPr>
                          <a:xfrm>
                            <a:off x="0" y="0"/>
                            <a:ext cx="1104900" cy="636905"/>
                          </a:xfrm>
                          <a:prstGeom prst="rect">
                            <a:avLst/>
                          </a:prstGeom>
                        </pic:spPr>
                      </pic:pic>
                    </a:graphicData>
                  </a:graphic>
                </wp:inline>
              </w:drawing>
            </w:r>
            <w:r>
              <w:rPr>
                <w:rFonts w:ascii="Times New Roman" w:eastAsia="Times New Roman" w:hAnsi="Times New Roman" w:cs="Times New Roman"/>
                <w:b/>
                <w:i/>
                <w:sz w:val="16"/>
              </w:rPr>
              <w:t xml:space="preserve"> </w:t>
            </w:r>
          </w:p>
        </w:tc>
        <w:tc>
          <w:tcPr>
            <w:tcW w:w="5433" w:type="dxa"/>
            <w:tcBorders>
              <w:top w:val="single" w:sz="17" w:space="0" w:color="3366FF"/>
              <w:left w:val="single" w:sz="17" w:space="0" w:color="3366FF"/>
              <w:bottom w:val="single" w:sz="17" w:space="0" w:color="3366FF"/>
              <w:right w:val="single" w:sz="17" w:space="0" w:color="3366FF"/>
            </w:tcBorders>
            <w:shd w:val="clear" w:color="auto" w:fill="0066CC"/>
            <w:vAlign w:val="center"/>
          </w:tcPr>
          <w:p w:rsidR="009E331C" w:rsidRDefault="00174AE4">
            <w:pPr>
              <w:spacing w:after="236" w:line="259" w:lineRule="auto"/>
              <w:ind w:left="0" w:right="0" w:firstLine="0"/>
              <w:jc w:val="left"/>
            </w:pPr>
            <w:r>
              <w:rPr>
                <w:rFonts w:ascii="Franklin Gothic" w:eastAsia="Franklin Gothic" w:hAnsi="Franklin Gothic" w:cs="Franklin Gothic"/>
                <w:sz w:val="36"/>
              </w:rPr>
              <w:t xml:space="preserve">Kenya Bureau of  </w:t>
            </w:r>
          </w:p>
          <w:p w:rsidR="009E331C" w:rsidRDefault="00174AE4">
            <w:pPr>
              <w:spacing w:after="0" w:line="259" w:lineRule="auto"/>
              <w:ind w:left="0" w:right="0" w:firstLine="0"/>
              <w:jc w:val="left"/>
            </w:pPr>
            <w:r>
              <w:rPr>
                <w:rFonts w:ascii="Franklin Gothic" w:eastAsia="Franklin Gothic" w:hAnsi="Franklin Gothic" w:cs="Franklin Gothic"/>
                <w:sz w:val="36"/>
              </w:rPr>
              <w:t>Standards</w:t>
            </w:r>
            <w:r>
              <w:rPr>
                <w:b/>
                <w:sz w:val="36"/>
              </w:rPr>
              <w:t xml:space="preserve"> </w:t>
            </w:r>
          </w:p>
        </w:tc>
      </w:tr>
    </w:tbl>
    <w:p w:rsidR="009E331C" w:rsidRDefault="00174AE4">
      <w:pPr>
        <w:spacing w:after="0" w:line="259" w:lineRule="auto"/>
        <w:ind w:left="72" w:right="0" w:firstLine="0"/>
        <w:jc w:val="center"/>
      </w:pPr>
      <w:r>
        <w:rPr>
          <w:b/>
          <w:sz w:val="28"/>
        </w:rPr>
        <w:t xml:space="preserve"> </w:t>
      </w:r>
    </w:p>
    <w:p w:rsidR="009E331C" w:rsidRDefault="00174AE4">
      <w:pPr>
        <w:spacing w:after="0" w:line="259" w:lineRule="auto"/>
        <w:ind w:left="350" w:right="0" w:firstLine="0"/>
        <w:jc w:val="center"/>
      </w:pPr>
      <w:r>
        <w:rPr>
          <w:b/>
          <w:sz w:val="28"/>
        </w:rPr>
        <w:t xml:space="preserve"> </w:t>
      </w:r>
    </w:p>
    <w:p w:rsidR="009E331C" w:rsidRDefault="00174AE4">
      <w:pPr>
        <w:spacing w:after="0" w:line="259" w:lineRule="auto"/>
        <w:ind w:left="280" w:right="0" w:hanging="10"/>
        <w:jc w:val="center"/>
      </w:pPr>
      <w:r>
        <w:rPr>
          <w:b/>
          <w:sz w:val="28"/>
        </w:rPr>
        <w:t xml:space="preserve">KENYA BUREAU OF STANDARDS  </w:t>
      </w:r>
    </w:p>
    <w:p w:rsidR="009E331C" w:rsidRDefault="00174AE4">
      <w:pPr>
        <w:spacing w:after="0" w:line="259" w:lineRule="auto"/>
        <w:ind w:left="350" w:right="0" w:firstLine="0"/>
        <w:jc w:val="center"/>
      </w:pPr>
      <w:r>
        <w:rPr>
          <w:b/>
          <w:sz w:val="28"/>
        </w:rPr>
        <w:t xml:space="preserve"> </w:t>
      </w:r>
    </w:p>
    <w:p w:rsidR="009E331C" w:rsidRDefault="00174AE4">
      <w:pPr>
        <w:spacing w:after="0" w:line="259" w:lineRule="auto"/>
        <w:ind w:left="280" w:right="278" w:hanging="10"/>
        <w:jc w:val="center"/>
      </w:pPr>
      <w:r>
        <w:rPr>
          <w:b/>
          <w:sz w:val="28"/>
        </w:rPr>
        <w:t xml:space="preserve">CER/POL/08: Policy on handling Complaints and appeals </w:t>
      </w:r>
    </w:p>
    <w:p w:rsidR="009E331C" w:rsidRDefault="00174AE4">
      <w:pPr>
        <w:spacing w:after="0" w:line="259" w:lineRule="auto"/>
        <w:ind w:left="0" w:right="0" w:firstLine="0"/>
        <w:jc w:val="left"/>
      </w:pPr>
      <w:r>
        <w:rPr>
          <w:b/>
          <w:sz w:val="28"/>
        </w:rPr>
        <w:t xml:space="preserve"> </w:t>
      </w:r>
    </w:p>
    <w:p w:rsidR="009E331C" w:rsidRDefault="00174AE4">
      <w:pPr>
        <w:pStyle w:val="Heading1"/>
        <w:ind w:left="705" w:hanging="720"/>
      </w:pPr>
      <w:r>
        <w:t xml:space="preserve">Introduction </w:t>
      </w:r>
    </w:p>
    <w:p w:rsidR="009E331C" w:rsidRDefault="00174AE4">
      <w:pPr>
        <w:spacing w:after="6"/>
        <w:ind w:left="720" w:right="0" w:firstLine="0"/>
      </w:pPr>
      <w:r>
        <w:t xml:space="preserve">This policy document defines how complaints raised on the KEBS Certified Clients by any interested party shall </w:t>
      </w:r>
      <w:r>
        <w:t xml:space="preserve">be handled and resolving. It also covers the appeals received from clients against CB decisions.  </w:t>
      </w:r>
    </w:p>
    <w:p w:rsidR="009E331C" w:rsidRDefault="00174AE4">
      <w:pPr>
        <w:spacing w:after="26" w:line="259" w:lineRule="auto"/>
        <w:ind w:left="0" w:right="0" w:firstLine="0"/>
        <w:jc w:val="left"/>
      </w:pPr>
      <w:r>
        <w:rPr>
          <w:sz w:val="20"/>
        </w:rPr>
        <w:t xml:space="preserve"> </w:t>
      </w:r>
    </w:p>
    <w:p w:rsidR="009E331C" w:rsidRDefault="00174AE4">
      <w:pPr>
        <w:pStyle w:val="Heading1"/>
        <w:ind w:left="705" w:hanging="720"/>
      </w:pPr>
      <w:r>
        <w:t xml:space="preserve">General </w:t>
      </w:r>
    </w:p>
    <w:p w:rsidR="009E331C" w:rsidRDefault="00174AE4">
      <w:pPr>
        <w:spacing w:after="0" w:line="259" w:lineRule="auto"/>
        <w:ind w:left="0" w:right="0" w:firstLine="0"/>
        <w:jc w:val="left"/>
      </w:pPr>
      <w:r>
        <w:rPr>
          <w:b/>
          <w:sz w:val="24"/>
        </w:rPr>
        <w:t xml:space="preserve"> </w:t>
      </w:r>
    </w:p>
    <w:p w:rsidR="009E331C" w:rsidRDefault="00174AE4">
      <w:pPr>
        <w:pStyle w:val="Heading2"/>
        <w:ind w:left="705" w:hanging="720"/>
      </w:pPr>
      <w:r>
        <w:t xml:space="preserve">Complaints on activities and services of the certified clients </w:t>
      </w:r>
    </w:p>
    <w:p w:rsidR="009E331C" w:rsidRDefault="00174AE4">
      <w:pPr>
        <w:ind w:left="715" w:right="0"/>
      </w:pPr>
      <w:r>
        <w:t xml:space="preserve">2.1.1 The complaint/appeal </w:t>
      </w:r>
      <w:proofErr w:type="gramStart"/>
      <w:r>
        <w:t>shall be assigned a complaint number and filed in the complaints register</w:t>
      </w:r>
      <w:proofErr w:type="gramEnd"/>
      <w:r>
        <w:t xml:space="preserve">. </w:t>
      </w:r>
    </w:p>
    <w:p w:rsidR="009E331C" w:rsidRDefault="00174AE4">
      <w:pPr>
        <w:ind w:left="715" w:right="0"/>
      </w:pPr>
      <w:r>
        <w:t xml:space="preserve">2.1.2 The CB shall ensure that all complaints and appeals </w:t>
      </w:r>
      <w:proofErr w:type="gramStart"/>
      <w:r>
        <w:t>are acknowledged</w:t>
      </w:r>
      <w:proofErr w:type="gramEnd"/>
      <w:r>
        <w:t xml:space="preserve">, in writing, within 7 days.  </w:t>
      </w:r>
    </w:p>
    <w:p w:rsidR="009E331C" w:rsidRDefault="00174AE4">
      <w:pPr>
        <w:ind w:left="-15" w:right="0" w:firstLine="0"/>
      </w:pPr>
      <w:r>
        <w:t>2.1.3 The CB shall appoint an investigating officer for each complaint/appe</w:t>
      </w:r>
      <w:r>
        <w:t xml:space="preserve">al received. </w:t>
      </w:r>
    </w:p>
    <w:p w:rsidR="009E331C" w:rsidRDefault="00174AE4">
      <w:pPr>
        <w:ind w:left="715" w:right="0"/>
      </w:pPr>
      <w:r>
        <w:t xml:space="preserve">2.1.4 The investigating officer shall carry out the investigations and then report the investigations in conjunction with the certified client. </w:t>
      </w:r>
    </w:p>
    <w:p w:rsidR="009E331C" w:rsidRDefault="00174AE4">
      <w:pPr>
        <w:ind w:left="715" w:right="0"/>
      </w:pPr>
      <w:r>
        <w:t>2.1.5 The investigating officer shall then respond to the complainant/appellant in writing and en</w:t>
      </w:r>
      <w:r>
        <w:t xml:space="preserve">sure that the complaint </w:t>
      </w:r>
      <w:proofErr w:type="gramStart"/>
      <w:r>
        <w:t>is closed out</w:t>
      </w:r>
      <w:proofErr w:type="gramEnd"/>
      <w:r>
        <w:t xml:space="preserve"> </w:t>
      </w:r>
    </w:p>
    <w:p w:rsidR="009E331C" w:rsidRDefault="00174AE4">
      <w:pPr>
        <w:ind w:left="-15" w:right="0" w:firstLine="0"/>
      </w:pPr>
      <w:r>
        <w:t xml:space="preserve">2.1.6 </w:t>
      </w:r>
      <w:proofErr w:type="spellStart"/>
      <w:r>
        <w:t>Turn around</w:t>
      </w:r>
      <w:proofErr w:type="spellEnd"/>
      <w:r>
        <w:t xml:space="preserve"> time for resolution of complaints shall not be more than 30 working days </w:t>
      </w:r>
    </w:p>
    <w:p w:rsidR="009E331C" w:rsidRDefault="00174AE4">
      <w:pPr>
        <w:pStyle w:val="Heading2"/>
        <w:ind w:left="705" w:hanging="720"/>
      </w:pPr>
      <w:r>
        <w:t xml:space="preserve">Complaints concerning a certified client </w:t>
      </w:r>
    </w:p>
    <w:p w:rsidR="009E331C" w:rsidRDefault="00174AE4">
      <w:pPr>
        <w:ind w:left="715" w:right="0"/>
      </w:pPr>
      <w:r>
        <w:t xml:space="preserve">2.2.1 Complaints on a certified client </w:t>
      </w:r>
      <w:proofErr w:type="gramStart"/>
      <w:r>
        <w:t>shall be dealt with</w:t>
      </w:r>
      <w:proofErr w:type="gramEnd"/>
      <w:r>
        <w:t xml:space="preserve"> as indicated in clause 2</w:t>
      </w:r>
      <w:r>
        <w:t xml:space="preserve">.1 above except that after acknowledgement of the complaint (see 2.1.2), the CB shall inform the certified client in writing concerning the received complaint. </w:t>
      </w:r>
    </w:p>
    <w:p w:rsidR="009E331C" w:rsidRDefault="00174AE4">
      <w:pPr>
        <w:ind w:left="715" w:right="0"/>
      </w:pPr>
      <w:r>
        <w:t xml:space="preserve">2.2.2 Any feedback received from the client on the complaint </w:t>
      </w:r>
      <w:proofErr w:type="gramStart"/>
      <w:r>
        <w:t>shall be taken</w:t>
      </w:r>
      <w:proofErr w:type="gramEnd"/>
      <w:r>
        <w:t xml:space="preserve"> into account during</w:t>
      </w:r>
      <w:r>
        <w:t xml:space="preserve"> the investigation process and shall be communicated to the complainant.  </w:t>
      </w:r>
    </w:p>
    <w:p w:rsidR="009E331C" w:rsidRDefault="00174AE4">
      <w:pPr>
        <w:spacing w:after="0" w:line="276" w:lineRule="auto"/>
        <w:ind w:left="720" w:right="0" w:hanging="720"/>
        <w:jc w:val="left"/>
      </w:pPr>
      <w:r>
        <w:t>2.2.3 Once correction, and/or corrective actions have been completed and verified, the CB shall inform the certified client and the complainant in writing of the resolution of the c</w:t>
      </w:r>
      <w:r>
        <w:t xml:space="preserve">omplaint. </w:t>
      </w:r>
    </w:p>
    <w:p w:rsidR="009E331C" w:rsidRDefault="00174AE4">
      <w:pPr>
        <w:spacing w:after="70" w:line="259" w:lineRule="auto"/>
        <w:ind w:left="-29" w:right="-23" w:firstLine="0"/>
        <w:jc w:val="left"/>
      </w:pPr>
      <w:r>
        <w:rPr>
          <w:rFonts w:ascii="Calibri" w:eastAsia="Calibri" w:hAnsi="Calibri" w:cs="Calibri"/>
          <w:noProof/>
        </w:rPr>
        <mc:AlternateContent>
          <mc:Choice Requires="wpg">
            <w:drawing>
              <wp:inline distT="0" distB="0" distL="0" distR="0">
                <wp:extent cx="5981065" cy="56388"/>
                <wp:effectExtent l="0" t="0" r="0" b="0"/>
                <wp:docPr id="2171" name="Group 2171"/>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2471" name="Shape 2471"/>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472" name="Shape 2472"/>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xmlns:a="http://schemas.openxmlformats.org/drawingml/2006/main">
            <w:pict>
              <v:group id="Group 2171" style="width:470.95pt;height:4.44pt;mso-position-horizontal-relative:char;mso-position-vertical-relative:line" coordsize="59810,563">
                <v:shape id="Shape 2473" style="position:absolute;width:59810;height:381;left:0;top:0;" coordsize="5981065,38100" path="m0,0l5981065,0l5981065,38100l0,38100l0,0">
                  <v:stroke weight="0pt" endcap="flat" joinstyle="miter" miterlimit="10" on="false" color="#000000" opacity="0"/>
                  <v:fill on="true" color="#622423"/>
                </v:shape>
                <v:shape id="Shape 2474" style="position:absolute;width:59810;height:91;left:0;top:472;" coordsize="5981065,9144" path="m0,0l5981065,0l5981065,9144l0,9144l0,0">
                  <v:stroke weight="0pt" endcap="flat" joinstyle="miter" miterlimit="10" on="false" color="#000000" opacity="0"/>
                  <v:fill on="true" color="#622423"/>
                </v:shape>
              </v:group>
            </w:pict>
          </mc:Fallback>
        </mc:AlternateContent>
      </w:r>
    </w:p>
    <w:p w:rsidR="009E331C" w:rsidRDefault="00174AE4">
      <w:pPr>
        <w:tabs>
          <w:tab w:val="right" w:pos="9367"/>
        </w:tabs>
        <w:spacing w:after="225" w:line="259" w:lineRule="auto"/>
        <w:ind w:left="-15" w:right="-12" w:firstLine="0"/>
        <w:jc w:val="left"/>
      </w:pPr>
      <w:r>
        <w:rPr>
          <w:rFonts w:ascii="Times New Roman" w:eastAsia="Times New Roman" w:hAnsi="Times New Roman" w:cs="Times New Roman"/>
          <w:i/>
          <w:sz w:val="18"/>
        </w:rPr>
        <w:t>CER/POL/08 REV.0       10/05/2019</w:t>
      </w:r>
      <w:r>
        <w:rPr>
          <w:rFonts w:ascii="Cambria" w:eastAsia="Cambria" w:hAnsi="Cambria" w:cs="Cambria"/>
        </w:rPr>
        <w:t xml:space="preserve"> </w:t>
      </w:r>
      <w:r>
        <w:rPr>
          <w:rFonts w:ascii="Cambria" w:eastAsia="Cambria" w:hAnsi="Cambria" w:cs="Cambria"/>
        </w:rPr>
        <w:tab/>
        <w:t xml:space="preserve">Page 1 </w:t>
      </w:r>
    </w:p>
    <w:p w:rsidR="009E331C" w:rsidRDefault="00174AE4">
      <w:pPr>
        <w:spacing w:after="0" w:line="259" w:lineRule="auto"/>
        <w:ind w:left="0" w:right="0" w:firstLine="0"/>
        <w:jc w:val="left"/>
      </w:pPr>
      <w:r>
        <w:rPr>
          <w:rFonts w:ascii="Calibri" w:eastAsia="Calibri" w:hAnsi="Calibri" w:cs="Calibri"/>
        </w:rPr>
        <w:lastRenderedPageBreak/>
        <w:t xml:space="preserve"> </w:t>
      </w:r>
    </w:p>
    <w:p w:rsidR="009E331C" w:rsidRDefault="00174AE4">
      <w:pPr>
        <w:spacing w:after="215" w:line="259" w:lineRule="auto"/>
        <w:ind w:left="0" w:right="0" w:firstLine="0"/>
        <w:jc w:val="left"/>
      </w:pPr>
      <w:r>
        <w:rPr>
          <w:b/>
        </w:rPr>
        <w:t xml:space="preserve"> </w:t>
      </w:r>
    </w:p>
    <w:p w:rsidR="009E331C" w:rsidRDefault="00174AE4">
      <w:pPr>
        <w:pStyle w:val="Heading2"/>
        <w:ind w:left="705" w:hanging="720"/>
      </w:pPr>
      <w:r>
        <w:t xml:space="preserve">Appeals </w:t>
      </w:r>
    </w:p>
    <w:p w:rsidR="009E331C" w:rsidRDefault="00174AE4">
      <w:pPr>
        <w:ind w:left="715" w:right="0"/>
      </w:pPr>
      <w:r>
        <w:t xml:space="preserve">2.4.1 </w:t>
      </w:r>
      <w:r>
        <w:t xml:space="preserve">CB clients may appeal any decision of the KEBS CB. These decisions may include decisions not to award certification, decisions to suspend or to withdraw certification, or decisions to reduce the scope of certification. </w:t>
      </w:r>
    </w:p>
    <w:p w:rsidR="009E331C" w:rsidRDefault="00174AE4">
      <w:pPr>
        <w:ind w:left="715" w:right="0"/>
      </w:pPr>
      <w:r>
        <w:t xml:space="preserve">2.4.2 All appellants </w:t>
      </w:r>
      <w:proofErr w:type="gramStart"/>
      <w:r>
        <w:t>shall be advise</w:t>
      </w:r>
      <w:r>
        <w:t>d</w:t>
      </w:r>
      <w:proofErr w:type="gramEnd"/>
      <w:r>
        <w:t xml:space="preserve"> to file a written appeal. This may be in the form of a letter or by completing the enquiries, compliments, complaints and appeals form. </w:t>
      </w:r>
    </w:p>
    <w:p w:rsidR="009E331C" w:rsidRDefault="00174AE4">
      <w:pPr>
        <w:ind w:left="715" w:right="0"/>
      </w:pPr>
      <w:r>
        <w:t xml:space="preserve">2.4.3 The written appeal </w:t>
      </w:r>
      <w:proofErr w:type="gramStart"/>
      <w:r>
        <w:t>shall be forwarded</w:t>
      </w:r>
      <w:proofErr w:type="gramEnd"/>
      <w:r>
        <w:t xml:space="preserve"> to the HOD who shall validate it and if necessary appoint an investigatin</w:t>
      </w:r>
      <w:r>
        <w:t xml:space="preserve">g officer/team </w:t>
      </w:r>
    </w:p>
    <w:p w:rsidR="009E331C" w:rsidRDefault="00174AE4">
      <w:pPr>
        <w:ind w:left="715" w:right="0"/>
      </w:pPr>
      <w:r>
        <w:t xml:space="preserve">2.4.4 Once the investigations are complete, the CB shall then communicate the decision of the CB to the appellant, in writing, and give formal notice of the end of the appeal handling process. </w:t>
      </w:r>
    </w:p>
    <w:p w:rsidR="009E331C" w:rsidRDefault="00174AE4">
      <w:pPr>
        <w:ind w:left="715" w:right="0"/>
      </w:pPr>
      <w:r>
        <w:t>2.4.6 If the appellant does not agree with the</w:t>
      </w:r>
      <w:r>
        <w:t xml:space="preserve"> outcome of the appeal process, the dispute resolution mechanism (detailed in the certification contract) shall come into effect. </w:t>
      </w:r>
    </w:p>
    <w:p w:rsidR="009E331C" w:rsidRDefault="00174AE4">
      <w:pPr>
        <w:tabs>
          <w:tab w:val="center" w:pos="1464"/>
        </w:tabs>
        <w:spacing w:after="225" w:line="259" w:lineRule="auto"/>
        <w:ind w:left="-15" w:right="0" w:firstLine="0"/>
        <w:jc w:val="left"/>
      </w:pPr>
      <w:r>
        <w:rPr>
          <w:b/>
        </w:rPr>
        <w:t>3.0</w:t>
      </w:r>
      <w:r>
        <w:t xml:space="preserve"> </w:t>
      </w:r>
      <w:r>
        <w:tab/>
      </w:r>
      <w:r>
        <w:rPr>
          <w:b/>
        </w:rPr>
        <w:t xml:space="preserve">APPENDICES. </w:t>
      </w:r>
    </w:p>
    <w:p w:rsidR="009E331C" w:rsidRDefault="00174AE4">
      <w:pPr>
        <w:ind w:left="-15" w:right="0" w:firstLine="0"/>
      </w:pPr>
      <w:r>
        <w:t xml:space="preserve">None  </w:t>
      </w:r>
    </w:p>
    <w:p w:rsidR="009E331C" w:rsidRDefault="00174AE4">
      <w:pPr>
        <w:spacing w:after="199" w:line="259" w:lineRule="auto"/>
        <w:ind w:left="0" w:right="0" w:firstLine="0"/>
        <w:jc w:val="left"/>
      </w:pPr>
      <w:r>
        <w:t xml:space="preserve"> </w:t>
      </w:r>
    </w:p>
    <w:p w:rsidR="009E331C" w:rsidRDefault="00174AE4">
      <w:pPr>
        <w:spacing w:after="17" w:line="259" w:lineRule="auto"/>
        <w:ind w:left="0" w:right="0" w:firstLine="0"/>
        <w:jc w:val="left"/>
      </w:pPr>
      <w:r>
        <w:rPr>
          <w:sz w:val="20"/>
        </w:rPr>
        <w:t xml:space="preserve"> </w:t>
      </w:r>
    </w:p>
    <w:p w:rsidR="009E331C" w:rsidRDefault="00174AE4">
      <w:pPr>
        <w:spacing w:after="17" w:line="259" w:lineRule="auto"/>
        <w:ind w:left="0" w:right="0" w:firstLine="0"/>
        <w:jc w:val="left"/>
      </w:pPr>
      <w:r>
        <w:rPr>
          <w:sz w:val="20"/>
        </w:rPr>
        <w:t xml:space="preserve"> </w:t>
      </w:r>
    </w:p>
    <w:p w:rsidR="009E331C" w:rsidRDefault="00174AE4">
      <w:pPr>
        <w:spacing w:after="17" w:line="259" w:lineRule="auto"/>
        <w:ind w:left="0" w:right="0" w:firstLine="0"/>
        <w:jc w:val="left"/>
      </w:pPr>
      <w:r>
        <w:rPr>
          <w:sz w:val="20"/>
        </w:rPr>
        <w:t xml:space="preserve"> </w:t>
      </w:r>
    </w:p>
    <w:p w:rsidR="009E331C" w:rsidRDefault="00174AE4">
      <w:pPr>
        <w:spacing w:after="17" w:line="259" w:lineRule="auto"/>
        <w:ind w:left="0" w:right="0" w:firstLine="0"/>
        <w:jc w:val="left"/>
      </w:pPr>
      <w:r>
        <w:rPr>
          <w:sz w:val="20"/>
        </w:rPr>
        <w:t xml:space="preserve"> </w:t>
      </w:r>
    </w:p>
    <w:p w:rsidR="009E331C" w:rsidRDefault="00174AE4">
      <w:pPr>
        <w:spacing w:after="36" w:line="259" w:lineRule="auto"/>
        <w:ind w:left="0" w:right="0" w:firstLine="0"/>
        <w:jc w:val="left"/>
      </w:pPr>
      <w:r>
        <w:rPr>
          <w:sz w:val="20"/>
        </w:rPr>
        <w:t xml:space="preserve"> </w:t>
      </w:r>
    </w:p>
    <w:p w:rsidR="009E331C" w:rsidRDefault="00174AE4">
      <w:pPr>
        <w:spacing w:after="4514" w:line="259" w:lineRule="auto"/>
        <w:ind w:left="0" w:right="0" w:firstLine="0"/>
        <w:jc w:val="left"/>
      </w:pPr>
      <w:r>
        <w:t xml:space="preserve"> </w:t>
      </w:r>
    </w:p>
    <w:p w:rsidR="009E331C" w:rsidRDefault="00174AE4">
      <w:pPr>
        <w:spacing w:after="70" w:line="259" w:lineRule="auto"/>
        <w:ind w:left="-29" w:right="-23" w:firstLine="0"/>
        <w:jc w:val="left"/>
      </w:pPr>
      <w:r>
        <w:rPr>
          <w:rFonts w:ascii="Calibri" w:eastAsia="Calibri" w:hAnsi="Calibri" w:cs="Calibri"/>
          <w:noProof/>
        </w:rPr>
        <mc:AlternateContent>
          <mc:Choice Requires="wpg">
            <w:drawing>
              <wp:inline distT="0" distB="0" distL="0" distR="0">
                <wp:extent cx="5981065" cy="56388"/>
                <wp:effectExtent l="0" t="0" r="0" b="0"/>
                <wp:docPr id="2001" name="Group 2001"/>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2475" name="Shape 2475"/>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476" name="Shape 2476"/>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xmlns:a="http://schemas.openxmlformats.org/drawingml/2006/main">
            <w:pict>
              <v:group id="Group 2001" style="width:470.95pt;height:4.44pt;mso-position-horizontal-relative:char;mso-position-vertical-relative:line" coordsize="59810,563">
                <v:shape id="Shape 2477" style="position:absolute;width:59810;height:381;left:0;top:0;" coordsize="5981065,38100" path="m0,0l5981065,0l5981065,38100l0,38100l0,0">
                  <v:stroke weight="0pt" endcap="flat" joinstyle="miter" miterlimit="10" on="false" color="#000000" opacity="0"/>
                  <v:fill on="true" color="#622423"/>
                </v:shape>
                <v:shape id="Shape 2478" style="position:absolute;width:59810;height:91;left:0;top:472;" coordsize="5981065,9144" path="m0,0l5981065,0l5981065,9144l0,9144l0,0">
                  <v:stroke weight="0pt" endcap="flat" joinstyle="miter" miterlimit="10" on="false" color="#000000" opacity="0"/>
                  <v:fill on="true" color="#622423"/>
                </v:shape>
              </v:group>
            </w:pict>
          </mc:Fallback>
        </mc:AlternateContent>
      </w:r>
    </w:p>
    <w:p w:rsidR="009E331C" w:rsidRDefault="00174AE4">
      <w:pPr>
        <w:tabs>
          <w:tab w:val="right" w:pos="9367"/>
        </w:tabs>
        <w:spacing w:after="225" w:line="259" w:lineRule="auto"/>
        <w:ind w:left="-15" w:right="-12" w:firstLine="0"/>
        <w:jc w:val="left"/>
      </w:pPr>
      <w:r>
        <w:rPr>
          <w:rFonts w:ascii="Times New Roman" w:eastAsia="Times New Roman" w:hAnsi="Times New Roman" w:cs="Times New Roman"/>
          <w:i/>
          <w:sz w:val="18"/>
        </w:rPr>
        <w:t>CER/POL/08 REV.0       10/05/2019</w:t>
      </w:r>
      <w:r>
        <w:rPr>
          <w:rFonts w:ascii="Cambria" w:eastAsia="Cambria" w:hAnsi="Cambria" w:cs="Cambria"/>
        </w:rPr>
        <w:t xml:space="preserve"> </w:t>
      </w:r>
      <w:r>
        <w:rPr>
          <w:rFonts w:ascii="Cambria" w:eastAsia="Cambria" w:hAnsi="Cambria" w:cs="Cambria"/>
        </w:rPr>
        <w:tab/>
        <w:t xml:space="preserve">Page 2 </w:t>
      </w:r>
    </w:p>
    <w:p w:rsidR="009E331C" w:rsidRDefault="00174AE4">
      <w:pPr>
        <w:spacing w:after="0" w:line="259" w:lineRule="auto"/>
        <w:ind w:left="0" w:right="0" w:firstLine="0"/>
        <w:jc w:val="left"/>
      </w:pPr>
      <w:r>
        <w:rPr>
          <w:rFonts w:ascii="Calibri" w:eastAsia="Calibri" w:hAnsi="Calibri" w:cs="Calibri"/>
        </w:rPr>
        <w:lastRenderedPageBreak/>
        <w:t xml:space="preserve"> </w:t>
      </w:r>
    </w:p>
    <w:sectPr w:rsidR="009E331C">
      <w:pgSz w:w="12240" w:h="15840"/>
      <w:pgMar w:top="856" w:right="1432" w:bottom="80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C53EA"/>
    <w:multiLevelType w:val="multilevel"/>
    <w:tmpl w:val="1B1A389A"/>
    <w:lvl w:ilvl="0">
      <w:start w:val="1"/>
      <w:numFmt w:val="decimal"/>
      <w:pStyle w:val="Heading1"/>
      <w:lvlText w:val="%1."/>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31C"/>
    <w:rsid w:val="00174AE4"/>
    <w:rsid w:val="009E33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EDE195-E0D5-4AD5-868D-092431CEB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4" w:line="269" w:lineRule="auto"/>
      <w:ind w:left="1450" w:right="1" w:hanging="73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numPr>
        <w:numId w:val="1"/>
      </w:numPr>
      <w:spacing w:after="0"/>
      <w:ind w:left="10"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numPr>
        <w:ilvl w:val="1"/>
        <w:numId w:val="1"/>
      </w:numPr>
      <w:spacing w:after="225"/>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outac</dc:creator>
  <cp:keywords/>
  <cp:lastModifiedBy>Wangui Purity</cp:lastModifiedBy>
  <cp:revision>2</cp:revision>
  <dcterms:created xsi:type="dcterms:W3CDTF">2020-01-20T15:30:00Z</dcterms:created>
  <dcterms:modified xsi:type="dcterms:W3CDTF">2020-01-20T15:30:00Z</dcterms:modified>
</cp:coreProperties>
</file>