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Pr="0079049C" w:rsidRDefault="001B427A">
      <w:pPr>
        <w:autoSpaceDE w:val="0"/>
        <w:autoSpaceDN w:val="0"/>
        <w:adjustRightInd w:val="0"/>
        <w:jc w:val="center"/>
        <w:rPr>
          <w:rFonts w:ascii="Arial" w:hAnsi="Arial" w:cs="Arial"/>
          <w:b/>
          <w:bCs/>
          <w:color w:val="000000"/>
          <w:sz w:val="20"/>
          <w:szCs w:val="20"/>
        </w:rPr>
      </w:pPr>
      <w:r w:rsidRPr="0079049C">
        <w:rPr>
          <w:rFonts w:ascii="Arial" w:hAnsi="Arial" w:cs="Arial"/>
          <w:b/>
          <w:bCs/>
          <w:color w:val="000000"/>
          <w:sz w:val="20"/>
          <w:szCs w:val="20"/>
        </w:rPr>
        <w:t>KENYA BUREAU OF STANDARDS</w:t>
      </w:r>
    </w:p>
    <w:p w:rsidR="001B427A" w:rsidRPr="0079049C" w:rsidRDefault="001B427A">
      <w:pPr>
        <w:autoSpaceDE w:val="0"/>
        <w:autoSpaceDN w:val="0"/>
        <w:adjustRightInd w:val="0"/>
        <w:jc w:val="center"/>
        <w:rPr>
          <w:rFonts w:ascii="Arial" w:hAnsi="Arial" w:cs="Arial"/>
          <w:b/>
          <w:bCs/>
          <w:sz w:val="20"/>
          <w:szCs w:val="20"/>
        </w:rPr>
      </w:pPr>
    </w:p>
    <w:p w:rsidR="001B427A" w:rsidRPr="0079049C" w:rsidRDefault="001B427A">
      <w:pPr>
        <w:autoSpaceDE w:val="0"/>
        <w:autoSpaceDN w:val="0"/>
        <w:adjustRightInd w:val="0"/>
        <w:jc w:val="center"/>
        <w:rPr>
          <w:rFonts w:ascii="Arial" w:hAnsi="Arial" w:cs="Arial"/>
          <w:b/>
          <w:bCs/>
          <w:sz w:val="20"/>
          <w:szCs w:val="20"/>
        </w:rPr>
      </w:pPr>
      <w:r w:rsidRPr="0079049C">
        <w:rPr>
          <w:rFonts w:ascii="Arial" w:hAnsi="Arial" w:cs="Arial"/>
          <w:b/>
          <w:bCs/>
          <w:sz w:val="20"/>
          <w:szCs w:val="20"/>
        </w:rPr>
        <w:t>ADOPTION PROPOSAL</w:t>
      </w:r>
    </w:p>
    <w:p w:rsidR="00B958AB" w:rsidRPr="0079049C"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B958AB" w:rsidRPr="0079049C">
        <w:tc>
          <w:tcPr>
            <w:tcW w:w="2178"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b/>
                <w:sz w:val="20"/>
                <w:szCs w:val="20"/>
              </w:rPr>
            </w:pPr>
            <w:r w:rsidRPr="0079049C">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79049C" w:rsidRDefault="00B958AB" w:rsidP="00B958AB">
            <w:pPr>
              <w:autoSpaceDE w:val="0"/>
              <w:autoSpaceDN w:val="0"/>
              <w:adjustRightInd w:val="0"/>
              <w:rPr>
                <w:rFonts w:ascii="Arial" w:hAnsi="Arial" w:cs="Arial"/>
                <w:sz w:val="20"/>
                <w:szCs w:val="20"/>
              </w:rPr>
            </w:pPr>
            <w:r w:rsidRPr="0079049C">
              <w:rPr>
                <w:rFonts w:ascii="Arial" w:hAnsi="Arial" w:cs="Arial"/>
                <w:b/>
                <w:bCs/>
                <w:sz w:val="20"/>
                <w:szCs w:val="20"/>
              </w:rPr>
              <w:t>Adoption proposal</w:t>
            </w:r>
          </w:p>
        </w:tc>
      </w:tr>
      <w:tr w:rsidR="00B958AB" w:rsidRPr="0079049C">
        <w:tc>
          <w:tcPr>
            <w:tcW w:w="2178" w:type="dxa"/>
            <w:vMerge w:val="restart"/>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b/>
                <w:sz w:val="20"/>
                <w:szCs w:val="20"/>
              </w:rPr>
            </w:pPr>
            <w:r w:rsidRPr="0079049C">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sz w:val="20"/>
                <w:szCs w:val="20"/>
              </w:rPr>
              <w:t>Closing date</w:t>
            </w:r>
          </w:p>
        </w:tc>
      </w:tr>
      <w:tr w:rsidR="00B958AB" w:rsidRPr="0079049C">
        <w:tc>
          <w:tcPr>
            <w:tcW w:w="0" w:type="auto"/>
            <w:vMerge/>
            <w:tcBorders>
              <w:top w:val="single" w:sz="4" w:space="0" w:color="auto"/>
              <w:left w:val="single" w:sz="4" w:space="0" w:color="auto"/>
              <w:bottom w:val="single" w:sz="4" w:space="0" w:color="auto"/>
              <w:right w:val="single" w:sz="4" w:space="0" w:color="auto"/>
            </w:tcBorders>
            <w:vAlign w:val="center"/>
          </w:tcPr>
          <w:p w:rsidR="00B958AB" w:rsidRPr="0079049C" w:rsidRDefault="00B958AB" w:rsidP="00B958AB">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B958AB" w:rsidRPr="0079049C" w:rsidRDefault="008E767D" w:rsidP="00B958AB">
            <w:pPr>
              <w:tabs>
                <w:tab w:val="center" w:pos="4320"/>
                <w:tab w:val="right" w:pos="8640"/>
              </w:tabs>
              <w:rPr>
                <w:rFonts w:ascii="Arial" w:hAnsi="Arial" w:cs="Arial"/>
                <w:sz w:val="20"/>
                <w:szCs w:val="20"/>
              </w:rPr>
            </w:pPr>
            <w:r>
              <w:rPr>
                <w:rFonts w:ascii="Arial" w:hAnsi="Arial" w:cs="Arial"/>
                <w:sz w:val="20"/>
                <w:szCs w:val="20"/>
              </w:rPr>
              <w:t>2</w:t>
            </w:r>
            <w:r w:rsidR="00DB5616">
              <w:rPr>
                <w:rFonts w:ascii="Arial" w:hAnsi="Arial" w:cs="Arial"/>
                <w:sz w:val="20"/>
                <w:szCs w:val="20"/>
              </w:rPr>
              <w:t>5</w:t>
            </w:r>
            <w:r>
              <w:rPr>
                <w:rFonts w:ascii="Arial" w:hAnsi="Arial" w:cs="Arial"/>
                <w:sz w:val="20"/>
                <w:szCs w:val="20"/>
              </w:rPr>
              <w:t>-03</w:t>
            </w:r>
            <w:r w:rsidR="00874DFE" w:rsidRPr="0079049C">
              <w:rPr>
                <w:rFonts w:ascii="Arial" w:hAnsi="Arial" w:cs="Arial"/>
                <w:sz w:val="20"/>
                <w:szCs w:val="20"/>
              </w:rPr>
              <w:t>-201</w:t>
            </w:r>
            <w:r>
              <w:rPr>
                <w:rFonts w:ascii="Arial" w:hAnsi="Arial" w:cs="Arial"/>
                <w:sz w:val="20"/>
                <w:szCs w:val="20"/>
              </w:rPr>
              <w:t>9</w:t>
            </w:r>
          </w:p>
        </w:tc>
        <w:tc>
          <w:tcPr>
            <w:tcW w:w="2970" w:type="dxa"/>
            <w:tcBorders>
              <w:top w:val="single" w:sz="4" w:space="0" w:color="auto"/>
              <w:left w:val="single" w:sz="4" w:space="0" w:color="auto"/>
              <w:bottom w:val="single" w:sz="4" w:space="0" w:color="auto"/>
              <w:right w:val="single" w:sz="4" w:space="0" w:color="auto"/>
            </w:tcBorders>
          </w:tcPr>
          <w:p w:rsidR="00B958AB" w:rsidRPr="0079049C" w:rsidRDefault="008E767D" w:rsidP="00ED3C28">
            <w:pPr>
              <w:tabs>
                <w:tab w:val="center" w:pos="4320"/>
                <w:tab w:val="right" w:pos="8640"/>
              </w:tabs>
              <w:rPr>
                <w:rFonts w:ascii="Arial" w:hAnsi="Arial" w:cs="Arial"/>
                <w:sz w:val="20"/>
                <w:szCs w:val="20"/>
              </w:rPr>
            </w:pPr>
            <w:r>
              <w:rPr>
                <w:rFonts w:ascii="Arial" w:hAnsi="Arial" w:cs="Arial"/>
                <w:sz w:val="20"/>
                <w:szCs w:val="20"/>
              </w:rPr>
              <w:t>2</w:t>
            </w:r>
            <w:r w:rsidR="00DB5616">
              <w:rPr>
                <w:rFonts w:ascii="Arial" w:hAnsi="Arial" w:cs="Arial"/>
                <w:sz w:val="20"/>
                <w:szCs w:val="20"/>
              </w:rPr>
              <w:t>5</w:t>
            </w:r>
            <w:r>
              <w:rPr>
                <w:rFonts w:ascii="Arial" w:hAnsi="Arial" w:cs="Arial"/>
                <w:sz w:val="20"/>
                <w:szCs w:val="20"/>
              </w:rPr>
              <w:t>-04</w:t>
            </w:r>
            <w:r w:rsidR="00874DFE" w:rsidRPr="0079049C">
              <w:rPr>
                <w:rFonts w:ascii="Arial" w:hAnsi="Arial" w:cs="Arial"/>
                <w:sz w:val="20"/>
                <w:szCs w:val="20"/>
              </w:rPr>
              <w:t>-201</w:t>
            </w:r>
            <w:r>
              <w:rPr>
                <w:rFonts w:ascii="Arial" w:hAnsi="Arial" w:cs="Arial"/>
                <w:sz w:val="20"/>
                <w:szCs w:val="20"/>
              </w:rPr>
              <w:t>9</w:t>
            </w:r>
          </w:p>
        </w:tc>
      </w:tr>
      <w:tr w:rsidR="00B958AB" w:rsidRPr="0079049C">
        <w:tc>
          <w:tcPr>
            <w:tcW w:w="2178" w:type="dxa"/>
            <w:tcBorders>
              <w:top w:val="single" w:sz="4" w:space="0" w:color="auto"/>
              <w:left w:val="single" w:sz="4" w:space="0" w:color="auto"/>
              <w:bottom w:val="single" w:sz="4" w:space="0" w:color="auto"/>
              <w:right w:val="single" w:sz="4" w:space="0" w:color="auto"/>
            </w:tcBorders>
          </w:tcPr>
          <w:p w:rsidR="00B958AB" w:rsidRPr="0079049C" w:rsidRDefault="005C64D4" w:rsidP="00B958AB">
            <w:pPr>
              <w:tabs>
                <w:tab w:val="center" w:pos="4320"/>
                <w:tab w:val="right" w:pos="8640"/>
              </w:tabs>
              <w:rPr>
                <w:rFonts w:ascii="Arial" w:hAnsi="Arial" w:cs="Arial"/>
                <w:b/>
                <w:sz w:val="20"/>
                <w:szCs w:val="20"/>
              </w:rPr>
            </w:pPr>
            <w:r w:rsidRPr="0079049C">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b/>
                <w:bCs/>
                <w:sz w:val="20"/>
                <w:szCs w:val="20"/>
              </w:rPr>
              <w:t xml:space="preserve">This form </w:t>
            </w:r>
            <w:r w:rsidR="005C64D4" w:rsidRPr="0079049C">
              <w:rPr>
                <w:rFonts w:ascii="Arial" w:hAnsi="Arial" w:cs="Arial"/>
                <w:b/>
                <w:bCs/>
                <w:sz w:val="20"/>
                <w:szCs w:val="20"/>
              </w:rPr>
              <w:t>shall</w:t>
            </w:r>
            <w:r w:rsidRPr="0079049C">
              <w:rPr>
                <w:rFonts w:ascii="Arial" w:hAnsi="Arial" w:cs="Arial"/>
                <w:b/>
                <w:bCs/>
                <w:sz w:val="20"/>
                <w:szCs w:val="20"/>
              </w:rPr>
              <w:t xml:space="preserve"> be filled, signed and returned to Kenya Bureau of Standards for the attention of </w:t>
            </w:r>
            <w:r w:rsidR="003B1411" w:rsidRPr="0079049C">
              <w:rPr>
                <w:rFonts w:ascii="Arial" w:hAnsi="Arial" w:cs="Arial"/>
                <w:b/>
                <w:bCs/>
                <w:sz w:val="20"/>
                <w:szCs w:val="20"/>
              </w:rPr>
              <w:t>SAMUEL KIBOGO</w:t>
            </w:r>
            <w:r w:rsidR="005D5DFD" w:rsidRPr="0079049C">
              <w:rPr>
                <w:rFonts w:ascii="Arial" w:hAnsi="Arial" w:cs="Arial"/>
                <w:b/>
                <w:bCs/>
                <w:sz w:val="20"/>
                <w:szCs w:val="20"/>
              </w:rPr>
              <w:t xml:space="preserve"> </w:t>
            </w:r>
            <w:r w:rsidR="00ED3C28" w:rsidRPr="0079049C">
              <w:rPr>
                <w:rFonts w:ascii="Arial" w:hAnsi="Arial" w:cs="Arial"/>
                <w:b/>
                <w:bCs/>
                <w:sz w:val="20"/>
                <w:szCs w:val="20"/>
              </w:rPr>
              <w:t>(</w:t>
            </w:r>
            <w:r w:rsidR="005D5DFD" w:rsidRPr="0079049C">
              <w:rPr>
                <w:rFonts w:ascii="Arial" w:hAnsi="Arial" w:cs="Arial"/>
                <w:b/>
                <w:bCs/>
                <w:sz w:val="20"/>
                <w:szCs w:val="20"/>
              </w:rPr>
              <w:t>kibogos@kebs.org</w:t>
            </w:r>
            <w:r w:rsidR="00ED3C28" w:rsidRPr="0079049C">
              <w:rPr>
                <w:rFonts w:ascii="Arial" w:hAnsi="Arial" w:cs="Arial"/>
                <w:b/>
                <w:bCs/>
                <w:sz w:val="20"/>
                <w:szCs w:val="20"/>
              </w:rPr>
              <w:t>)</w:t>
            </w:r>
          </w:p>
        </w:tc>
      </w:tr>
    </w:tbl>
    <w:p w:rsidR="00B958AB" w:rsidRPr="0079049C" w:rsidRDefault="00B958AB">
      <w:pPr>
        <w:autoSpaceDE w:val="0"/>
        <w:autoSpaceDN w:val="0"/>
        <w:adjustRightInd w:val="0"/>
        <w:jc w:val="center"/>
        <w:rPr>
          <w:rFonts w:ascii="Arial" w:hAnsi="Arial" w:cs="Arial"/>
          <w:b/>
          <w:bCs/>
          <w:sz w:val="20"/>
          <w:szCs w:val="20"/>
        </w:rPr>
      </w:pPr>
    </w:p>
    <w:p w:rsidR="001B427A" w:rsidRPr="0079049C" w:rsidRDefault="001B427A">
      <w:pPr>
        <w:autoSpaceDE w:val="0"/>
        <w:autoSpaceDN w:val="0"/>
        <w:adjustRightInd w:val="0"/>
        <w:jc w:val="both"/>
        <w:rPr>
          <w:rFonts w:ascii="Arial" w:hAnsi="Arial" w:cs="Arial"/>
          <w:sz w:val="20"/>
          <w:szCs w:val="20"/>
        </w:rPr>
      </w:pPr>
    </w:p>
    <w:p w:rsidR="001B427A" w:rsidRPr="0079049C" w:rsidRDefault="001B427A">
      <w:pPr>
        <w:autoSpaceDE w:val="0"/>
        <w:autoSpaceDN w:val="0"/>
        <w:adjustRightInd w:val="0"/>
        <w:jc w:val="both"/>
        <w:rPr>
          <w:rFonts w:ascii="Arial" w:hAnsi="Arial" w:cs="Arial"/>
          <w:sz w:val="20"/>
          <w:szCs w:val="20"/>
        </w:rPr>
      </w:pPr>
      <w:r w:rsidRPr="0079049C">
        <w:rPr>
          <w:rFonts w:ascii="Arial" w:hAnsi="Arial" w:cs="Arial"/>
          <w:sz w:val="20"/>
          <w:szCs w:val="20"/>
        </w:rPr>
        <w:t>The Kenya Bureau of Standards intends to adopt the International Standards as d</w:t>
      </w:r>
      <w:r w:rsidR="003B1411" w:rsidRPr="0079049C">
        <w:rPr>
          <w:rFonts w:ascii="Arial" w:hAnsi="Arial" w:cs="Arial"/>
          <w:sz w:val="20"/>
          <w:szCs w:val="20"/>
        </w:rPr>
        <w:t>etailed here below:</w:t>
      </w:r>
    </w:p>
    <w:p w:rsidR="00210477" w:rsidRDefault="00210477">
      <w:pPr>
        <w:autoSpaceDE w:val="0"/>
        <w:autoSpaceDN w:val="0"/>
        <w:adjustRightInd w:val="0"/>
        <w:jc w:val="both"/>
        <w:rPr>
          <w:rFonts w:ascii="Arial" w:hAnsi="Arial" w:cs="Arial"/>
          <w:b/>
          <w:sz w:val="20"/>
          <w:szCs w:val="20"/>
        </w:rPr>
      </w:pPr>
    </w:p>
    <w:p w:rsidR="007C7A4C" w:rsidRPr="00210477" w:rsidRDefault="00210477" w:rsidP="00210477">
      <w:pPr>
        <w:pStyle w:val="ListParagraph"/>
        <w:numPr>
          <w:ilvl w:val="0"/>
          <w:numId w:val="58"/>
        </w:numPr>
        <w:autoSpaceDE w:val="0"/>
        <w:autoSpaceDN w:val="0"/>
        <w:adjustRightInd w:val="0"/>
        <w:jc w:val="both"/>
        <w:rPr>
          <w:rFonts w:ascii="Arial" w:hAnsi="Arial" w:cs="Arial"/>
          <w:b/>
          <w:sz w:val="20"/>
          <w:szCs w:val="20"/>
        </w:rPr>
      </w:pPr>
      <w:r w:rsidRPr="0063773B">
        <w:rPr>
          <w:rFonts w:ascii="Arial" w:hAnsi="Arial" w:cs="Arial"/>
          <w:b/>
          <w:sz w:val="20"/>
          <w:szCs w:val="20"/>
        </w:rPr>
        <w:t>Number</w:t>
      </w:r>
      <w:r w:rsidR="006653ED">
        <w:rPr>
          <w:rFonts w:ascii="Arial" w:hAnsi="Arial" w:cs="Arial"/>
          <w:b/>
          <w:sz w:val="20"/>
          <w:szCs w:val="20"/>
        </w:rPr>
        <w:t xml:space="preserve"> ISO 45001:2018</w:t>
      </w:r>
    </w:p>
    <w:p w:rsidR="00210477" w:rsidRDefault="00210477">
      <w:pPr>
        <w:autoSpaceDE w:val="0"/>
        <w:autoSpaceDN w:val="0"/>
        <w:adjustRightInd w:val="0"/>
        <w:jc w:val="both"/>
        <w:rPr>
          <w:rFonts w:ascii="Arial" w:hAnsi="Arial" w:cs="Arial"/>
          <w:sz w:val="20"/>
          <w:szCs w:val="20"/>
        </w:rPr>
      </w:pPr>
    </w:p>
    <w:p w:rsidR="006653ED" w:rsidRPr="006653ED" w:rsidRDefault="007C7A4C" w:rsidP="006653ED">
      <w:pPr>
        <w:pStyle w:val="NoSpacing"/>
        <w:rPr>
          <w:rFonts w:ascii="Arial" w:hAnsi="Arial" w:cs="Arial"/>
          <w:b/>
          <w:sz w:val="20"/>
          <w:szCs w:val="20"/>
        </w:rPr>
      </w:pPr>
      <w:r w:rsidRPr="0063773B">
        <w:rPr>
          <w:rFonts w:ascii="Arial" w:hAnsi="Arial" w:cs="Arial"/>
          <w:b/>
          <w:sz w:val="20"/>
          <w:szCs w:val="20"/>
        </w:rPr>
        <w:t>Titl</w:t>
      </w:r>
      <w:r w:rsidRPr="007C7A4C">
        <w:rPr>
          <w:rFonts w:ascii="Arial" w:hAnsi="Arial" w:cs="Arial"/>
          <w:sz w:val="20"/>
          <w:szCs w:val="20"/>
        </w:rPr>
        <w:t>e:</w:t>
      </w:r>
      <w:r>
        <w:rPr>
          <w:rFonts w:ascii="Arial" w:hAnsi="Arial" w:cs="Arial"/>
          <w:b/>
          <w:sz w:val="20"/>
          <w:szCs w:val="20"/>
        </w:rPr>
        <w:t xml:space="preserve"> </w:t>
      </w:r>
      <w:r w:rsidR="006653ED" w:rsidRPr="006653ED">
        <w:rPr>
          <w:rFonts w:ascii="Arial" w:hAnsi="Arial" w:cs="Arial"/>
          <w:b/>
          <w:sz w:val="20"/>
          <w:szCs w:val="20"/>
        </w:rPr>
        <w:t>Occupational health and safety management systems — Requirements with guidance for use</w:t>
      </w:r>
    </w:p>
    <w:p w:rsidR="007C7A4C" w:rsidRDefault="007C7A4C">
      <w:pPr>
        <w:autoSpaceDE w:val="0"/>
        <w:autoSpaceDN w:val="0"/>
        <w:adjustRightInd w:val="0"/>
        <w:jc w:val="both"/>
        <w:rPr>
          <w:rFonts w:ascii="Arial" w:hAnsi="Arial" w:cs="Arial"/>
          <w:b/>
          <w:sz w:val="20"/>
          <w:szCs w:val="20"/>
        </w:rPr>
      </w:pPr>
    </w:p>
    <w:p w:rsidR="0063773B" w:rsidRDefault="007C7A4C" w:rsidP="00210477">
      <w:pPr>
        <w:pStyle w:val="Default"/>
        <w:spacing w:after="240"/>
        <w:jc w:val="both"/>
        <w:rPr>
          <w:sz w:val="20"/>
          <w:szCs w:val="20"/>
        </w:rPr>
      </w:pPr>
      <w:r>
        <w:rPr>
          <w:b/>
          <w:sz w:val="20"/>
          <w:szCs w:val="20"/>
        </w:rPr>
        <w:t>Scope:</w:t>
      </w:r>
      <w:r w:rsidR="006653ED" w:rsidRPr="006653ED">
        <w:rPr>
          <w:sz w:val="20"/>
          <w:szCs w:val="20"/>
        </w:rPr>
        <w:t xml:space="preserve"> </w:t>
      </w:r>
    </w:p>
    <w:p w:rsidR="00210477" w:rsidRPr="006653ED" w:rsidRDefault="006653ED" w:rsidP="00210477">
      <w:pPr>
        <w:pStyle w:val="Default"/>
        <w:spacing w:after="240"/>
        <w:jc w:val="both"/>
        <w:rPr>
          <w:color w:val="auto"/>
          <w:sz w:val="20"/>
          <w:szCs w:val="20"/>
        </w:rPr>
      </w:pPr>
      <w:r w:rsidRPr="006653ED">
        <w:rPr>
          <w:color w:val="auto"/>
          <w:sz w:val="20"/>
          <w:szCs w:val="20"/>
        </w:rPr>
        <w:t>This document specifies requirements for an occupational health and safety (OH&amp;S) management system, and gives guidance for its use, to enable organizations to provide safe and healthy workplaces by preventing work-related injury and ill health, as well as by proactively improving its OH&amp;S performance.</w:t>
      </w:r>
    </w:p>
    <w:p w:rsidR="006653ED" w:rsidRPr="006653ED" w:rsidRDefault="006653ED" w:rsidP="006653ED">
      <w:pPr>
        <w:pStyle w:val="Pa16"/>
        <w:spacing w:after="180"/>
        <w:jc w:val="both"/>
        <w:rPr>
          <w:rFonts w:ascii="Arial" w:hAnsi="Arial" w:cs="Arial"/>
          <w:sz w:val="20"/>
          <w:szCs w:val="20"/>
        </w:rPr>
      </w:pPr>
      <w:r w:rsidRPr="006653ED">
        <w:rPr>
          <w:rFonts w:ascii="Arial" w:hAnsi="Arial" w:cs="Arial"/>
          <w:sz w:val="20"/>
          <w:szCs w:val="20"/>
        </w:rPr>
        <w:t>This document is applicable to any organization that wishes to establish, implement and maintain an OH&amp;S management system to improve occupational health and safety, eliminate hazards and minimize OH&amp;S risks (including system deficiencies), take advantage of OH&amp;S opportunities, and address OH&amp;S management system nonconformities associated with its activities.</w:t>
      </w:r>
    </w:p>
    <w:p w:rsidR="006653ED" w:rsidRPr="006653ED" w:rsidRDefault="006653ED" w:rsidP="006653ED">
      <w:pPr>
        <w:pStyle w:val="Pa16"/>
        <w:spacing w:after="180"/>
        <w:jc w:val="both"/>
        <w:rPr>
          <w:rFonts w:ascii="Arial" w:hAnsi="Arial" w:cs="Arial"/>
          <w:sz w:val="20"/>
          <w:szCs w:val="20"/>
        </w:rPr>
      </w:pPr>
      <w:r w:rsidRPr="006653ED">
        <w:rPr>
          <w:rFonts w:ascii="Arial" w:hAnsi="Arial" w:cs="Arial"/>
          <w:sz w:val="20"/>
          <w:szCs w:val="20"/>
        </w:rPr>
        <w:t>This document helps an organization to achieve the intended outcomes of its OH&amp;S management system. Consistent with the organization’s OH&amp;S policy, the intended outcomes of an OH&amp;S management system include:</w:t>
      </w:r>
    </w:p>
    <w:p w:rsidR="006653ED" w:rsidRPr="006653ED" w:rsidRDefault="006653ED" w:rsidP="006653ED">
      <w:pPr>
        <w:pStyle w:val="Pa17"/>
        <w:spacing w:after="180"/>
        <w:ind w:left="400" w:hanging="400"/>
        <w:jc w:val="both"/>
        <w:rPr>
          <w:rFonts w:ascii="Arial" w:hAnsi="Arial" w:cs="Arial"/>
          <w:sz w:val="20"/>
          <w:szCs w:val="20"/>
        </w:rPr>
      </w:pPr>
      <w:r w:rsidRPr="006653ED">
        <w:rPr>
          <w:rFonts w:ascii="Arial" w:hAnsi="Arial" w:cs="Arial"/>
          <w:sz w:val="20"/>
          <w:szCs w:val="20"/>
        </w:rPr>
        <w:t>a) continual improvement of OH&amp;S performance;</w:t>
      </w:r>
    </w:p>
    <w:p w:rsidR="006653ED" w:rsidRPr="006653ED" w:rsidRDefault="006653ED" w:rsidP="006653ED">
      <w:pPr>
        <w:pStyle w:val="Pa17"/>
        <w:spacing w:after="180"/>
        <w:ind w:left="400" w:hanging="400"/>
        <w:jc w:val="both"/>
        <w:rPr>
          <w:rFonts w:ascii="Arial" w:hAnsi="Arial" w:cs="Arial"/>
          <w:sz w:val="20"/>
          <w:szCs w:val="20"/>
        </w:rPr>
      </w:pPr>
      <w:r w:rsidRPr="006653ED">
        <w:rPr>
          <w:rFonts w:ascii="Arial" w:hAnsi="Arial" w:cs="Arial"/>
          <w:sz w:val="20"/>
          <w:szCs w:val="20"/>
        </w:rPr>
        <w:t>b) fulfilment of legal requirements and other requirements;</w:t>
      </w:r>
    </w:p>
    <w:p w:rsidR="006653ED" w:rsidRPr="006653ED" w:rsidRDefault="006653ED" w:rsidP="006653ED">
      <w:pPr>
        <w:pStyle w:val="Pa17"/>
        <w:spacing w:after="180"/>
        <w:ind w:left="400" w:hanging="400"/>
        <w:jc w:val="both"/>
        <w:rPr>
          <w:rFonts w:ascii="Arial" w:hAnsi="Arial" w:cs="Arial"/>
          <w:sz w:val="20"/>
          <w:szCs w:val="20"/>
        </w:rPr>
      </w:pPr>
      <w:r w:rsidRPr="006653ED">
        <w:rPr>
          <w:rFonts w:ascii="Arial" w:hAnsi="Arial" w:cs="Arial"/>
          <w:sz w:val="20"/>
          <w:szCs w:val="20"/>
        </w:rPr>
        <w:t>c) achievement of OH&amp;S objectives.</w:t>
      </w:r>
    </w:p>
    <w:p w:rsidR="006653ED" w:rsidRPr="006653ED" w:rsidRDefault="006653ED" w:rsidP="006653ED">
      <w:pPr>
        <w:pStyle w:val="Pa16"/>
        <w:spacing w:after="180"/>
        <w:jc w:val="both"/>
        <w:rPr>
          <w:rFonts w:ascii="Arial" w:hAnsi="Arial" w:cs="Arial"/>
          <w:sz w:val="20"/>
          <w:szCs w:val="20"/>
        </w:rPr>
      </w:pPr>
      <w:r w:rsidRPr="006653ED">
        <w:rPr>
          <w:rFonts w:ascii="Arial" w:hAnsi="Arial" w:cs="Arial"/>
          <w:sz w:val="20"/>
          <w:szCs w:val="20"/>
        </w:rPr>
        <w:t>This document is applicable to any organization regardless of its size, type and activities. It is applicable to the OH&amp;S risks under the organization’s control, taking into account factors such as the context in which the organization operates and the needs and expectations of its workers and other interested parties.</w:t>
      </w:r>
    </w:p>
    <w:p w:rsidR="006653ED" w:rsidRPr="006653ED" w:rsidRDefault="006653ED" w:rsidP="006653ED">
      <w:pPr>
        <w:pStyle w:val="Pa16"/>
        <w:spacing w:after="180"/>
        <w:jc w:val="both"/>
        <w:rPr>
          <w:rFonts w:ascii="Arial" w:hAnsi="Arial" w:cs="Arial"/>
          <w:sz w:val="20"/>
          <w:szCs w:val="20"/>
        </w:rPr>
      </w:pPr>
      <w:r w:rsidRPr="006653ED">
        <w:rPr>
          <w:rFonts w:ascii="Arial" w:hAnsi="Arial" w:cs="Arial"/>
          <w:sz w:val="20"/>
          <w:szCs w:val="20"/>
        </w:rPr>
        <w:t>This document does not state specific criteria for OH&amp;S performance, nor is it prescriptive about the design of an OH&amp;S management system.</w:t>
      </w:r>
    </w:p>
    <w:p w:rsidR="006653ED" w:rsidRPr="006653ED" w:rsidRDefault="006653ED" w:rsidP="006653ED">
      <w:pPr>
        <w:pStyle w:val="Pa16"/>
        <w:spacing w:after="180"/>
        <w:jc w:val="both"/>
        <w:rPr>
          <w:rFonts w:ascii="Arial" w:hAnsi="Arial" w:cs="Arial"/>
          <w:sz w:val="20"/>
          <w:szCs w:val="20"/>
        </w:rPr>
      </w:pPr>
      <w:r w:rsidRPr="006653ED">
        <w:rPr>
          <w:rFonts w:ascii="Arial" w:hAnsi="Arial" w:cs="Arial"/>
          <w:sz w:val="20"/>
          <w:szCs w:val="20"/>
        </w:rPr>
        <w:t>This document enables an organization, through its OH&amp;S management system, to integrate other aspects of health and safety, such as worker wellness/wellbeing.</w:t>
      </w:r>
    </w:p>
    <w:p w:rsidR="006653ED" w:rsidRPr="006653ED" w:rsidRDefault="006653ED" w:rsidP="006653ED">
      <w:pPr>
        <w:pStyle w:val="Pa16"/>
        <w:spacing w:after="180"/>
        <w:jc w:val="both"/>
        <w:rPr>
          <w:rFonts w:ascii="Arial" w:hAnsi="Arial" w:cs="Arial"/>
          <w:sz w:val="20"/>
          <w:szCs w:val="20"/>
        </w:rPr>
      </w:pPr>
      <w:r w:rsidRPr="006653ED">
        <w:rPr>
          <w:rFonts w:ascii="Arial" w:hAnsi="Arial" w:cs="Arial"/>
          <w:sz w:val="20"/>
          <w:szCs w:val="20"/>
        </w:rPr>
        <w:t>This document does not address issues such as product safety, property damage or environmental impacts, beyond the risks to workers and other relevant interested parties.</w:t>
      </w:r>
    </w:p>
    <w:p w:rsidR="006653ED" w:rsidRPr="006653ED" w:rsidRDefault="006653ED" w:rsidP="006653ED">
      <w:pPr>
        <w:autoSpaceDE w:val="0"/>
        <w:autoSpaceDN w:val="0"/>
        <w:adjustRightInd w:val="0"/>
        <w:jc w:val="both"/>
        <w:rPr>
          <w:rFonts w:ascii="Arial" w:hAnsi="Arial" w:cs="Arial"/>
          <w:sz w:val="20"/>
          <w:szCs w:val="20"/>
        </w:rPr>
      </w:pPr>
      <w:r w:rsidRPr="006653ED">
        <w:rPr>
          <w:rFonts w:ascii="Arial" w:hAnsi="Arial" w:cs="Arial"/>
          <w:sz w:val="20"/>
          <w:szCs w:val="20"/>
        </w:rPr>
        <w:t>This document can be used in whole or in part to systematically improve occupational health and safety management. However, claims of conformity to this document are not acceptable unless all its requirements are incorporated into an organization’s OH&amp;S management system and fulfilled without exclusion.</w:t>
      </w:r>
    </w:p>
    <w:p w:rsidR="006653ED" w:rsidRDefault="006653ED" w:rsidP="006653ED">
      <w:pPr>
        <w:pStyle w:val="ListParagraph"/>
        <w:autoSpaceDE w:val="0"/>
        <w:autoSpaceDN w:val="0"/>
        <w:adjustRightInd w:val="0"/>
        <w:ind w:left="720"/>
        <w:jc w:val="both"/>
        <w:rPr>
          <w:rFonts w:ascii="Arial" w:hAnsi="Arial" w:cs="Arial"/>
          <w:sz w:val="20"/>
          <w:szCs w:val="20"/>
        </w:rPr>
      </w:pPr>
    </w:p>
    <w:p w:rsidR="006653ED" w:rsidRDefault="006653ED" w:rsidP="006653ED">
      <w:pPr>
        <w:pStyle w:val="ListParagraph"/>
        <w:autoSpaceDE w:val="0"/>
        <w:autoSpaceDN w:val="0"/>
        <w:adjustRightInd w:val="0"/>
        <w:ind w:left="720"/>
        <w:jc w:val="both"/>
        <w:rPr>
          <w:rFonts w:ascii="Arial" w:hAnsi="Arial" w:cs="Arial"/>
          <w:sz w:val="20"/>
          <w:szCs w:val="20"/>
        </w:rPr>
      </w:pPr>
    </w:p>
    <w:p w:rsidR="006653ED" w:rsidRDefault="006653ED" w:rsidP="006653ED">
      <w:pPr>
        <w:pStyle w:val="ListParagraph"/>
        <w:autoSpaceDE w:val="0"/>
        <w:autoSpaceDN w:val="0"/>
        <w:adjustRightInd w:val="0"/>
        <w:ind w:left="720"/>
        <w:jc w:val="both"/>
        <w:rPr>
          <w:rFonts w:ascii="Arial" w:hAnsi="Arial" w:cs="Arial"/>
          <w:sz w:val="20"/>
          <w:szCs w:val="20"/>
        </w:rPr>
      </w:pPr>
    </w:p>
    <w:p w:rsidR="00531284" w:rsidRPr="00531284" w:rsidRDefault="00531284" w:rsidP="00531284">
      <w:pPr>
        <w:pStyle w:val="Pa15"/>
        <w:spacing w:after="180"/>
        <w:jc w:val="both"/>
        <w:rPr>
          <w:rFonts w:ascii="Arial" w:hAnsi="Arial" w:cs="Arial"/>
          <w:sz w:val="20"/>
          <w:szCs w:val="20"/>
        </w:rPr>
      </w:pPr>
    </w:p>
    <w:p w:rsidR="00531284" w:rsidRPr="00531284" w:rsidRDefault="00531284" w:rsidP="00531284">
      <w:pPr>
        <w:pStyle w:val="Pa15"/>
        <w:spacing w:after="180"/>
        <w:ind w:left="720"/>
        <w:jc w:val="both"/>
        <w:rPr>
          <w:rFonts w:ascii="Arial" w:hAnsi="Arial" w:cs="Arial"/>
          <w:sz w:val="20"/>
          <w:szCs w:val="20"/>
        </w:rPr>
      </w:pPr>
    </w:p>
    <w:p w:rsidR="00026D98" w:rsidRPr="00531284" w:rsidRDefault="003B1411" w:rsidP="00026D98">
      <w:pPr>
        <w:pStyle w:val="Pa15"/>
        <w:numPr>
          <w:ilvl w:val="0"/>
          <w:numId w:val="58"/>
        </w:numPr>
        <w:spacing w:after="180"/>
        <w:jc w:val="both"/>
        <w:rPr>
          <w:rFonts w:ascii="Arial" w:hAnsi="Arial" w:cs="Arial"/>
          <w:sz w:val="20"/>
          <w:szCs w:val="20"/>
        </w:rPr>
      </w:pPr>
      <w:r w:rsidRPr="00026D98">
        <w:rPr>
          <w:rFonts w:ascii="Arial" w:hAnsi="Arial" w:cs="Arial"/>
          <w:b/>
          <w:sz w:val="20"/>
          <w:szCs w:val="20"/>
        </w:rPr>
        <w:t>Number</w:t>
      </w:r>
      <w:r w:rsidR="005D5DFD" w:rsidRPr="00026D98">
        <w:rPr>
          <w:rFonts w:ascii="Arial" w:hAnsi="Arial" w:cs="Arial"/>
          <w:b/>
          <w:sz w:val="20"/>
          <w:szCs w:val="20"/>
        </w:rPr>
        <w:t>:</w:t>
      </w:r>
      <w:r w:rsidRPr="00026D98">
        <w:rPr>
          <w:rFonts w:ascii="Arial" w:hAnsi="Arial" w:cs="Arial"/>
          <w:b/>
          <w:sz w:val="20"/>
          <w:szCs w:val="20"/>
        </w:rPr>
        <w:t xml:space="preserve"> </w:t>
      </w:r>
      <w:r w:rsidR="00026D98" w:rsidRPr="00026D98">
        <w:rPr>
          <w:rFonts w:ascii="Arial" w:hAnsi="Arial" w:cs="Arial"/>
          <w:b/>
          <w:sz w:val="20"/>
          <w:szCs w:val="20"/>
        </w:rPr>
        <w:t>ISO 17776:2016</w:t>
      </w:r>
      <w:r w:rsidR="00026D98">
        <w:rPr>
          <w:rFonts w:ascii="Arial" w:hAnsi="Arial" w:cs="Arial"/>
          <w:sz w:val="20"/>
          <w:szCs w:val="20"/>
        </w:rPr>
        <w:t xml:space="preserve"> </w:t>
      </w:r>
    </w:p>
    <w:p w:rsidR="00026D98" w:rsidRPr="00026D98" w:rsidRDefault="00026D98" w:rsidP="00026D98">
      <w:pPr>
        <w:pStyle w:val="Pa15"/>
        <w:spacing w:after="180"/>
        <w:jc w:val="both"/>
        <w:rPr>
          <w:rFonts w:ascii="Arial" w:hAnsi="Arial" w:cs="Arial"/>
          <w:sz w:val="20"/>
          <w:szCs w:val="20"/>
        </w:rPr>
      </w:pPr>
      <w:r w:rsidRPr="0063773B">
        <w:rPr>
          <w:rFonts w:ascii="Arial" w:hAnsi="Arial" w:cs="Arial"/>
          <w:b/>
          <w:sz w:val="20"/>
          <w:szCs w:val="20"/>
        </w:rPr>
        <w:t>Title</w:t>
      </w:r>
      <w:r>
        <w:rPr>
          <w:rFonts w:ascii="Arial" w:hAnsi="Arial" w:cs="Arial"/>
          <w:sz w:val="20"/>
          <w:szCs w:val="20"/>
        </w:rPr>
        <w:t xml:space="preserve">: </w:t>
      </w:r>
      <w:r w:rsidRPr="00026D98">
        <w:rPr>
          <w:rFonts w:ascii="Arial" w:hAnsi="Arial" w:cs="Arial"/>
          <w:b/>
          <w:bCs/>
          <w:sz w:val="20"/>
          <w:szCs w:val="20"/>
        </w:rPr>
        <w:t>Petroleum and natural gas industries — Offshore production installations — Major accident hazard management during the design of new installations</w:t>
      </w:r>
    </w:p>
    <w:p w:rsidR="00026D98" w:rsidRPr="00026D98" w:rsidRDefault="00026D98" w:rsidP="00026D98">
      <w:pPr>
        <w:pStyle w:val="Pa15"/>
        <w:spacing w:after="180"/>
        <w:jc w:val="both"/>
        <w:rPr>
          <w:rFonts w:cs="Cambria"/>
          <w:b/>
          <w:color w:val="000000"/>
          <w:sz w:val="22"/>
          <w:szCs w:val="22"/>
        </w:rPr>
      </w:pPr>
      <w:r w:rsidRPr="00026D98">
        <w:rPr>
          <w:rFonts w:cs="Cambria"/>
          <w:b/>
          <w:color w:val="000000"/>
          <w:sz w:val="22"/>
          <w:szCs w:val="22"/>
        </w:rPr>
        <w:t>Scope:</w:t>
      </w:r>
    </w:p>
    <w:p w:rsidR="00026D98" w:rsidRPr="0063773B" w:rsidRDefault="00026D98" w:rsidP="0063773B">
      <w:pPr>
        <w:pStyle w:val="Default"/>
        <w:spacing w:after="240"/>
        <w:jc w:val="both"/>
        <w:rPr>
          <w:color w:val="auto"/>
          <w:sz w:val="20"/>
          <w:szCs w:val="20"/>
        </w:rPr>
      </w:pPr>
      <w:r w:rsidRPr="0063773B">
        <w:rPr>
          <w:color w:val="auto"/>
          <w:sz w:val="20"/>
          <w:szCs w:val="20"/>
        </w:rPr>
        <w:t>This document describes processes for managing major accident (MA) hazards during the design of offshore oil and gas production installations. It provides requirements and guidance on the development of strategies both to prevent the occurrence of MAs and to limit the possible consequences. It also contains some requirements and guidance on managing MA hazards in operation.</w:t>
      </w:r>
    </w:p>
    <w:p w:rsidR="00026D98" w:rsidRPr="0063773B" w:rsidRDefault="00026D98" w:rsidP="0063773B">
      <w:pPr>
        <w:pStyle w:val="Default"/>
        <w:spacing w:after="240"/>
        <w:jc w:val="both"/>
        <w:rPr>
          <w:color w:val="auto"/>
          <w:sz w:val="20"/>
          <w:szCs w:val="20"/>
        </w:rPr>
      </w:pPr>
      <w:r w:rsidRPr="0063773B">
        <w:rPr>
          <w:color w:val="auto"/>
          <w:sz w:val="20"/>
          <w:szCs w:val="20"/>
        </w:rPr>
        <w:t>This document is applicable to the design of</w:t>
      </w:r>
    </w:p>
    <w:p w:rsidR="00026D98" w:rsidRPr="0063773B" w:rsidRDefault="00026D98" w:rsidP="0063773B">
      <w:pPr>
        <w:pStyle w:val="Default"/>
        <w:spacing w:after="240"/>
        <w:jc w:val="both"/>
        <w:rPr>
          <w:color w:val="auto"/>
          <w:sz w:val="20"/>
          <w:szCs w:val="20"/>
        </w:rPr>
      </w:pPr>
      <w:r w:rsidRPr="0063773B">
        <w:rPr>
          <w:color w:val="auto"/>
          <w:sz w:val="20"/>
          <w:szCs w:val="20"/>
        </w:rPr>
        <w:t>— fixed offshore structures, and</w:t>
      </w:r>
    </w:p>
    <w:p w:rsidR="00026D98" w:rsidRPr="0063773B" w:rsidRDefault="00026D98" w:rsidP="0063773B">
      <w:pPr>
        <w:pStyle w:val="Default"/>
        <w:spacing w:after="240"/>
        <w:jc w:val="both"/>
        <w:rPr>
          <w:color w:val="auto"/>
          <w:sz w:val="20"/>
          <w:szCs w:val="20"/>
        </w:rPr>
      </w:pPr>
      <w:r w:rsidRPr="0063773B">
        <w:rPr>
          <w:color w:val="auto"/>
          <w:sz w:val="20"/>
          <w:szCs w:val="20"/>
        </w:rPr>
        <w:t>— floating systems for production, storage and offloading</w:t>
      </w:r>
      <w:r w:rsidR="00531284" w:rsidRPr="0063773B">
        <w:rPr>
          <w:color w:val="auto"/>
          <w:sz w:val="20"/>
          <w:szCs w:val="20"/>
        </w:rPr>
        <w:t xml:space="preserve"> </w:t>
      </w:r>
      <w:r w:rsidRPr="0063773B">
        <w:rPr>
          <w:color w:val="auto"/>
          <w:sz w:val="20"/>
          <w:szCs w:val="20"/>
        </w:rPr>
        <w:t>for the petroleum and natural gas industries.</w:t>
      </w:r>
    </w:p>
    <w:p w:rsidR="00026D98" w:rsidRPr="0063773B" w:rsidRDefault="00026D98" w:rsidP="0063773B">
      <w:pPr>
        <w:pStyle w:val="Default"/>
        <w:spacing w:after="240"/>
        <w:jc w:val="both"/>
        <w:rPr>
          <w:color w:val="auto"/>
          <w:sz w:val="20"/>
          <w:szCs w:val="20"/>
        </w:rPr>
      </w:pPr>
      <w:r w:rsidRPr="0063773B">
        <w:rPr>
          <w:color w:val="auto"/>
          <w:sz w:val="20"/>
          <w:szCs w:val="20"/>
        </w:rPr>
        <w:t>The scope includes all credible MA hazards with the potential to have a material effect on people, the environment and assets.</w:t>
      </w:r>
    </w:p>
    <w:p w:rsidR="00026D98" w:rsidRPr="0063773B" w:rsidRDefault="00026D98" w:rsidP="0063773B">
      <w:pPr>
        <w:pStyle w:val="Default"/>
        <w:spacing w:after="240"/>
        <w:jc w:val="both"/>
        <w:rPr>
          <w:color w:val="auto"/>
          <w:sz w:val="20"/>
          <w:szCs w:val="20"/>
        </w:rPr>
      </w:pPr>
      <w:r w:rsidRPr="0063773B">
        <w:rPr>
          <w:color w:val="auto"/>
          <w:sz w:val="20"/>
          <w:szCs w:val="20"/>
        </w:rPr>
        <w:t>This document is intended for the larger projects undertaken to develop new offshore installations. However, the principles are also applicable to small or simple projects or design changes to existing facilities and can also be relevant to onshore production facilities.</w:t>
      </w:r>
    </w:p>
    <w:p w:rsidR="007B5CDF" w:rsidRPr="0063773B" w:rsidRDefault="00026D98" w:rsidP="0063773B">
      <w:pPr>
        <w:pStyle w:val="Default"/>
        <w:spacing w:after="240"/>
        <w:jc w:val="both"/>
        <w:rPr>
          <w:color w:val="auto"/>
          <w:sz w:val="20"/>
          <w:szCs w:val="20"/>
        </w:rPr>
      </w:pPr>
      <w:r w:rsidRPr="0063773B">
        <w:rPr>
          <w:color w:val="auto"/>
          <w:sz w:val="20"/>
          <w:szCs w:val="20"/>
        </w:rPr>
        <w:t xml:space="preserve">Mobile offshore units as defined in this document are excluded, although many of the principles can be used as guidance. The design of subsea facilities </w:t>
      </w:r>
      <w:r w:rsidRPr="0063773B">
        <w:rPr>
          <w:color w:val="auto"/>
          <w:sz w:val="20"/>
          <w:szCs w:val="20"/>
        </w:rPr>
        <w:t>is</w:t>
      </w:r>
      <w:r w:rsidRPr="0063773B">
        <w:rPr>
          <w:color w:val="auto"/>
          <w:sz w:val="20"/>
          <w:szCs w:val="20"/>
        </w:rPr>
        <w:t xml:space="preserve"> also excluded, though the effects of mobile and subsea facilities are considered if they can lead to major accidents that affect an offshore installation. This document does not cover the construction, commissioning, abandonment or security risks associated with offshore installations.</w:t>
      </w:r>
    </w:p>
    <w:p w:rsidR="007B5CDF" w:rsidRPr="0063773B" w:rsidRDefault="00026D98" w:rsidP="0063773B">
      <w:pPr>
        <w:pStyle w:val="Default"/>
        <w:spacing w:after="240"/>
        <w:jc w:val="both"/>
        <w:rPr>
          <w:color w:val="auto"/>
          <w:sz w:val="20"/>
          <w:szCs w:val="20"/>
        </w:rPr>
      </w:pPr>
      <w:r w:rsidRPr="0063773B">
        <w:rPr>
          <w:color w:val="auto"/>
          <w:sz w:val="20"/>
          <w:szCs w:val="20"/>
        </w:rPr>
        <w:t>The decision to apply the requirements and guidance of this document, in full or in part, is intended to be based on an assessment of the likelihood and possible consequences of MA hazards.</w:t>
      </w:r>
    </w:p>
    <w:p w:rsidR="003B1411" w:rsidRPr="007B5CDF" w:rsidRDefault="007B5CDF" w:rsidP="007B5CDF">
      <w:pPr>
        <w:pStyle w:val="ListParagraph"/>
        <w:numPr>
          <w:ilvl w:val="0"/>
          <w:numId w:val="58"/>
        </w:numPr>
        <w:autoSpaceDE w:val="0"/>
        <w:autoSpaceDN w:val="0"/>
        <w:adjustRightInd w:val="0"/>
        <w:jc w:val="both"/>
        <w:rPr>
          <w:rFonts w:ascii="Arial" w:hAnsi="Arial" w:cs="Arial"/>
          <w:b/>
          <w:sz w:val="20"/>
          <w:szCs w:val="20"/>
        </w:rPr>
      </w:pPr>
      <w:r w:rsidRPr="007B5CDF">
        <w:rPr>
          <w:rFonts w:ascii="Arial" w:hAnsi="Arial" w:cs="Arial"/>
          <w:b/>
          <w:sz w:val="20"/>
          <w:szCs w:val="20"/>
        </w:rPr>
        <w:t xml:space="preserve">Number </w:t>
      </w:r>
      <w:r w:rsidR="00D02D52">
        <w:rPr>
          <w:rFonts w:ascii="Arial" w:hAnsi="Arial" w:cs="Arial"/>
          <w:b/>
          <w:sz w:val="20"/>
          <w:szCs w:val="20"/>
        </w:rPr>
        <w:t xml:space="preserve">ISO </w:t>
      </w:r>
      <w:r w:rsidRPr="007B5CDF">
        <w:rPr>
          <w:rFonts w:ascii="Arial" w:hAnsi="Arial" w:cs="Arial"/>
          <w:b/>
          <w:sz w:val="20"/>
          <w:szCs w:val="20"/>
        </w:rPr>
        <w:t>13702:2015</w:t>
      </w:r>
    </w:p>
    <w:p w:rsidR="007B5CDF" w:rsidRDefault="007B5CDF" w:rsidP="007B5CDF">
      <w:pPr>
        <w:autoSpaceDE w:val="0"/>
        <w:autoSpaceDN w:val="0"/>
        <w:adjustRightInd w:val="0"/>
        <w:rPr>
          <w:rFonts w:ascii="Arial" w:hAnsi="Arial" w:cs="Arial"/>
          <w:sz w:val="20"/>
          <w:szCs w:val="20"/>
        </w:rPr>
      </w:pPr>
    </w:p>
    <w:p w:rsidR="007B5CDF" w:rsidRPr="007B5CDF" w:rsidRDefault="001B427A" w:rsidP="007B5CDF">
      <w:pPr>
        <w:autoSpaceDE w:val="0"/>
        <w:autoSpaceDN w:val="0"/>
        <w:adjustRightInd w:val="0"/>
        <w:rPr>
          <w:rFonts w:ascii="Arial" w:hAnsi="Arial" w:cs="Arial"/>
          <w:b/>
          <w:bCs/>
          <w:sz w:val="20"/>
          <w:szCs w:val="20"/>
        </w:rPr>
      </w:pPr>
      <w:r w:rsidRPr="0079049C">
        <w:rPr>
          <w:rFonts w:ascii="Arial" w:hAnsi="Arial" w:cs="Arial"/>
          <w:sz w:val="20"/>
          <w:szCs w:val="20"/>
        </w:rPr>
        <w:t>Title</w:t>
      </w:r>
      <w:r w:rsidR="005D5DFD" w:rsidRPr="0079049C">
        <w:rPr>
          <w:rFonts w:ascii="Arial" w:hAnsi="Arial" w:cs="Arial"/>
          <w:b/>
          <w:sz w:val="20"/>
          <w:szCs w:val="20"/>
        </w:rPr>
        <w:t>:</w:t>
      </w:r>
      <w:r w:rsidRPr="0079049C">
        <w:rPr>
          <w:rFonts w:ascii="Arial" w:hAnsi="Arial" w:cs="Arial"/>
          <w:b/>
          <w:sz w:val="20"/>
          <w:szCs w:val="20"/>
        </w:rPr>
        <w:t xml:space="preserve"> </w:t>
      </w:r>
      <w:r w:rsidR="006115AE" w:rsidRPr="0079049C">
        <w:rPr>
          <w:rFonts w:ascii="Arial" w:hAnsi="Arial" w:cs="Arial"/>
          <w:b/>
          <w:sz w:val="20"/>
          <w:szCs w:val="20"/>
        </w:rPr>
        <w:t xml:space="preserve">  </w:t>
      </w:r>
      <w:r w:rsidR="007B5CDF" w:rsidRPr="007B5CDF">
        <w:rPr>
          <w:rFonts w:ascii="Arial" w:hAnsi="Arial" w:cs="Arial"/>
          <w:b/>
          <w:bCs/>
          <w:sz w:val="20"/>
          <w:szCs w:val="20"/>
        </w:rPr>
        <w:t xml:space="preserve">Petroleum and natural </w:t>
      </w:r>
      <w:r w:rsidR="007B5CDF">
        <w:rPr>
          <w:rFonts w:ascii="Arial" w:hAnsi="Arial" w:cs="Arial"/>
          <w:b/>
          <w:bCs/>
          <w:sz w:val="20"/>
          <w:szCs w:val="20"/>
        </w:rPr>
        <w:t xml:space="preserve">gas </w:t>
      </w:r>
      <w:r w:rsidR="007B5CDF" w:rsidRPr="007B5CDF">
        <w:rPr>
          <w:rFonts w:ascii="Arial" w:hAnsi="Arial" w:cs="Arial"/>
          <w:b/>
          <w:bCs/>
          <w:sz w:val="20"/>
          <w:szCs w:val="20"/>
        </w:rPr>
        <w:t>industries — Control and mitigation</w:t>
      </w:r>
      <w:r w:rsidR="007B5CDF">
        <w:rPr>
          <w:rFonts w:ascii="Arial" w:hAnsi="Arial" w:cs="Arial"/>
          <w:b/>
          <w:bCs/>
          <w:sz w:val="20"/>
          <w:szCs w:val="20"/>
        </w:rPr>
        <w:t xml:space="preserve"> of fires and explosions </w:t>
      </w:r>
      <w:r w:rsidR="007B5CDF" w:rsidRPr="007B5CDF">
        <w:rPr>
          <w:rFonts w:ascii="Arial" w:hAnsi="Arial" w:cs="Arial"/>
          <w:b/>
          <w:bCs/>
          <w:sz w:val="20"/>
          <w:szCs w:val="20"/>
        </w:rPr>
        <w:t>on offshore</w:t>
      </w:r>
      <w:r w:rsidR="007B5CDF">
        <w:rPr>
          <w:rFonts w:ascii="Arial" w:hAnsi="Arial" w:cs="Arial"/>
          <w:b/>
          <w:bCs/>
          <w:sz w:val="20"/>
          <w:szCs w:val="20"/>
        </w:rPr>
        <w:t xml:space="preserve"> </w:t>
      </w:r>
      <w:r w:rsidR="007B5CDF" w:rsidRPr="007B5CDF">
        <w:rPr>
          <w:rFonts w:ascii="Arial" w:hAnsi="Arial" w:cs="Arial"/>
          <w:b/>
          <w:bCs/>
          <w:sz w:val="20"/>
          <w:szCs w:val="20"/>
        </w:rPr>
        <w:t>production installations —Requirements and guidelines</w:t>
      </w:r>
    </w:p>
    <w:p w:rsidR="0039335C" w:rsidRPr="0079049C" w:rsidRDefault="0039335C" w:rsidP="0039335C">
      <w:pPr>
        <w:autoSpaceDE w:val="0"/>
        <w:autoSpaceDN w:val="0"/>
        <w:adjustRightInd w:val="0"/>
        <w:jc w:val="both"/>
        <w:rPr>
          <w:rFonts w:ascii="Arial" w:hAnsi="Arial" w:cs="Arial"/>
          <w:sz w:val="20"/>
          <w:szCs w:val="20"/>
        </w:rPr>
      </w:pPr>
    </w:p>
    <w:p w:rsidR="007B5CDF" w:rsidRPr="00531284" w:rsidRDefault="003E3908" w:rsidP="007B5CDF">
      <w:pPr>
        <w:autoSpaceDE w:val="0"/>
        <w:autoSpaceDN w:val="0"/>
        <w:adjustRightInd w:val="0"/>
        <w:rPr>
          <w:rFonts w:ascii="Arial" w:hAnsi="Arial" w:cs="Arial"/>
          <w:b/>
          <w:sz w:val="20"/>
          <w:szCs w:val="20"/>
        </w:rPr>
      </w:pPr>
      <w:r w:rsidRPr="007B5CDF">
        <w:rPr>
          <w:rFonts w:ascii="Arial" w:hAnsi="Arial" w:cs="Arial"/>
          <w:b/>
          <w:sz w:val="20"/>
          <w:szCs w:val="20"/>
        </w:rPr>
        <w:t xml:space="preserve">Scope: </w:t>
      </w:r>
    </w:p>
    <w:p w:rsidR="007B5CDF" w:rsidRPr="00531284" w:rsidRDefault="007B5CDF" w:rsidP="007B5CDF">
      <w:pPr>
        <w:pStyle w:val="Pa15"/>
        <w:spacing w:after="180"/>
        <w:jc w:val="both"/>
        <w:rPr>
          <w:rFonts w:ascii="Arial" w:hAnsi="Arial" w:cs="Arial"/>
          <w:sz w:val="20"/>
          <w:szCs w:val="20"/>
        </w:rPr>
      </w:pPr>
      <w:r w:rsidRPr="00531284">
        <w:rPr>
          <w:rFonts w:ascii="Arial" w:hAnsi="Arial" w:cs="Arial"/>
          <w:sz w:val="20"/>
          <w:szCs w:val="20"/>
        </w:rPr>
        <w:t>This International Standard describes the objectives and functional requirements for the control and</w:t>
      </w:r>
      <w:r w:rsidR="00531284" w:rsidRPr="00531284">
        <w:rPr>
          <w:rFonts w:ascii="Arial" w:hAnsi="Arial" w:cs="Arial"/>
          <w:sz w:val="20"/>
          <w:szCs w:val="20"/>
        </w:rPr>
        <w:t xml:space="preserve"> </w:t>
      </w:r>
      <w:r w:rsidRPr="00531284">
        <w:rPr>
          <w:rFonts w:ascii="Arial" w:hAnsi="Arial" w:cs="Arial"/>
          <w:sz w:val="20"/>
          <w:szCs w:val="20"/>
        </w:rPr>
        <w:t>mitigation of fires and explosions on offshore installations used for the development of hydrocarbon</w:t>
      </w:r>
      <w:r w:rsidR="00531284" w:rsidRPr="00531284">
        <w:rPr>
          <w:rFonts w:ascii="Arial" w:hAnsi="Arial" w:cs="Arial"/>
          <w:sz w:val="20"/>
          <w:szCs w:val="20"/>
        </w:rPr>
        <w:t xml:space="preserve"> </w:t>
      </w:r>
      <w:r w:rsidRPr="00531284">
        <w:rPr>
          <w:rFonts w:ascii="Arial" w:hAnsi="Arial" w:cs="Arial"/>
          <w:sz w:val="20"/>
          <w:szCs w:val="20"/>
        </w:rPr>
        <w:t>resources.</w:t>
      </w:r>
    </w:p>
    <w:p w:rsidR="007B5CDF" w:rsidRPr="00531284" w:rsidRDefault="007B5CDF" w:rsidP="007B5CDF">
      <w:pPr>
        <w:pStyle w:val="Pa15"/>
        <w:spacing w:after="180"/>
        <w:jc w:val="both"/>
        <w:rPr>
          <w:rFonts w:ascii="Arial" w:hAnsi="Arial" w:cs="Arial"/>
          <w:sz w:val="20"/>
          <w:szCs w:val="20"/>
        </w:rPr>
      </w:pPr>
      <w:r w:rsidRPr="00531284">
        <w:rPr>
          <w:rFonts w:ascii="Arial" w:hAnsi="Arial" w:cs="Arial"/>
          <w:sz w:val="20"/>
          <w:szCs w:val="20"/>
        </w:rPr>
        <w:t>This International Standard is applicable to the following:</w:t>
      </w:r>
    </w:p>
    <w:p w:rsidR="007B5CDF" w:rsidRPr="00531284" w:rsidRDefault="007B5CDF" w:rsidP="007B5CDF">
      <w:pPr>
        <w:pStyle w:val="Pa15"/>
        <w:spacing w:after="180"/>
        <w:jc w:val="both"/>
        <w:rPr>
          <w:rFonts w:ascii="Arial" w:hAnsi="Arial" w:cs="Arial"/>
          <w:sz w:val="20"/>
          <w:szCs w:val="20"/>
        </w:rPr>
      </w:pPr>
      <w:r w:rsidRPr="00531284">
        <w:rPr>
          <w:rFonts w:ascii="Arial" w:hAnsi="Arial" w:cs="Arial"/>
          <w:sz w:val="20"/>
          <w:szCs w:val="20"/>
        </w:rPr>
        <w:t>— fixed offshore structures;</w:t>
      </w:r>
    </w:p>
    <w:p w:rsidR="007B5CDF" w:rsidRPr="00531284" w:rsidRDefault="007B5CDF" w:rsidP="007B5CDF">
      <w:pPr>
        <w:pStyle w:val="Pa15"/>
        <w:spacing w:after="180"/>
        <w:jc w:val="both"/>
        <w:rPr>
          <w:rFonts w:ascii="Arial" w:hAnsi="Arial" w:cs="Arial"/>
          <w:sz w:val="20"/>
          <w:szCs w:val="20"/>
        </w:rPr>
      </w:pPr>
      <w:r w:rsidRPr="00531284">
        <w:rPr>
          <w:rFonts w:ascii="Arial" w:hAnsi="Arial" w:cs="Arial"/>
          <w:sz w:val="20"/>
          <w:szCs w:val="20"/>
        </w:rPr>
        <w:t>— floating systems for production, storage, and offloading;</w:t>
      </w:r>
    </w:p>
    <w:p w:rsidR="007B5CDF" w:rsidRPr="00531284" w:rsidRDefault="007B5CDF" w:rsidP="007B5CDF">
      <w:pPr>
        <w:pStyle w:val="Pa15"/>
        <w:spacing w:after="180"/>
        <w:jc w:val="both"/>
        <w:rPr>
          <w:rFonts w:ascii="Arial" w:hAnsi="Arial" w:cs="Arial"/>
          <w:sz w:val="20"/>
          <w:szCs w:val="20"/>
        </w:rPr>
      </w:pPr>
      <w:r w:rsidRPr="00531284">
        <w:rPr>
          <w:rFonts w:ascii="Arial" w:hAnsi="Arial" w:cs="Arial"/>
          <w:sz w:val="20"/>
          <w:szCs w:val="20"/>
        </w:rPr>
        <w:t>— petroleum and natural gas industries.</w:t>
      </w:r>
    </w:p>
    <w:p w:rsidR="007B5CDF" w:rsidRPr="00531284" w:rsidRDefault="007B5CDF" w:rsidP="0063773B">
      <w:pPr>
        <w:pStyle w:val="Default"/>
        <w:spacing w:after="240"/>
        <w:jc w:val="both"/>
        <w:rPr>
          <w:color w:val="auto"/>
          <w:sz w:val="20"/>
          <w:szCs w:val="20"/>
        </w:rPr>
      </w:pPr>
      <w:r w:rsidRPr="00531284">
        <w:rPr>
          <w:color w:val="auto"/>
          <w:sz w:val="20"/>
          <w:szCs w:val="20"/>
        </w:rPr>
        <w:t>Mobile offshore units as defined in this International Standard and subsea installations are excluded,</w:t>
      </w:r>
      <w:r w:rsidRPr="00531284">
        <w:rPr>
          <w:color w:val="auto"/>
          <w:sz w:val="20"/>
          <w:szCs w:val="20"/>
        </w:rPr>
        <w:t xml:space="preserve"> </w:t>
      </w:r>
      <w:r w:rsidRPr="00531284">
        <w:rPr>
          <w:color w:val="auto"/>
          <w:sz w:val="20"/>
          <w:szCs w:val="20"/>
        </w:rPr>
        <w:t>although many of the principles contained in this International Standard can be used as guidance.</w:t>
      </w:r>
      <w:r w:rsidRPr="00531284">
        <w:rPr>
          <w:color w:val="auto"/>
          <w:sz w:val="20"/>
          <w:szCs w:val="20"/>
        </w:rPr>
        <w:t xml:space="preserve"> </w:t>
      </w:r>
      <w:r w:rsidRPr="00531284">
        <w:rPr>
          <w:color w:val="auto"/>
          <w:sz w:val="20"/>
          <w:szCs w:val="20"/>
        </w:rPr>
        <w:t>This International Standard is based on an approach where the selection of control and mitigation</w:t>
      </w:r>
      <w:r w:rsidRPr="00531284">
        <w:rPr>
          <w:color w:val="auto"/>
          <w:sz w:val="20"/>
          <w:szCs w:val="20"/>
        </w:rPr>
        <w:t xml:space="preserve"> </w:t>
      </w:r>
      <w:r w:rsidRPr="00531284">
        <w:rPr>
          <w:color w:val="auto"/>
          <w:sz w:val="20"/>
          <w:szCs w:val="20"/>
        </w:rPr>
        <w:t>measures for fires and explosions is determined by an evaluation of hazards on the offshore installation.</w:t>
      </w:r>
      <w:r w:rsidRPr="00531284">
        <w:rPr>
          <w:color w:val="auto"/>
          <w:sz w:val="20"/>
          <w:szCs w:val="20"/>
        </w:rPr>
        <w:t xml:space="preserve"> </w:t>
      </w:r>
      <w:r w:rsidRPr="00531284">
        <w:rPr>
          <w:color w:val="auto"/>
          <w:sz w:val="20"/>
          <w:szCs w:val="20"/>
        </w:rPr>
        <w:t>The methodologies employed in this assessment and the resultant recommendations will differ</w:t>
      </w:r>
      <w:r w:rsidRPr="00531284">
        <w:rPr>
          <w:color w:val="auto"/>
          <w:sz w:val="20"/>
          <w:szCs w:val="20"/>
        </w:rPr>
        <w:t xml:space="preserve"> </w:t>
      </w:r>
      <w:r w:rsidRPr="00531284">
        <w:rPr>
          <w:color w:val="auto"/>
          <w:sz w:val="20"/>
          <w:szCs w:val="20"/>
        </w:rPr>
        <w:t>depending on the complexity of the production process and facilities, type of facility (i.e. open or</w:t>
      </w:r>
      <w:r w:rsidRPr="00531284">
        <w:rPr>
          <w:color w:val="auto"/>
          <w:sz w:val="20"/>
          <w:szCs w:val="20"/>
        </w:rPr>
        <w:t xml:space="preserve"> </w:t>
      </w:r>
      <w:r w:rsidRPr="00531284">
        <w:rPr>
          <w:color w:val="auto"/>
          <w:sz w:val="20"/>
          <w:szCs w:val="20"/>
        </w:rPr>
        <w:t>enclosed), manning levels, and environmental conditions associated with the area of operation.</w:t>
      </w:r>
    </w:p>
    <w:p w:rsidR="007B5CDF" w:rsidRPr="00531284" w:rsidRDefault="007B5CDF" w:rsidP="0063773B">
      <w:pPr>
        <w:pStyle w:val="Default"/>
        <w:spacing w:after="240"/>
        <w:jc w:val="both"/>
        <w:rPr>
          <w:color w:val="auto"/>
          <w:sz w:val="20"/>
          <w:szCs w:val="20"/>
        </w:rPr>
      </w:pPr>
      <w:r w:rsidRPr="00531284">
        <w:rPr>
          <w:color w:val="auto"/>
          <w:sz w:val="20"/>
          <w:szCs w:val="20"/>
        </w:rPr>
        <w:lastRenderedPageBreak/>
        <w:t>NOTE</w:t>
      </w:r>
      <w:r w:rsidR="00531284" w:rsidRPr="00531284">
        <w:rPr>
          <w:color w:val="auto"/>
          <w:sz w:val="20"/>
          <w:szCs w:val="20"/>
        </w:rPr>
        <w:t>:</w:t>
      </w:r>
      <w:r w:rsidRPr="00531284">
        <w:rPr>
          <w:color w:val="auto"/>
          <w:sz w:val="20"/>
          <w:szCs w:val="20"/>
        </w:rPr>
        <w:t xml:space="preserve"> Statutory requirements, rules, and regulations can, in addition, be applicable for the individual offshore</w:t>
      </w:r>
      <w:r w:rsidR="00531284" w:rsidRPr="00531284">
        <w:rPr>
          <w:color w:val="auto"/>
          <w:sz w:val="20"/>
          <w:szCs w:val="20"/>
        </w:rPr>
        <w:t xml:space="preserve"> </w:t>
      </w:r>
      <w:r w:rsidRPr="00531284">
        <w:rPr>
          <w:color w:val="auto"/>
          <w:sz w:val="20"/>
          <w:szCs w:val="20"/>
        </w:rPr>
        <w:t>installation concerned.</w:t>
      </w:r>
    </w:p>
    <w:p w:rsidR="007B5CDF" w:rsidRPr="007B5CDF" w:rsidRDefault="007B5CDF" w:rsidP="007B5CDF">
      <w:pPr>
        <w:pStyle w:val="ListParagraph"/>
        <w:numPr>
          <w:ilvl w:val="0"/>
          <w:numId w:val="58"/>
        </w:numPr>
        <w:autoSpaceDE w:val="0"/>
        <w:autoSpaceDN w:val="0"/>
        <w:adjustRightInd w:val="0"/>
        <w:jc w:val="both"/>
        <w:rPr>
          <w:rFonts w:ascii="Arial" w:hAnsi="Arial" w:cs="Arial"/>
          <w:b/>
          <w:sz w:val="20"/>
          <w:szCs w:val="20"/>
        </w:rPr>
      </w:pPr>
      <w:r w:rsidRPr="007B5CDF">
        <w:rPr>
          <w:rFonts w:ascii="Arial" w:hAnsi="Arial" w:cs="Arial"/>
          <w:b/>
          <w:sz w:val="20"/>
          <w:szCs w:val="20"/>
        </w:rPr>
        <w:t>Number</w:t>
      </w:r>
      <w:r w:rsidR="00D02D52">
        <w:rPr>
          <w:rFonts w:ascii="Arial" w:hAnsi="Arial" w:cs="Arial"/>
          <w:b/>
          <w:sz w:val="20"/>
          <w:szCs w:val="20"/>
        </w:rPr>
        <w:t xml:space="preserve"> ISO 15544:2000/Amd.1:2009 (E)</w:t>
      </w:r>
    </w:p>
    <w:p w:rsidR="007B5CDF" w:rsidRPr="007B5CDF" w:rsidRDefault="007B5CDF" w:rsidP="007B5CDF">
      <w:pPr>
        <w:pStyle w:val="Default"/>
      </w:pPr>
    </w:p>
    <w:p w:rsidR="007B5CDF" w:rsidRDefault="00D02D52" w:rsidP="00D02D52">
      <w:pPr>
        <w:autoSpaceDE w:val="0"/>
        <w:autoSpaceDN w:val="0"/>
        <w:adjustRightInd w:val="0"/>
        <w:rPr>
          <w:rFonts w:ascii="Arial" w:hAnsi="Arial" w:cs="Arial"/>
          <w:b/>
          <w:bCs/>
          <w:sz w:val="20"/>
          <w:szCs w:val="20"/>
        </w:rPr>
      </w:pPr>
      <w:r w:rsidRPr="00D02D52">
        <w:rPr>
          <w:rFonts w:ascii="Arial" w:hAnsi="Arial" w:cs="Arial"/>
          <w:b/>
          <w:bCs/>
          <w:sz w:val="20"/>
          <w:szCs w:val="20"/>
        </w:rPr>
        <w:t xml:space="preserve">Title: </w:t>
      </w:r>
      <w:r w:rsidRPr="00D02D52">
        <w:rPr>
          <w:rFonts w:ascii="Arial" w:hAnsi="Arial" w:cs="Arial"/>
          <w:b/>
          <w:bCs/>
          <w:sz w:val="20"/>
          <w:szCs w:val="20"/>
        </w:rPr>
        <w:t>Petroleum and natural gas industries —Offshore production installations —Requirements and guidelines for</w:t>
      </w:r>
      <w:r>
        <w:rPr>
          <w:rFonts w:ascii="Arial" w:hAnsi="Arial" w:cs="Arial"/>
          <w:b/>
          <w:bCs/>
          <w:sz w:val="20"/>
          <w:szCs w:val="20"/>
        </w:rPr>
        <w:t xml:space="preserve"> </w:t>
      </w:r>
      <w:r w:rsidRPr="00D02D52">
        <w:rPr>
          <w:rFonts w:ascii="Arial" w:hAnsi="Arial" w:cs="Arial"/>
          <w:b/>
          <w:bCs/>
          <w:sz w:val="20"/>
          <w:szCs w:val="20"/>
        </w:rPr>
        <w:t>emergency response</w:t>
      </w:r>
    </w:p>
    <w:p w:rsidR="00D02D52" w:rsidRDefault="00D02D52" w:rsidP="00D02D52">
      <w:pPr>
        <w:autoSpaceDE w:val="0"/>
        <w:autoSpaceDN w:val="0"/>
        <w:adjustRightInd w:val="0"/>
        <w:rPr>
          <w:rFonts w:ascii="Arial" w:hAnsi="Arial" w:cs="Arial"/>
          <w:b/>
          <w:bCs/>
          <w:sz w:val="20"/>
          <w:szCs w:val="20"/>
        </w:rPr>
      </w:pPr>
    </w:p>
    <w:p w:rsidR="00BF0785" w:rsidRPr="00531284" w:rsidRDefault="00D02D52" w:rsidP="00BF0785">
      <w:pPr>
        <w:autoSpaceDE w:val="0"/>
        <w:autoSpaceDN w:val="0"/>
        <w:adjustRightInd w:val="0"/>
        <w:rPr>
          <w:rFonts w:ascii="Arial" w:hAnsi="Arial" w:cs="Arial"/>
          <w:b/>
          <w:bCs/>
          <w:sz w:val="20"/>
          <w:szCs w:val="20"/>
        </w:rPr>
      </w:pPr>
      <w:r>
        <w:rPr>
          <w:rFonts w:ascii="Arial" w:hAnsi="Arial" w:cs="Arial"/>
          <w:b/>
          <w:bCs/>
          <w:sz w:val="20"/>
          <w:szCs w:val="20"/>
        </w:rPr>
        <w:t>Scope:</w:t>
      </w:r>
    </w:p>
    <w:p w:rsidR="00BF0785" w:rsidRPr="00531284" w:rsidRDefault="00BF0785" w:rsidP="00531284">
      <w:pPr>
        <w:pStyle w:val="Pa15"/>
        <w:spacing w:after="180"/>
        <w:jc w:val="both"/>
        <w:rPr>
          <w:rFonts w:ascii="Arial" w:hAnsi="Arial" w:cs="Arial"/>
          <w:sz w:val="20"/>
          <w:szCs w:val="20"/>
        </w:rPr>
      </w:pPr>
      <w:r>
        <w:rPr>
          <w:rFonts w:ascii="Arial" w:hAnsi="Arial" w:cs="Arial"/>
          <w:sz w:val="20"/>
          <w:szCs w:val="20"/>
        </w:rPr>
        <w:t>This International Standard describes objectives, functional requirements and guidelines for emergency response</w:t>
      </w:r>
      <w:r>
        <w:rPr>
          <w:rFonts w:ascii="Arial" w:hAnsi="Arial" w:cs="Arial"/>
          <w:sz w:val="20"/>
          <w:szCs w:val="20"/>
        </w:rPr>
        <w:t xml:space="preserve"> </w:t>
      </w:r>
      <w:r>
        <w:rPr>
          <w:rFonts w:ascii="Arial" w:hAnsi="Arial" w:cs="Arial"/>
          <w:sz w:val="20"/>
          <w:szCs w:val="20"/>
        </w:rPr>
        <w:t>(ER) measures on installations used for the development of offshore hydrocarbon resources. It is applicable to</w:t>
      </w:r>
      <w:r>
        <w:rPr>
          <w:rFonts w:ascii="Arial" w:hAnsi="Arial" w:cs="Arial"/>
          <w:sz w:val="20"/>
          <w:szCs w:val="20"/>
        </w:rPr>
        <w:t xml:space="preserve"> </w:t>
      </w:r>
      <w:r>
        <w:rPr>
          <w:rFonts w:ascii="Arial" w:hAnsi="Arial" w:cs="Arial"/>
          <w:sz w:val="20"/>
          <w:szCs w:val="20"/>
        </w:rPr>
        <w:t>fixed offshore structures or floating production, storage and off-take systems.</w:t>
      </w:r>
    </w:p>
    <w:p w:rsidR="00BF0785" w:rsidRPr="00531284" w:rsidRDefault="00BF0785" w:rsidP="00531284">
      <w:pPr>
        <w:pStyle w:val="Pa15"/>
        <w:spacing w:after="180"/>
        <w:jc w:val="both"/>
        <w:rPr>
          <w:rFonts w:ascii="Arial" w:hAnsi="Arial" w:cs="Arial"/>
          <w:sz w:val="20"/>
          <w:szCs w:val="20"/>
        </w:rPr>
      </w:pPr>
      <w:r w:rsidRPr="00531284">
        <w:rPr>
          <w:rFonts w:ascii="Arial" w:hAnsi="Arial" w:cs="Arial"/>
          <w:sz w:val="20"/>
          <w:szCs w:val="20"/>
        </w:rPr>
        <w:t>NOTE</w:t>
      </w:r>
      <w:r w:rsidRPr="00531284">
        <w:rPr>
          <w:rFonts w:ascii="Arial" w:hAnsi="Arial" w:cs="Arial"/>
          <w:sz w:val="20"/>
          <w:szCs w:val="20"/>
        </w:rPr>
        <w:t>:</w:t>
      </w:r>
      <w:r w:rsidRPr="00531284">
        <w:rPr>
          <w:rFonts w:ascii="Arial" w:hAnsi="Arial" w:cs="Arial"/>
          <w:sz w:val="20"/>
          <w:szCs w:val="20"/>
        </w:rPr>
        <w:t xml:space="preserve"> For mobile offshore units, the ER plans developed in conformance with the requirements and recommendations of</w:t>
      </w:r>
      <w:r w:rsidRPr="00531284">
        <w:rPr>
          <w:rFonts w:ascii="Arial" w:hAnsi="Arial" w:cs="Arial"/>
          <w:sz w:val="20"/>
          <w:szCs w:val="20"/>
        </w:rPr>
        <w:t xml:space="preserve"> </w:t>
      </w:r>
      <w:r w:rsidRPr="00531284">
        <w:rPr>
          <w:rFonts w:ascii="Arial" w:hAnsi="Arial" w:cs="Arial"/>
          <w:sz w:val="20"/>
          <w:szCs w:val="20"/>
        </w:rPr>
        <w:t>the International Maritime Organization (IMO) are generally adequate for the normal, independent operation of the unit in most</w:t>
      </w:r>
      <w:r w:rsidRPr="00531284">
        <w:rPr>
          <w:rFonts w:ascii="Arial" w:hAnsi="Arial" w:cs="Arial"/>
          <w:sz w:val="20"/>
          <w:szCs w:val="20"/>
        </w:rPr>
        <w:t xml:space="preserve"> </w:t>
      </w:r>
      <w:r w:rsidRPr="00531284">
        <w:rPr>
          <w:rFonts w:ascii="Arial" w:hAnsi="Arial" w:cs="Arial"/>
          <w:sz w:val="20"/>
          <w:szCs w:val="20"/>
        </w:rPr>
        <w:t>locations. The following aspects of ER planning are generally not addressed by IMO and should be specially considered:</w:t>
      </w:r>
    </w:p>
    <w:p w:rsidR="00BF0785" w:rsidRPr="00531284" w:rsidRDefault="00BF0785" w:rsidP="003B2C4A">
      <w:pPr>
        <w:pStyle w:val="Pa15"/>
        <w:numPr>
          <w:ilvl w:val="0"/>
          <w:numId w:val="60"/>
        </w:numPr>
        <w:spacing w:after="180"/>
        <w:jc w:val="both"/>
        <w:rPr>
          <w:rFonts w:ascii="Arial" w:hAnsi="Arial" w:cs="Arial"/>
          <w:sz w:val="20"/>
          <w:szCs w:val="20"/>
        </w:rPr>
      </w:pPr>
      <w:r w:rsidRPr="00531284">
        <w:rPr>
          <w:rFonts w:ascii="Arial" w:hAnsi="Arial" w:cs="Arial"/>
          <w:sz w:val="20"/>
          <w:szCs w:val="20"/>
        </w:rPr>
        <w:t>area evacuation, e.g. precautionary evacuation in areas of tropical revolving storms;</w:t>
      </w:r>
    </w:p>
    <w:p w:rsidR="00BF0785" w:rsidRPr="00531284" w:rsidRDefault="00BF0785" w:rsidP="003B2C4A">
      <w:pPr>
        <w:pStyle w:val="Pa15"/>
        <w:numPr>
          <w:ilvl w:val="0"/>
          <w:numId w:val="60"/>
        </w:numPr>
        <w:spacing w:after="180"/>
        <w:jc w:val="both"/>
        <w:rPr>
          <w:rFonts w:ascii="Arial" w:hAnsi="Arial" w:cs="Arial"/>
          <w:sz w:val="20"/>
          <w:szCs w:val="20"/>
        </w:rPr>
      </w:pPr>
      <w:r w:rsidRPr="00531284">
        <w:rPr>
          <w:rFonts w:ascii="Arial" w:hAnsi="Arial" w:cs="Arial"/>
          <w:sz w:val="20"/>
          <w:szCs w:val="20"/>
        </w:rPr>
        <w:t>combined operations wherein an integrated command and ER system should be developed;</w:t>
      </w:r>
    </w:p>
    <w:p w:rsidR="00BF0785" w:rsidRPr="00531284" w:rsidRDefault="00BF0785" w:rsidP="003B2C4A">
      <w:pPr>
        <w:pStyle w:val="Pa15"/>
        <w:numPr>
          <w:ilvl w:val="0"/>
          <w:numId w:val="60"/>
        </w:numPr>
        <w:spacing w:after="180"/>
        <w:jc w:val="both"/>
        <w:rPr>
          <w:rFonts w:ascii="Arial" w:hAnsi="Arial" w:cs="Arial"/>
          <w:sz w:val="20"/>
          <w:szCs w:val="20"/>
        </w:rPr>
      </w:pPr>
      <w:r w:rsidRPr="00531284">
        <w:rPr>
          <w:rFonts w:ascii="Arial" w:hAnsi="Arial" w:cs="Arial"/>
          <w:sz w:val="20"/>
          <w:szCs w:val="20"/>
        </w:rPr>
        <w:t>arctic operations;</w:t>
      </w:r>
    </w:p>
    <w:p w:rsidR="00F2296D" w:rsidRPr="001E669D" w:rsidRDefault="00BF0785" w:rsidP="00BF0785">
      <w:pPr>
        <w:pStyle w:val="Pa15"/>
        <w:numPr>
          <w:ilvl w:val="0"/>
          <w:numId w:val="60"/>
        </w:numPr>
        <w:spacing w:after="180"/>
        <w:jc w:val="both"/>
        <w:rPr>
          <w:rFonts w:ascii="Arial" w:hAnsi="Arial" w:cs="Arial"/>
          <w:sz w:val="20"/>
          <w:szCs w:val="20"/>
        </w:rPr>
      </w:pPr>
      <w:r w:rsidRPr="00531284">
        <w:rPr>
          <w:rFonts w:ascii="Arial" w:hAnsi="Arial" w:cs="Arial"/>
          <w:sz w:val="20"/>
          <w:szCs w:val="20"/>
        </w:rPr>
        <w:t>uncontrolled flow from a well.</w:t>
      </w:r>
    </w:p>
    <w:p w:rsidR="006115AE" w:rsidRPr="00F2296D" w:rsidRDefault="00F2296D" w:rsidP="00F2296D">
      <w:pPr>
        <w:pStyle w:val="ListParagraph"/>
        <w:numPr>
          <w:ilvl w:val="0"/>
          <w:numId w:val="58"/>
        </w:numPr>
        <w:autoSpaceDE w:val="0"/>
        <w:autoSpaceDN w:val="0"/>
        <w:adjustRightInd w:val="0"/>
        <w:rPr>
          <w:rFonts w:ascii="Arial" w:hAnsi="Arial" w:cs="Arial"/>
          <w:b/>
          <w:bCs/>
          <w:sz w:val="20"/>
          <w:szCs w:val="20"/>
        </w:rPr>
      </w:pPr>
      <w:r>
        <w:rPr>
          <w:rFonts w:ascii="Arial" w:hAnsi="Arial" w:cs="Arial"/>
          <w:b/>
          <w:bCs/>
          <w:sz w:val="20"/>
          <w:szCs w:val="20"/>
        </w:rPr>
        <w:t xml:space="preserve">Number ISO </w:t>
      </w:r>
      <w:r w:rsidRPr="00F2296D">
        <w:rPr>
          <w:rFonts w:ascii="Arial" w:hAnsi="Arial" w:cs="Arial"/>
          <w:b/>
          <w:sz w:val="20"/>
          <w:szCs w:val="20"/>
        </w:rPr>
        <w:t>13857</w:t>
      </w:r>
      <w:r>
        <w:rPr>
          <w:rFonts w:ascii="Arial" w:hAnsi="Arial" w:cs="Arial"/>
          <w:b/>
          <w:sz w:val="20"/>
          <w:szCs w:val="20"/>
        </w:rPr>
        <w:t xml:space="preserve"> 2000</w:t>
      </w:r>
    </w:p>
    <w:p w:rsidR="00F2296D" w:rsidRDefault="00F2296D" w:rsidP="00F2296D">
      <w:pPr>
        <w:autoSpaceDE w:val="0"/>
        <w:autoSpaceDN w:val="0"/>
        <w:adjustRightInd w:val="0"/>
        <w:rPr>
          <w:rFonts w:ascii="Arial" w:hAnsi="Arial" w:cs="Arial"/>
          <w:b/>
          <w:bCs/>
          <w:sz w:val="20"/>
          <w:szCs w:val="20"/>
        </w:rPr>
      </w:pPr>
    </w:p>
    <w:p w:rsidR="00F2296D" w:rsidRPr="00F2296D" w:rsidRDefault="00F2296D" w:rsidP="00F2296D">
      <w:pPr>
        <w:autoSpaceDE w:val="0"/>
        <w:autoSpaceDN w:val="0"/>
        <w:adjustRightInd w:val="0"/>
        <w:rPr>
          <w:rFonts w:ascii="Arial" w:hAnsi="Arial" w:cs="Arial"/>
          <w:b/>
          <w:bCs/>
          <w:sz w:val="20"/>
          <w:szCs w:val="20"/>
        </w:rPr>
      </w:pPr>
      <w:r>
        <w:rPr>
          <w:rFonts w:ascii="Arial" w:hAnsi="Arial" w:cs="Arial"/>
          <w:b/>
          <w:bCs/>
          <w:sz w:val="20"/>
          <w:szCs w:val="20"/>
        </w:rPr>
        <w:t>Title:</w:t>
      </w:r>
      <w:r w:rsidRPr="00F2296D">
        <w:rPr>
          <w:rFonts w:ascii="Arial,Bold" w:hAnsi="Arial,Bold" w:cs="Arial,Bold"/>
          <w:b/>
          <w:bCs/>
          <w:sz w:val="32"/>
          <w:szCs w:val="32"/>
        </w:rPr>
        <w:t xml:space="preserve"> </w:t>
      </w:r>
      <w:r w:rsidRPr="00F2296D">
        <w:rPr>
          <w:rFonts w:ascii="Arial" w:hAnsi="Arial" w:cs="Arial"/>
          <w:b/>
          <w:bCs/>
          <w:sz w:val="20"/>
          <w:szCs w:val="20"/>
        </w:rPr>
        <w:t>Safety of machinery — Safety</w:t>
      </w:r>
      <w:r>
        <w:rPr>
          <w:rFonts w:ascii="Arial" w:hAnsi="Arial" w:cs="Arial"/>
          <w:b/>
          <w:bCs/>
          <w:sz w:val="20"/>
          <w:szCs w:val="20"/>
        </w:rPr>
        <w:t xml:space="preserve"> distances to prevent hazard </w:t>
      </w:r>
      <w:r w:rsidRPr="00F2296D">
        <w:rPr>
          <w:rFonts w:ascii="Arial" w:hAnsi="Arial" w:cs="Arial"/>
          <w:b/>
          <w:bCs/>
          <w:sz w:val="20"/>
          <w:szCs w:val="20"/>
        </w:rPr>
        <w:t>zones being reached by upper and lower limbs</w:t>
      </w:r>
    </w:p>
    <w:p w:rsidR="00F2296D" w:rsidRPr="00F2296D" w:rsidRDefault="00F2296D" w:rsidP="00F2296D">
      <w:pPr>
        <w:autoSpaceDE w:val="0"/>
        <w:autoSpaceDN w:val="0"/>
        <w:adjustRightInd w:val="0"/>
        <w:rPr>
          <w:rFonts w:ascii="Arial" w:hAnsi="Arial" w:cs="Arial"/>
          <w:b/>
          <w:bCs/>
          <w:sz w:val="20"/>
          <w:szCs w:val="20"/>
        </w:rPr>
      </w:pPr>
    </w:p>
    <w:p w:rsidR="00F2296D" w:rsidRDefault="00F2296D" w:rsidP="00F2296D">
      <w:pPr>
        <w:autoSpaceDE w:val="0"/>
        <w:autoSpaceDN w:val="0"/>
        <w:adjustRightInd w:val="0"/>
        <w:rPr>
          <w:rFonts w:ascii="Arial" w:hAnsi="Arial" w:cs="Arial"/>
          <w:b/>
          <w:bCs/>
          <w:sz w:val="20"/>
          <w:szCs w:val="20"/>
        </w:rPr>
      </w:pPr>
      <w:r>
        <w:rPr>
          <w:rFonts w:ascii="Arial" w:hAnsi="Arial" w:cs="Arial"/>
          <w:b/>
          <w:bCs/>
          <w:sz w:val="20"/>
          <w:szCs w:val="20"/>
        </w:rPr>
        <w:t xml:space="preserve">Scope: </w:t>
      </w:r>
    </w:p>
    <w:p w:rsidR="00F2296D" w:rsidRDefault="00F2296D" w:rsidP="00531284">
      <w:pPr>
        <w:pStyle w:val="Pa15"/>
        <w:spacing w:after="180"/>
        <w:jc w:val="both"/>
        <w:rPr>
          <w:rFonts w:ascii="Arial" w:hAnsi="Arial" w:cs="Arial"/>
          <w:sz w:val="20"/>
          <w:szCs w:val="20"/>
        </w:rPr>
      </w:pPr>
      <w:r>
        <w:rPr>
          <w:rFonts w:ascii="Arial" w:hAnsi="Arial" w:cs="Arial"/>
          <w:sz w:val="20"/>
          <w:szCs w:val="20"/>
        </w:rPr>
        <w:t>This International Standard establishes values for safety distances in both industrial and non-industrial</w:t>
      </w:r>
      <w:r w:rsidR="0063773B">
        <w:rPr>
          <w:rFonts w:ascii="Arial" w:hAnsi="Arial" w:cs="Arial"/>
          <w:sz w:val="20"/>
          <w:szCs w:val="20"/>
        </w:rPr>
        <w:t xml:space="preserve"> </w:t>
      </w:r>
      <w:r>
        <w:rPr>
          <w:rFonts w:ascii="Arial" w:hAnsi="Arial" w:cs="Arial"/>
          <w:sz w:val="20"/>
          <w:szCs w:val="20"/>
        </w:rPr>
        <w:t>environments to prevent machinery hazard zones being reached. The safet</w:t>
      </w:r>
      <w:r>
        <w:rPr>
          <w:rFonts w:ascii="Arial" w:hAnsi="Arial" w:cs="Arial"/>
          <w:sz w:val="20"/>
          <w:szCs w:val="20"/>
        </w:rPr>
        <w:t xml:space="preserve">y distances are appropriate for </w:t>
      </w:r>
      <w:r>
        <w:rPr>
          <w:rFonts w:ascii="Arial" w:hAnsi="Arial" w:cs="Arial"/>
          <w:sz w:val="20"/>
          <w:szCs w:val="20"/>
        </w:rPr>
        <w:t>protective structures. It also gives information about distances to impede free access by the lower limbs</w:t>
      </w:r>
      <w:r w:rsidR="0063773B">
        <w:rPr>
          <w:rFonts w:ascii="Arial" w:hAnsi="Arial" w:cs="Arial"/>
          <w:sz w:val="20"/>
          <w:szCs w:val="20"/>
        </w:rPr>
        <w:t>.</w:t>
      </w:r>
    </w:p>
    <w:p w:rsidR="00F2296D" w:rsidRDefault="00F2296D" w:rsidP="00531284">
      <w:pPr>
        <w:pStyle w:val="Pa15"/>
        <w:spacing w:after="180"/>
        <w:jc w:val="both"/>
        <w:rPr>
          <w:rFonts w:ascii="Arial" w:hAnsi="Arial" w:cs="Arial"/>
          <w:sz w:val="20"/>
          <w:szCs w:val="20"/>
        </w:rPr>
      </w:pPr>
      <w:r>
        <w:rPr>
          <w:rFonts w:ascii="Arial" w:hAnsi="Arial" w:cs="Arial"/>
          <w:sz w:val="20"/>
          <w:szCs w:val="20"/>
        </w:rPr>
        <w:t>This International Standard covers people of 14 years and older (the 5</w:t>
      </w:r>
      <w:r w:rsidRPr="00531284">
        <w:rPr>
          <w:rFonts w:ascii="Arial" w:hAnsi="Arial" w:cs="Arial"/>
          <w:sz w:val="20"/>
          <w:szCs w:val="20"/>
        </w:rPr>
        <w:t xml:space="preserve">th </w:t>
      </w:r>
      <w:r>
        <w:rPr>
          <w:rFonts w:ascii="Arial" w:hAnsi="Arial" w:cs="Arial"/>
          <w:sz w:val="20"/>
          <w:szCs w:val="20"/>
        </w:rPr>
        <w:t>percen</w:t>
      </w:r>
      <w:r>
        <w:rPr>
          <w:rFonts w:ascii="Arial" w:hAnsi="Arial" w:cs="Arial"/>
          <w:sz w:val="20"/>
          <w:szCs w:val="20"/>
        </w:rPr>
        <w:t xml:space="preserve">tile stature of 14 year olds is </w:t>
      </w:r>
      <w:r>
        <w:rPr>
          <w:rFonts w:ascii="Arial" w:hAnsi="Arial" w:cs="Arial"/>
          <w:sz w:val="20"/>
          <w:szCs w:val="20"/>
        </w:rPr>
        <w:t>approximately 1 400 mm). In addition, for upper limbs only, it provides information for children older than</w:t>
      </w:r>
      <w:r>
        <w:rPr>
          <w:rFonts w:ascii="Arial" w:hAnsi="Arial" w:cs="Arial"/>
          <w:sz w:val="20"/>
          <w:szCs w:val="20"/>
        </w:rPr>
        <w:t xml:space="preserve"> </w:t>
      </w:r>
      <w:r>
        <w:rPr>
          <w:rFonts w:ascii="Arial" w:hAnsi="Arial" w:cs="Arial"/>
          <w:sz w:val="20"/>
          <w:szCs w:val="20"/>
        </w:rPr>
        <w:t>3 years (5</w:t>
      </w:r>
      <w:r w:rsidRPr="00531284">
        <w:rPr>
          <w:rFonts w:ascii="Arial" w:hAnsi="Arial" w:cs="Arial"/>
          <w:sz w:val="20"/>
          <w:szCs w:val="20"/>
        </w:rPr>
        <w:t xml:space="preserve">th </w:t>
      </w:r>
      <w:r>
        <w:rPr>
          <w:rFonts w:ascii="Arial" w:hAnsi="Arial" w:cs="Arial"/>
          <w:sz w:val="20"/>
          <w:szCs w:val="20"/>
        </w:rPr>
        <w:t>percentile stature of 3 year olds is approximately 900 mm) where reaching through openings</w:t>
      </w:r>
      <w:r>
        <w:rPr>
          <w:rFonts w:ascii="Arial" w:hAnsi="Arial" w:cs="Arial"/>
          <w:sz w:val="20"/>
          <w:szCs w:val="20"/>
        </w:rPr>
        <w:t xml:space="preserve"> </w:t>
      </w:r>
      <w:r>
        <w:rPr>
          <w:rFonts w:ascii="Arial" w:hAnsi="Arial" w:cs="Arial"/>
          <w:sz w:val="20"/>
          <w:szCs w:val="20"/>
        </w:rPr>
        <w:t>needs to be addressed.</w:t>
      </w:r>
    </w:p>
    <w:p w:rsidR="00F2296D" w:rsidRPr="00531284" w:rsidRDefault="00F2296D" w:rsidP="00531284">
      <w:pPr>
        <w:pStyle w:val="Pa15"/>
        <w:spacing w:after="180"/>
        <w:jc w:val="both"/>
        <w:rPr>
          <w:rFonts w:ascii="Arial" w:hAnsi="Arial" w:cs="Arial"/>
          <w:sz w:val="20"/>
          <w:szCs w:val="20"/>
        </w:rPr>
      </w:pPr>
      <w:r w:rsidRPr="00531284">
        <w:rPr>
          <w:rFonts w:ascii="Arial" w:hAnsi="Arial" w:cs="Arial"/>
          <w:sz w:val="20"/>
          <w:szCs w:val="20"/>
        </w:rPr>
        <w:t>NOTE 1</w:t>
      </w:r>
      <w:r w:rsidR="0063773B">
        <w:rPr>
          <w:rFonts w:ascii="Arial" w:hAnsi="Arial" w:cs="Arial"/>
          <w:sz w:val="20"/>
          <w:szCs w:val="20"/>
        </w:rPr>
        <w:t>:</w:t>
      </w:r>
      <w:r w:rsidRPr="00531284">
        <w:rPr>
          <w:rFonts w:ascii="Arial" w:hAnsi="Arial" w:cs="Arial"/>
          <w:sz w:val="20"/>
          <w:szCs w:val="20"/>
        </w:rPr>
        <w:t xml:space="preserve"> Data for preventing lower limb access for children is not considered.</w:t>
      </w:r>
    </w:p>
    <w:p w:rsidR="00F2296D" w:rsidRDefault="00F2296D" w:rsidP="00531284">
      <w:pPr>
        <w:pStyle w:val="Pa15"/>
        <w:spacing w:after="180"/>
        <w:jc w:val="both"/>
        <w:rPr>
          <w:rFonts w:ascii="Arial" w:hAnsi="Arial" w:cs="Arial"/>
          <w:sz w:val="20"/>
          <w:szCs w:val="20"/>
        </w:rPr>
      </w:pPr>
      <w:r>
        <w:rPr>
          <w:rFonts w:ascii="Arial" w:hAnsi="Arial" w:cs="Arial"/>
          <w:sz w:val="20"/>
          <w:szCs w:val="20"/>
        </w:rPr>
        <w:t>The distances apply when adequate safety can be achieved by distance alone. Because safety distances</w:t>
      </w:r>
      <w:r w:rsidR="0063773B">
        <w:rPr>
          <w:rFonts w:ascii="Arial" w:hAnsi="Arial" w:cs="Arial"/>
          <w:sz w:val="20"/>
          <w:szCs w:val="20"/>
        </w:rPr>
        <w:t xml:space="preserve"> </w:t>
      </w:r>
      <w:r>
        <w:rPr>
          <w:rFonts w:ascii="Arial" w:hAnsi="Arial" w:cs="Arial"/>
          <w:sz w:val="20"/>
          <w:szCs w:val="20"/>
        </w:rPr>
        <w:t>depend on size, there will be some people of extreme dimensions who wil</w:t>
      </w:r>
      <w:r w:rsidR="00322815">
        <w:rPr>
          <w:rFonts w:ascii="Arial" w:hAnsi="Arial" w:cs="Arial"/>
          <w:sz w:val="20"/>
          <w:szCs w:val="20"/>
        </w:rPr>
        <w:t xml:space="preserve">l be able to reach hazard zones </w:t>
      </w:r>
      <w:r>
        <w:rPr>
          <w:rFonts w:ascii="Arial" w:hAnsi="Arial" w:cs="Arial"/>
          <w:sz w:val="20"/>
          <w:szCs w:val="20"/>
        </w:rPr>
        <w:t>even when the requirements of this International Standard are complied with.</w:t>
      </w:r>
    </w:p>
    <w:p w:rsidR="00F2296D" w:rsidRPr="00531284" w:rsidRDefault="00F2296D" w:rsidP="00531284">
      <w:pPr>
        <w:pStyle w:val="Pa15"/>
        <w:spacing w:after="180"/>
        <w:jc w:val="both"/>
        <w:rPr>
          <w:rFonts w:ascii="Arial" w:hAnsi="Arial" w:cs="Arial"/>
          <w:sz w:val="20"/>
          <w:szCs w:val="20"/>
        </w:rPr>
      </w:pPr>
      <w:r w:rsidRPr="00531284">
        <w:rPr>
          <w:rFonts w:ascii="Arial" w:hAnsi="Arial" w:cs="Arial"/>
          <w:sz w:val="20"/>
          <w:szCs w:val="20"/>
        </w:rPr>
        <w:t>NOTE 2</w:t>
      </w:r>
      <w:r w:rsidR="0063773B">
        <w:rPr>
          <w:rFonts w:ascii="Arial" w:hAnsi="Arial" w:cs="Arial"/>
          <w:sz w:val="20"/>
          <w:szCs w:val="20"/>
        </w:rPr>
        <w:t>:</w:t>
      </w:r>
      <w:r w:rsidRPr="00531284">
        <w:rPr>
          <w:rFonts w:ascii="Arial" w:hAnsi="Arial" w:cs="Arial"/>
          <w:sz w:val="20"/>
          <w:szCs w:val="20"/>
        </w:rPr>
        <w:t xml:space="preserve"> These safety distances will not provide sufficient protection against certain </w:t>
      </w:r>
      <w:r w:rsidR="00322815" w:rsidRPr="00531284">
        <w:rPr>
          <w:rFonts w:ascii="Arial" w:hAnsi="Arial" w:cs="Arial"/>
          <w:sz w:val="20"/>
          <w:szCs w:val="20"/>
        </w:rPr>
        <w:t xml:space="preserve">hazards, for example, radiation </w:t>
      </w:r>
      <w:r w:rsidRPr="00531284">
        <w:rPr>
          <w:rFonts w:ascii="Arial" w:hAnsi="Arial" w:cs="Arial"/>
          <w:sz w:val="20"/>
          <w:szCs w:val="20"/>
        </w:rPr>
        <w:t>and emission of substances. For such hazards, additional or other measures need to be taken.</w:t>
      </w:r>
    </w:p>
    <w:p w:rsidR="00F2296D" w:rsidRDefault="00F2296D" w:rsidP="00531284">
      <w:pPr>
        <w:pStyle w:val="Pa15"/>
        <w:spacing w:after="180"/>
        <w:jc w:val="both"/>
        <w:rPr>
          <w:rFonts w:ascii="Arial" w:hAnsi="Arial" w:cs="Arial"/>
          <w:sz w:val="20"/>
          <w:szCs w:val="20"/>
        </w:rPr>
      </w:pPr>
      <w:r>
        <w:rPr>
          <w:rFonts w:ascii="Arial" w:hAnsi="Arial" w:cs="Arial"/>
          <w:sz w:val="20"/>
          <w:szCs w:val="20"/>
        </w:rPr>
        <w:t>The clauses of the International Standard covering lower limbs apply when a</w:t>
      </w:r>
      <w:r w:rsidR="00322815">
        <w:rPr>
          <w:rFonts w:ascii="Arial" w:hAnsi="Arial" w:cs="Arial"/>
          <w:sz w:val="20"/>
          <w:szCs w:val="20"/>
        </w:rPr>
        <w:t xml:space="preserve">ccess by the upper limbs is not </w:t>
      </w:r>
      <w:r>
        <w:rPr>
          <w:rFonts w:ascii="Arial" w:hAnsi="Arial" w:cs="Arial"/>
          <w:sz w:val="20"/>
          <w:szCs w:val="20"/>
        </w:rPr>
        <w:t>foreseeable according to the risk assessment.</w:t>
      </w:r>
    </w:p>
    <w:p w:rsidR="00F2296D" w:rsidRDefault="00F2296D" w:rsidP="00531284">
      <w:pPr>
        <w:pStyle w:val="Pa15"/>
        <w:spacing w:after="180"/>
        <w:jc w:val="both"/>
        <w:rPr>
          <w:rFonts w:ascii="Arial" w:hAnsi="Arial" w:cs="Arial"/>
          <w:sz w:val="20"/>
          <w:szCs w:val="20"/>
        </w:rPr>
      </w:pPr>
      <w:r>
        <w:rPr>
          <w:rFonts w:ascii="Arial" w:hAnsi="Arial" w:cs="Arial"/>
          <w:sz w:val="20"/>
          <w:szCs w:val="20"/>
        </w:rPr>
        <w:t>The safety distances are intended to protect those persons trying to reach hazard zones under the conditions</w:t>
      </w:r>
      <w:r w:rsidR="0063773B">
        <w:rPr>
          <w:rFonts w:ascii="Arial" w:hAnsi="Arial" w:cs="Arial"/>
          <w:sz w:val="20"/>
          <w:szCs w:val="20"/>
        </w:rPr>
        <w:t xml:space="preserve"> specified.</w:t>
      </w:r>
    </w:p>
    <w:p w:rsidR="00F2296D" w:rsidRPr="00531284" w:rsidRDefault="00F2296D" w:rsidP="00531284">
      <w:pPr>
        <w:pStyle w:val="Pa15"/>
        <w:spacing w:after="180"/>
        <w:jc w:val="both"/>
        <w:rPr>
          <w:rFonts w:ascii="Arial" w:hAnsi="Arial" w:cs="Arial"/>
          <w:sz w:val="20"/>
          <w:szCs w:val="20"/>
        </w:rPr>
      </w:pPr>
      <w:r w:rsidRPr="00531284">
        <w:rPr>
          <w:rFonts w:ascii="Arial" w:hAnsi="Arial" w:cs="Arial"/>
          <w:sz w:val="20"/>
          <w:szCs w:val="20"/>
        </w:rPr>
        <w:t>NOTE 3</w:t>
      </w:r>
      <w:r w:rsidR="0063773B">
        <w:rPr>
          <w:rFonts w:ascii="Arial" w:hAnsi="Arial" w:cs="Arial"/>
          <w:sz w:val="20"/>
          <w:szCs w:val="20"/>
        </w:rPr>
        <w:t>:</w:t>
      </w:r>
      <w:r w:rsidRPr="00531284">
        <w:rPr>
          <w:rFonts w:ascii="Arial" w:hAnsi="Arial" w:cs="Arial"/>
          <w:sz w:val="20"/>
          <w:szCs w:val="20"/>
        </w:rPr>
        <w:t xml:space="preserve"> This International Standard is not intended to provide measures against reaching a hazard zone by climbing</w:t>
      </w:r>
      <w:r w:rsidR="0063773B">
        <w:rPr>
          <w:rFonts w:ascii="Arial" w:hAnsi="Arial" w:cs="Arial"/>
          <w:sz w:val="20"/>
          <w:szCs w:val="20"/>
        </w:rPr>
        <w:t xml:space="preserve"> </w:t>
      </w:r>
      <w:r w:rsidRPr="00531284">
        <w:rPr>
          <w:rFonts w:ascii="Arial" w:hAnsi="Arial" w:cs="Arial"/>
          <w:sz w:val="20"/>
          <w:szCs w:val="20"/>
        </w:rPr>
        <w:t>over.</w:t>
      </w:r>
    </w:p>
    <w:p w:rsidR="008008FB" w:rsidRDefault="008008FB" w:rsidP="008008FB">
      <w:pPr>
        <w:pStyle w:val="ListParagraph"/>
        <w:autoSpaceDE w:val="0"/>
        <w:autoSpaceDN w:val="0"/>
        <w:adjustRightInd w:val="0"/>
        <w:ind w:left="360"/>
        <w:rPr>
          <w:rFonts w:ascii="Arial" w:hAnsi="Arial" w:cs="Arial"/>
          <w:b/>
          <w:bCs/>
          <w:sz w:val="20"/>
          <w:szCs w:val="20"/>
        </w:rPr>
      </w:pPr>
    </w:p>
    <w:p w:rsidR="008008FB" w:rsidRDefault="008008FB" w:rsidP="008008FB">
      <w:pPr>
        <w:pStyle w:val="ListParagraph"/>
        <w:autoSpaceDE w:val="0"/>
        <w:autoSpaceDN w:val="0"/>
        <w:adjustRightInd w:val="0"/>
        <w:ind w:left="360"/>
        <w:rPr>
          <w:rFonts w:ascii="Arial" w:hAnsi="Arial" w:cs="Arial"/>
          <w:b/>
          <w:bCs/>
          <w:sz w:val="20"/>
          <w:szCs w:val="20"/>
        </w:rPr>
      </w:pPr>
    </w:p>
    <w:p w:rsidR="00F2296D" w:rsidRDefault="00322815" w:rsidP="00322815">
      <w:pPr>
        <w:pStyle w:val="ListParagraph"/>
        <w:numPr>
          <w:ilvl w:val="0"/>
          <w:numId w:val="58"/>
        </w:numPr>
        <w:autoSpaceDE w:val="0"/>
        <w:autoSpaceDN w:val="0"/>
        <w:adjustRightInd w:val="0"/>
        <w:rPr>
          <w:rFonts w:ascii="Arial" w:hAnsi="Arial" w:cs="Arial"/>
          <w:b/>
          <w:bCs/>
          <w:sz w:val="20"/>
          <w:szCs w:val="20"/>
        </w:rPr>
      </w:pPr>
      <w:r>
        <w:rPr>
          <w:rFonts w:ascii="Arial" w:hAnsi="Arial" w:cs="Arial"/>
          <w:b/>
          <w:bCs/>
          <w:sz w:val="20"/>
          <w:szCs w:val="20"/>
        </w:rPr>
        <w:lastRenderedPageBreak/>
        <w:t xml:space="preserve">Number </w:t>
      </w:r>
      <w:r w:rsidR="008008FB">
        <w:rPr>
          <w:rFonts w:ascii="Arial" w:hAnsi="Arial" w:cs="Arial"/>
          <w:b/>
          <w:bCs/>
          <w:sz w:val="20"/>
          <w:szCs w:val="20"/>
        </w:rPr>
        <w:t xml:space="preserve">ISO </w:t>
      </w:r>
      <w:r>
        <w:rPr>
          <w:rFonts w:ascii="Arial" w:hAnsi="Arial" w:cs="Arial"/>
          <w:b/>
          <w:bCs/>
          <w:sz w:val="20"/>
          <w:szCs w:val="20"/>
        </w:rPr>
        <w:t>10418:2003</w:t>
      </w:r>
    </w:p>
    <w:p w:rsidR="00322815" w:rsidRDefault="00322815" w:rsidP="00322815">
      <w:pPr>
        <w:autoSpaceDE w:val="0"/>
        <w:autoSpaceDN w:val="0"/>
        <w:adjustRightInd w:val="0"/>
        <w:rPr>
          <w:rFonts w:ascii="Arial" w:hAnsi="Arial" w:cs="Arial"/>
          <w:b/>
          <w:bCs/>
          <w:sz w:val="20"/>
          <w:szCs w:val="20"/>
        </w:rPr>
      </w:pPr>
    </w:p>
    <w:p w:rsidR="00322815" w:rsidRDefault="00322815" w:rsidP="00322815">
      <w:pPr>
        <w:autoSpaceDE w:val="0"/>
        <w:autoSpaceDN w:val="0"/>
        <w:adjustRightInd w:val="0"/>
        <w:rPr>
          <w:rFonts w:ascii="Arial,Bold" w:hAnsi="Arial,Bold" w:cs="Arial,Bold"/>
          <w:b/>
          <w:bCs/>
          <w:sz w:val="20"/>
          <w:szCs w:val="20"/>
        </w:rPr>
      </w:pPr>
      <w:r>
        <w:rPr>
          <w:rFonts w:ascii="Arial" w:hAnsi="Arial" w:cs="Arial"/>
          <w:b/>
          <w:bCs/>
          <w:sz w:val="20"/>
          <w:szCs w:val="20"/>
        </w:rPr>
        <w:t>Title:</w:t>
      </w:r>
      <w:r w:rsidRPr="00322815">
        <w:rPr>
          <w:rFonts w:ascii="Arial,Bold" w:hAnsi="Arial,Bold" w:cs="Arial,Bold"/>
          <w:b/>
          <w:bCs/>
          <w:sz w:val="32"/>
          <w:szCs w:val="32"/>
        </w:rPr>
        <w:t xml:space="preserve"> </w:t>
      </w:r>
      <w:r w:rsidRPr="00322815">
        <w:rPr>
          <w:rFonts w:ascii="Arial,Bold" w:hAnsi="Arial,Bold" w:cs="Arial,Bold"/>
          <w:b/>
          <w:bCs/>
          <w:sz w:val="20"/>
          <w:szCs w:val="20"/>
        </w:rPr>
        <w:t>Petroleum and natural gas industries —Offshore production installations —Basic surface process safety systems</w:t>
      </w:r>
    </w:p>
    <w:p w:rsidR="00322815" w:rsidRDefault="00322815" w:rsidP="00322815">
      <w:pPr>
        <w:autoSpaceDE w:val="0"/>
        <w:autoSpaceDN w:val="0"/>
        <w:adjustRightInd w:val="0"/>
        <w:rPr>
          <w:rFonts w:ascii="Arial,Bold" w:hAnsi="Arial,Bold" w:cs="Arial,Bold"/>
          <w:b/>
          <w:bCs/>
          <w:sz w:val="20"/>
          <w:szCs w:val="20"/>
        </w:rPr>
      </w:pPr>
    </w:p>
    <w:p w:rsidR="00322815" w:rsidRPr="008008FB" w:rsidRDefault="00322815" w:rsidP="008008FB">
      <w:pPr>
        <w:autoSpaceDE w:val="0"/>
        <w:autoSpaceDN w:val="0"/>
        <w:adjustRightInd w:val="0"/>
        <w:rPr>
          <w:rFonts w:ascii="Arial,Bold" w:hAnsi="Arial,Bold" w:cs="Arial,Bold"/>
          <w:b/>
          <w:bCs/>
          <w:sz w:val="20"/>
          <w:szCs w:val="20"/>
        </w:rPr>
      </w:pPr>
      <w:r>
        <w:rPr>
          <w:rFonts w:ascii="Arial,Bold" w:hAnsi="Arial,Bold" w:cs="Arial,Bold"/>
          <w:b/>
          <w:bCs/>
          <w:sz w:val="20"/>
          <w:szCs w:val="20"/>
        </w:rPr>
        <w:t>Scope:</w:t>
      </w:r>
    </w:p>
    <w:p w:rsidR="00322815" w:rsidRPr="008008FB" w:rsidRDefault="00322815" w:rsidP="008008FB">
      <w:pPr>
        <w:pStyle w:val="Default"/>
        <w:spacing w:after="240"/>
        <w:jc w:val="both"/>
        <w:rPr>
          <w:color w:val="auto"/>
          <w:sz w:val="20"/>
          <w:szCs w:val="20"/>
        </w:rPr>
      </w:pPr>
      <w:r w:rsidRPr="008008FB">
        <w:rPr>
          <w:color w:val="auto"/>
          <w:sz w:val="20"/>
          <w:szCs w:val="20"/>
        </w:rPr>
        <w:t>This International Standard provides objectives, functional requirements and gu</w:t>
      </w:r>
      <w:r w:rsidRPr="008008FB">
        <w:rPr>
          <w:color w:val="auto"/>
          <w:sz w:val="20"/>
          <w:szCs w:val="20"/>
        </w:rPr>
        <w:t xml:space="preserve">idelines for techniques for the </w:t>
      </w:r>
      <w:r w:rsidRPr="008008FB">
        <w:rPr>
          <w:color w:val="auto"/>
          <w:sz w:val="20"/>
          <w:szCs w:val="20"/>
        </w:rPr>
        <w:t>analysis, design and testing of surface process safety systems for offshore installations for the recovery of</w:t>
      </w:r>
      <w:r w:rsidRPr="008008FB">
        <w:rPr>
          <w:color w:val="auto"/>
          <w:sz w:val="20"/>
          <w:szCs w:val="20"/>
        </w:rPr>
        <w:t xml:space="preserve"> </w:t>
      </w:r>
      <w:r w:rsidRPr="008008FB">
        <w:rPr>
          <w:color w:val="auto"/>
          <w:sz w:val="20"/>
          <w:szCs w:val="20"/>
        </w:rPr>
        <w:t>hydrocarbon resources. The basic concepts associated with the analysis and design of a process safety</w:t>
      </w:r>
      <w:r w:rsidRPr="008008FB">
        <w:rPr>
          <w:color w:val="auto"/>
          <w:sz w:val="20"/>
          <w:szCs w:val="20"/>
        </w:rPr>
        <w:t xml:space="preserve"> </w:t>
      </w:r>
      <w:r w:rsidRPr="008008FB">
        <w:rPr>
          <w:color w:val="auto"/>
          <w:sz w:val="20"/>
          <w:szCs w:val="20"/>
        </w:rPr>
        <w:t>system for an offshore oil and gas production facility are described, together with examples of the application</w:t>
      </w:r>
      <w:r w:rsidRPr="008008FB">
        <w:rPr>
          <w:color w:val="auto"/>
          <w:sz w:val="20"/>
          <w:szCs w:val="20"/>
        </w:rPr>
        <w:t xml:space="preserve"> </w:t>
      </w:r>
      <w:r w:rsidRPr="008008FB">
        <w:rPr>
          <w:color w:val="auto"/>
          <w:sz w:val="20"/>
          <w:szCs w:val="20"/>
        </w:rPr>
        <w:t>to typical (s</w:t>
      </w:r>
      <w:r w:rsidR="009F3E9F">
        <w:rPr>
          <w:color w:val="auto"/>
          <w:sz w:val="20"/>
          <w:szCs w:val="20"/>
        </w:rPr>
        <w:t>imple) process components.</w:t>
      </w:r>
    </w:p>
    <w:p w:rsidR="00322815" w:rsidRPr="008008FB" w:rsidRDefault="00322815" w:rsidP="008008FB">
      <w:pPr>
        <w:pStyle w:val="Default"/>
        <w:spacing w:after="240"/>
        <w:jc w:val="both"/>
        <w:rPr>
          <w:color w:val="auto"/>
          <w:sz w:val="20"/>
          <w:szCs w:val="20"/>
        </w:rPr>
      </w:pPr>
      <w:r w:rsidRPr="008008FB">
        <w:rPr>
          <w:color w:val="auto"/>
          <w:sz w:val="20"/>
          <w:szCs w:val="20"/>
        </w:rPr>
        <w:t xml:space="preserve">This International Standard is applicable </w:t>
      </w:r>
      <w:r w:rsidR="008008FB" w:rsidRPr="008008FB">
        <w:rPr>
          <w:color w:val="auto"/>
          <w:sz w:val="20"/>
          <w:szCs w:val="20"/>
        </w:rPr>
        <w:t>to fixed</w:t>
      </w:r>
      <w:r w:rsidRPr="008008FB">
        <w:rPr>
          <w:color w:val="auto"/>
          <w:sz w:val="20"/>
          <w:szCs w:val="20"/>
        </w:rPr>
        <w:t xml:space="preserve"> offshore structures;</w:t>
      </w:r>
      <w:r w:rsidRPr="008008FB">
        <w:rPr>
          <w:color w:val="auto"/>
          <w:sz w:val="20"/>
          <w:szCs w:val="20"/>
        </w:rPr>
        <w:t xml:space="preserve"> </w:t>
      </w:r>
      <w:r w:rsidRPr="008008FB">
        <w:rPr>
          <w:color w:val="auto"/>
          <w:sz w:val="20"/>
          <w:szCs w:val="20"/>
        </w:rPr>
        <w:t>floating production, storage and off-take systems;</w:t>
      </w:r>
      <w:r w:rsidRPr="008008FB">
        <w:rPr>
          <w:color w:val="auto"/>
          <w:sz w:val="20"/>
          <w:szCs w:val="20"/>
        </w:rPr>
        <w:t xml:space="preserve"> </w:t>
      </w:r>
      <w:r w:rsidRPr="008008FB">
        <w:rPr>
          <w:color w:val="auto"/>
          <w:sz w:val="20"/>
          <w:szCs w:val="20"/>
        </w:rPr>
        <w:t>for the petroleum and natural gas industries.</w:t>
      </w:r>
    </w:p>
    <w:p w:rsidR="0056413C" w:rsidRPr="008008FB" w:rsidRDefault="00322815" w:rsidP="008008FB">
      <w:pPr>
        <w:pStyle w:val="Default"/>
        <w:spacing w:after="240"/>
        <w:jc w:val="both"/>
        <w:rPr>
          <w:color w:val="auto"/>
          <w:sz w:val="20"/>
          <w:szCs w:val="20"/>
        </w:rPr>
      </w:pPr>
      <w:r w:rsidRPr="008008FB">
        <w:rPr>
          <w:color w:val="auto"/>
          <w:sz w:val="20"/>
          <w:szCs w:val="20"/>
        </w:rPr>
        <w:t>This International Standard is not applicable to mobile offshore units and subs</w:t>
      </w:r>
      <w:r w:rsidRPr="008008FB">
        <w:rPr>
          <w:color w:val="auto"/>
          <w:sz w:val="20"/>
          <w:szCs w:val="20"/>
        </w:rPr>
        <w:t xml:space="preserve">ea installations, although many </w:t>
      </w:r>
      <w:r w:rsidRPr="008008FB">
        <w:rPr>
          <w:color w:val="auto"/>
          <w:sz w:val="20"/>
          <w:szCs w:val="20"/>
        </w:rPr>
        <w:t>of the principles contained in it may be used as guidance.</w:t>
      </w:r>
    </w:p>
    <w:p w:rsidR="0056413C" w:rsidRPr="001E669D" w:rsidRDefault="0056413C" w:rsidP="0056413C">
      <w:pPr>
        <w:pStyle w:val="ListParagraph"/>
        <w:numPr>
          <w:ilvl w:val="0"/>
          <w:numId w:val="58"/>
        </w:numPr>
        <w:autoSpaceDE w:val="0"/>
        <w:autoSpaceDN w:val="0"/>
        <w:adjustRightInd w:val="0"/>
        <w:rPr>
          <w:rFonts w:ascii="Arial" w:hAnsi="Arial" w:cs="Arial"/>
          <w:b/>
          <w:sz w:val="20"/>
          <w:szCs w:val="20"/>
        </w:rPr>
      </w:pPr>
      <w:r w:rsidRPr="0056413C">
        <w:rPr>
          <w:rFonts w:ascii="Arial" w:hAnsi="Arial" w:cs="Arial"/>
          <w:b/>
          <w:sz w:val="20"/>
          <w:szCs w:val="20"/>
        </w:rPr>
        <w:t>Number ISO 13577-1:2016</w:t>
      </w:r>
      <w:bookmarkStart w:id="0" w:name="_GoBack"/>
      <w:bookmarkEnd w:id="0"/>
    </w:p>
    <w:p w:rsidR="0056413C" w:rsidRDefault="0056413C" w:rsidP="0056413C">
      <w:pPr>
        <w:autoSpaceDE w:val="0"/>
        <w:autoSpaceDN w:val="0"/>
        <w:adjustRightInd w:val="0"/>
        <w:spacing w:after="160" w:line="361" w:lineRule="atLeast"/>
        <w:rPr>
          <w:rFonts w:ascii="Arial" w:hAnsi="Arial" w:cs="Arial"/>
          <w:b/>
          <w:bCs/>
          <w:color w:val="000000"/>
          <w:sz w:val="20"/>
          <w:szCs w:val="20"/>
        </w:rPr>
      </w:pPr>
      <w:r w:rsidRPr="0056413C">
        <w:rPr>
          <w:rFonts w:ascii="Cambria" w:hAnsi="Cambria"/>
          <w:b/>
        </w:rPr>
        <w:t>Title:</w:t>
      </w:r>
      <w:r w:rsidRPr="0056413C">
        <w:rPr>
          <w:rFonts w:ascii="Cambria" w:hAnsi="Cambria"/>
          <w:b/>
        </w:rPr>
        <w:t xml:space="preserve"> </w:t>
      </w:r>
      <w:r w:rsidRPr="0056413C">
        <w:rPr>
          <w:rFonts w:ascii="Arial" w:hAnsi="Arial" w:cs="Arial"/>
          <w:b/>
          <w:bCs/>
          <w:color w:val="000000"/>
          <w:sz w:val="20"/>
          <w:szCs w:val="20"/>
        </w:rPr>
        <w:t>Industrial furnaces and associated processing equipment — Safety —</w:t>
      </w:r>
      <w:r w:rsidRPr="0056413C">
        <w:rPr>
          <w:rFonts w:ascii="Arial" w:hAnsi="Arial" w:cs="Arial"/>
          <w:color w:val="000000"/>
          <w:sz w:val="20"/>
          <w:szCs w:val="20"/>
        </w:rPr>
        <w:t>Part 1:</w:t>
      </w:r>
      <w:r>
        <w:rPr>
          <w:rFonts w:ascii="Arial" w:hAnsi="Arial" w:cs="Arial"/>
          <w:color w:val="000000"/>
          <w:sz w:val="20"/>
          <w:szCs w:val="20"/>
        </w:rPr>
        <w:t xml:space="preserve"> </w:t>
      </w:r>
      <w:r w:rsidRPr="0056413C">
        <w:rPr>
          <w:rFonts w:ascii="Arial" w:hAnsi="Arial" w:cs="Arial"/>
          <w:b/>
          <w:bCs/>
          <w:color w:val="000000"/>
          <w:sz w:val="20"/>
          <w:szCs w:val="20"/>
        </w:rPr>
        <w:t>General requirements</w:t>
      </w:r>
    </w:p>
    <w:p w:rsidR="008008FB" w:rsidRDefault="0056413C" w:rsidP="008008FB">
      <w:pPr>
        <w:autoSpaceDE w:val="0"/>
        <w:autoSpaceDN w:val="0"/>
        <w:adjustRightInd w:val="0"/>
        <w:spacing w:after="160" w:line="361" w:lineRule="atLeast"/>
        <w:rPr>
          <w:rFonts w:ascii="Arial" w:hAnsi="Arial" w:cs="Arial"/>
          <w:b/>
          <w:bCs/>
          <w:color w:val="000000"/>
          <w:sz w:val="20"/>
          <w:szCs w:val="20"/>
        </w:rPr>
      </w:pPr>
      <w:r>
        <w:rPr>
          <w:rFonts w:ascii="Arial" w:hAnsi="Arial" w:cs="Arial"/>
          <w:b/>
          <w:bCs/>
          <w:color w:val="000000"/>
          <w:sz w:val="20"/>
          <w:szCs w:val="20"/>
        </w:rPr>
        <w:t>Scope:</w:t>
      </w:r>
    </w:p>
    <w:p w:rsidR="0056413C" w:rsidRPr="008008FB" w:rsidRDefault="0056413C" w:rsidP="008008FB">
      <w:pPr>
        <w:autoSpaceDE w:val="0"/>
        <w:autoSpaceDN w:val="0"/>
        <w:adjustRightInd w:val="0"/>
        <w:spacing w:after="160" w:line="361" w:lineRule="atLeast"/>
        <w:rPr>
          <w:rFonts w:ascii="Arial" w:hAnsi="Arial" w:cs="Arial"/>
          <w:b/>
          <w:bCs/>
          <w:color w:val="000000"/>
          <w:sz w:val="20"/>
          <w:szCs w:val="20"/>
        </w:rPr>
      </w:pPr>
      <w:r w:rsidRPr="00531284">
        <w:rPr>
          <w:rFonts w:ascii="Arial" w:hAnsi="Arial" w:cs="Arial"/>
          <w:sz w:val="20"/>
          <w:szCs w:val="20"/>
        </w:rPr>
        <w:t>This document specifies the general safety requirements common to industrial furnaces and associated processing equipment (TPE).</w:t>
      </w:r>
    </w:p>
    <w:p w:rsidR="0056413C" w:rsidRPr="00531284" w:rsidRDefault="0056413C" w:rsidP="0056413C">
      <w:pPr>
        <w:pStyle w:val="Pa15"/>
        <w:spacing w:after="180"/>
        <w:jc w:val="both"/>
        <w:rPr>
          <w:rFonts w:ascii="Arial" w:hAnsi="Arial" w:cs="Arial"/>
          <w:sz w:val="20"/>
          <w:szCs w:val="20"/>
        </w:rPr>
      </w:pPr>
      <w:r w:rsidRPr="00531284">
        <w:rPr>
          <w:rFonts w:ascii="Arial" w:hAnsi="Arial" w:cs="Arial"/>
          <w:sz w:val="20"/>
          <w:szCs w:val="20"/>
        </w:rPr>
        <w:t xml:space="preserve">This document deals with the significant hazards, hazardous situations or hazardous events relevant to TPE, as listed in </w:t>
      </w:r>
      <w:r w:rsidRPr="00531284">
        <w:rPr>
          <w:rFonts w:ascii="Arial" w:hAnsi="Arial" w:cs="Arial"/>
          <w:sz w:val="20"/>
          <w:szCs w:val="20"/>
        </w:rPr>
        <w:t>Annex A</w:t>
      </w:r>
      <w:r w:rsidRPr="00531284">
        <w:rPr>
          <w:rFonts w:ascii="Arial" w:hAnsi="Arial" w:cs="Arial"/>
          <w:sz w:val="20"/>
          <w:szCs w:val="20"/>
        </w:rPr>
        <w:t>, when TPE is used as intended and also under conditions of misuse that are reasonably foreseeable by the manufacturer.</w:t>
      </w:r>
    </w:p>
    <w:p w:rsidR="0056413C" w:rsidRPr="00531284" w:rsidRDefault="0056413C" w:rsidP="0056413C">
      <w:pPr>
        <w:pStyle w:val="Pa15"/>
        <w:spacing w:after="180"/>
        <w:jc w:val="both"/>
        <w:rPr>
          <w:rFonts w:ascii="Arial" w:hAnsi="Arial" w:cs="Arial"/>
          <w:sz w:val="20"/>
          <w:szCs w:val="20"/>
        </w:rPr>
      </w:pPr>
      <w:r w:rsidRPr="00531284">
        <w:rPr>
          <w:rFonts w:ascii="Arial" w:hAnsi="Arial" w:cs="Arial"/>
          <w:sz w:val="20"/>
          <w:szCs w:val="20"/>
        </w:rPr>
        <w:t xml:space="preserve">Annex B </w:t>
      </w:r>
      <w:r w:rsidRPr="00531284">
        <w:rPr>
          <w:rFonts w:ascii="Arial" w:hAnsi="Arial" w:cs="Arial"/>
          <w:sz w:val="20"/>
          <w:szCs w:val="20"/>
        </w:rPr>
        <w:t>provides a list of common industrial furnaces and associated processing equipment.</w:t>
      </w:r>
    </w:p>
    <w:p w:rsidR="0056413C" w:rsidRPr="00531284" w:rsidRDefault="0056413C" w:rsidP="0056413C">
      <w:pPr>
        <w:pStyle w:val="Pa15"/>
        <w:spacing w:after="180"/>
        <w:jc w:val="both"/>
        <w:rPr>
          <w:rFonts w:ascii="Arial" w:hAnsi="Arial" w:cs="Arial"/>
          <w:sz w:val="20"/>
          <w:szCs w:val="20"/>
        </w:rPr>
      </w:pPr>
      <w:r w:rsidRPr="00531284">
        <w:rPr>
          <w:rFonts w:ascii="Arial" w:hAnsi="Arial" w:cs="Arial"/>
          <w:sz w:val="20"/>
          <w:szCs w:val="20"/>
        </w:rPr>
        <w:t>This document specifies the requirements intended to be met by the manufacturer to ensure the safety of persons and property during commissioning, start-up, operation, shut-down, maintenance periods and dismantling, as well as in the event of foreseeable faults or malfunctions that can occur in the equipment.</w:t>
      </w:r>
    </w:p>
    <w:p w:rsidR="0056413C" w:rsidRPr="00531284" w:rsidRDefault="0056413C" w:rsidP="0056413C">
      <w:pPr>
        <w:pStyle w:val="Pa15"/>
        <w:spacing w:after="180"/>
        <w:jc w:val="both"/>
        <w:rPr>
          <w:rFonts w:ascii="Arial" w:hAnsi="Arial" w:cs="Arial"/>
          <w:sz w:val="20"/>
          <w:szCs w:val="20"/>
        </w:rPr>
      </w:pPr>
      <w:r w:rsidRPr="00531284">
        <w:rPr>
          <w:rFonts w:ascii="Arial" w:hAnsi="Arial" w:cs="Arial"/>
          <w:sz w:val="20"/>
          <w:szCs w:val="20"/>
        </w:rPr>
        <w:t>These general safety requirements apply to all TPE, unless an exception is given in other parts of ISO 13577 dealing with specific equipment. The provisions of other parts of ISO 13577 that directly apply to specific types of TPE take precedence over the provisions of this document.</w:t>
      </w:r>
    </w:p>
    <w:p w:rsidR="0056413C" w:rsidRPr="00531284" w:rsidRDefault="0056413C" w:rsidP="00531284">
      <w:pPr>
        <w:pStyle w:val="Pa15"/>
        <w:spacing w:after="180"/>
        <w:jc w:val="both"/>
        <w:rPr>
          <w:rFonts w:ascii="Arial" w:hAnsi="Arial" w:cs="Arial"/>
          <w:sz w:val="20"/>
          <w:szCs w:val="20"/>
        </w:rPr>
      </w:pPr>
      <w:r w:rsidRPr="00531284">
        <w:rPr>
          <w:rFonts w:ascii="Arial" w:hAnsi="Arial" w:cs="Arial"/>
          <w:sz w:val="20"/>
          <w:szCs w:val="20"/>
        </w:rPr>
        <w:t>This document is not applicable to blast furnaces, converters (in steel plants), boilers or equipment not covered under ISO 12100.</w:t>
      </w:r>
    </w:p>
    <w:p w:rsidR="0056413C" w:rsidRDefault="0056413C" w:rsidP="0056413C">
      <w:pPr>
        <w:pStyle w:val="ListParagraph"/>
        <w:numPr>
          <w:ilvl w:val="0"/>
          <w:numId w:val="58"/>
        </w:numPr>
        <w:autoSpaceDE w:val="0"/>
        <w:autoSpaceDN w:val="0"/>
        <w:adjustRightInd w:val="0"/>
        <w:spacing w:after="160" w:line="361" w:lineRule="atLeast"/>
        <w:rPr>
          <w:rFonts w:ascii="Arial" w:hAnsi="Arial" w:cs="Arial"/>
          <w:b/>
          <w:color w:val="000000"/>
          <w:sz w:val="20"/>
          <w:szCs w:val="20"/>
        </w:rPr>
      </w:pPr>
      <w:r w:rsidRPr="0056413C">
        <w:rPr>
          <w:rFonts w:ascii="Arial" w:hAnsi="Arial" w:cs="Arial"/>
          <w:b/>
          <w:color w:val="000000"/>
          <w:sz w:val="20"/>
          <w:szCs w:val="20"/>
        </w:rPr>
        <w:t>ISO 13577-2:2016</w:t>
      </w:r>
    </w:p>
    <w:p w:rsidR="0056413C" w:rsidRPr="00874DBC" w:rsidRDefault="0056413C" w:rsidP="00874DBC">
      <w:pPr>
        <w:autoSpaceDE w:val="0"/>
        <w:autoSpaceDN w:val="0"/>
        <w:adjustRightInd w:val="0"/>
        <w:rPr>
          <w:rFonts w:ascii="Arial" w:hAnsi="Arial" w:cs="Arial"/>
          <w:b/>
          <w:bCs/>
          <w:sz w:val="20"/>
          <w:szCs w:val="20"/>
        </w:rPr>
      </w:pPr>
      <w:r>
        <w:rPr>
          <w:rFonts w:ascii="Arial" w:hAnsi="Arial" w:cs="Arial"/>
          <w:b/>
          <w:color w:val="000000"/>
          <w:sz w:val="20"/>
          <w:szCs w:val="20"/>
        </w:rPr>
        <w:t>Title:</w:t>
      </w:r>
      <w:r w:rsidR="00874DBC" w:rsidRPr="00874DBC">
        <w:rPr>
          <w:rFonts w:ascii="Cambria-Bold" w:hAnsi="Cambria-Bold" w:cs="Cambria-Bold"/>
          <w:b/>
          <w:bCs/>
          <w:sz w:val="36"/>
          <w:szCs w:val="36"/>
        </w:rPr>
        <w:t xml:space="preserve"> </w:t>
      </w:r>
      <w:r w:rsidR="00874DBC" w:rsidRPr="00874DBC">
        <w:rPr>
          <w:rFonts w:ascii="Arial" w:hAnsi="Arial" w:cs="Arial"/>
          <w:b/>
          <w:bCs/>
          <w:sz w:val="20"/>
          <w:szCs w:val="20"/>
        </w:rPr>
        <w:t>Ind</w:t>
      </w:r>
      <w:r w:rsidR="00874DBC">
        <w:rPr>
          <w:rFonts w:ascii="Arial" w:hAnsi="Arial" w:cs="Arial"/>
          <w:b/>
          <w:bCs/>
          <w:sz w:val="20"/>
          <w:szCs w:val="20"/>
        </w:rPr>
        <w:t xml:space="preserve">ustrial furnaces and associated </w:t>
      </w:r>
      <w:r w:rsidR="00874DBC" w:rsidRPr="00874DBC">
        <w:rPr>
          <w:rFonts w:ascii="Arial" w:hAnsi="Arial" w:cs="Arial"/>
          <w:b/>
          <w:bCs/>
          <w:sz w:val="20"/>
          <w:szCs w:val="20"/>
        </w:rPr>
        <w:t>processing equipment — Safety —</w:t>
      </w:r>
      <w:r w:rsidR="00874DBC">
        <w:rPr>
          <w:rFonts w:ascii="Arial" w:hAnsi="Arial" w:cs="Arial"/>
          <w:sz w:val="20"/>
          <w:szCs w:val="20"/>
        </w:rPr>
        <w:t xml:space="preserve">Part </w:t>
      </w:r>
      <w:r w:rsidR="00874DBC" w:rsidRPr="00874DBC">
        <w:rPr>
          <w:rFonts w:ascii="Arial" w:hAnsi="Arial" w:cs="Arial"/>
          <w:sz w:val="20"/>
          <w:szCs w:val="20"/>
        </w:rPr>
        <w:t>2:</w:t>
      </w:r>
      <w:r w:rsidR="00874DBC">
        <w:rPr>
          <w:rFonts w:ascii="Arial" w:hAnsi="Arial" w:cs="Arial"/>
          <w:sz w:val="20"/>
          <w:szCs w:val="20"/>
        </w:rPr>
        <w:t xml:space="preserve"> </w:t>
      </w:r>
      <w:r w:rsidR="00874DBC" w:rsidRPr="00874DBC">
        <w:rPr>
          <w:rFonts w:ascii="Arial" w:hAnsi="Arial" w:cs="Arial"/>
          <w:b/>
          <w:bCs/>
          <w:sz w:val="20"/>
          <w:szCs w:val="20"/>
        </w:rPr>
        <w:t>Combustion and fuel handling systems</w:t>
      </w:r>
    </w:p>
    <w:p w:rsidR="00F2296D" w:rsidRPr="0056413C" w:rsidRDefault="00F2296D" w:rsidP="00F2296D">
      <w:pPr>
        <w:autoSpaceDE w:val="0"/>
        <w:autoSpaceDN w:val="0"/>
        <w:adjustRightInd w:val="0"/>
        <w:rPr>
          <w:rFonts w:ascii="Arial" w:hAnsi="Arial" w:cs="Arial"/>
          <w:b/>
          <w:bCs/>
          <w:sz w:val="20"/>
          <w:szCs w:val="20"/>
        </w:rPr>
      </w:pPr>
    </w:p>
    <w:p w:rsidR="00874DBC" w:rsidRPr="00874DBC" w:rsidRDefault="00874DBC" w:rsidP="008D4C84">
      <w:pPr>
        <w:autoSpaceDE w:val="0"/>
        <w:autoSpaceDN w:val="0"/>
        <w:adjustRightInd w:val="0"/>
        <w:jc w:val="both"/>
        <w:rPr>
          <w:rFonts w:ascii="Arial" w:hAnsi="Arial" w:cs="Arial"/>
          <w:b/>
          <w:sz w:val="20"/>
          <w:szCs w:val="20"/>
        </w:rPr>
      </w:pPr>
      <w:r w:rsidRPr="00874DBC">
        <w:rPr>
          <w:rFonts w:ascii="Arial" w:hAnsi="Arial" w:cs="Arial"/>
          <w:b/>
          <w:sz w:val="20"/>
          <w:szCs w:val="20"/>
        </w:rPr>
        <w:t>Scope:</w:t>
      </w:r>
    </w:p>
    <w:p w:rsidR="00874DBC" w:rsidRDefault="00874DBC" w:rsidP="00874DBC">
      <w:pPr>
        <w:autoSpaceDE w:val="0"/>
        <w:autoSpaceDN w:val="0"/>
        <w:adjustRightInd w:val="0"/>
        <w:rPr>
          <w:rFonts w:ascii="Cambria" w:hAnsi="Cambria" w:cs="Cambria"/>
          <w:color w:val="000000"/>
          <w:sz w:val="22"/>
          <w:szCs w:val="22"/>
        </w:rPr>
      </w:pP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This part of ISO 13577 specifies the safety requirements for combustion and fuel handling systems that</w:t>
      </w:r>
      <w:r w:rsidR="008008FB">
        <w:rPr>
          <w:rFonts w:ascii="Arial" w:hAnsi="Arial" w:cs="Arial"/>
          <w:sz w:val="20"/>
          <w:szCs w:val="20"/>
        </w:rPr>
        <w:t xml:space="preserve"> </w:t>
      </w:r>
      <w:r w:rsidRPr="00531284">
        <w:rPr>
          <w:rFonts w:ascii="Arial" w:hAnsi="Arial" w:cs="Arial"/>
          <w:sz w:val="20"/>
          <w:szCs w:val="20"/>
        </w:rPr>
        <w:t>are part of industrial furnaces and associated processing equipment (TPE).</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This part of ISO 13577 deals with significant hazards, hazardous si</w:t>
      </w:r>
      <w:r w:rsidRPr="00531284">
        <w:rPr>
          <w:rFonts w:ascii="Arial" w:hAnsi="Arial" w:cs="Arial"/>
          <w:sz w:val="20"/>
          <w:szCs w:val="20"/>
        </w:rPr>
        <w:t xml:space="preserve">tuations and events relevant to </w:t>
      </w:r>
      <w:r w:rsidRPr="00531284">
        <w:rPr>
          <w:rFonts w:ascii="Arial" w:hAnsi="Arial" w:cs="Arial"/>
          <w:sz w:val="20"/>
          <w:szCs w:val="20"/>
        </w:rPr>
        <w:t>combustion and fuel handling systems as listed in Annex A, when used as intended and under the</w:t>
      </w:r>
      <w:r w:rsidRPr="00531284">
        <w:rPr>
          <w:rFonts w:ascii="Arial" w:hAnsi="Arial" w:cs="Arial"/>
          <w:sz w:val="20"/>
          <w:szCs w:val="20"/>
        </w:rPr>
        <w:t xml:space="preserve"> </w:t>
      </w:r>
      <w:r w:rsidRPr="00531284">
        <w:rPr>
          <w:rFonts w:ascii="Arial" w:hAnsi="Arial" w:cs="Arial"/>
          <w:sz w:val="20"/>
          <w:szCs w:val="20"/>
        </w:rPr>
        <w:t>conditions foreseen by the manufacturer.</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lastRenderedPageBreak/>
        <w:t>This part of ISO 13577 covers:</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fuel pipework downstream of and including the manual isolating valve;</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combustion air supply (including oxygen and oxygen enriched combustion air) and flue gas system;</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burner(s), burner system and ignition device;</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functional requirements for safety related control system.</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This part of ISO 13577 applies to any oxidation with air or other gases co</w:t>
      </w:r>
      <w:r w:rsidRPr="00531284">
        <w:rPr>
          <w:rFonts w:ascii="Arial" w:hAnsi="Arial" w:cs="Arial"/>
          <w:sz w:val="20"/>
          <w:szCs w:val="20"/>
        </w:rPr>
        <w:t xml:space="preserve">ntaining free oxygen of gaseous </w:t>
      </w:r>
      <w:r w:rsidRPr="00531284">
        <w:rPr>
          <w:rFonts w:ascii="Arial" w:hAnsi="Arial" w:cs="Arial"/>
          <w:sz w:val="20"/>
          <w:szCs w:val="20"/>
        </w:rPr>
        <w:t>and liquid fuels or any combustion of them to release thermal energy in TPE.</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For thermal or catalytic post combustion and waste incineration, this pa</w:t>
      </w:r>
      <w:r w:rsidRPr="00531284">
        <w:rPr>
          <w:rFonts w:ascii="Arial" w:hAnsi="Arial" w:cs="Arial"/>
          <w:sz w:val="20"/>
          <w:szCs w:val="20"/>
        </w:rPr>
        <w:t xml:space="preserve">rt of ISO 13577 applies only to </w:t>
      </w:r>
      <w:r w:rsidRPr="00531284">
        <w:rPr>
          <w:rFonts w:ascii="Arial" w:hAnsi="Arial" w:cs="Arial"/>
          <w:sz w:val="20"/>
          <w:szCs w:val="20"/>
        </w:rPr>
        <w:t>auxiliary burners designed to start-up and/or support the process.</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xml:space="preserve">The pressure hazard of the piping and components covered by this </w:t>
      </w:r>
      <w:r w:rsidRPr="00531284">
        <w:rPr>
          <w:rFonts w:ascii="Arial" w:hAnsi="Arial" w:cs="Arial"/>
          <w:sz w:val="20"/>
          <w:szCs w:val="20"/>
        </w:rPr>
        <w:t xml:space="preserve">part of ISO 13577 is within the </w:t>
      </w:r>
      <w:r w:rsidRPr="00531284">
        <w:rPr>
          <w:rFonts w:ascii="Arial" w:hAnsi="Arial" w:cs="Arial"/>
          <w:sz w:val="20"/>
          <w:szCs w:val="20"/>
        </w:rPr>
        <w:t>maximum pressure/size relationship of category I</w:t>
      </w:r>
      <w:r w:rsidR="008008FB">
        <w:rPr>
          <w:rFonts w:ascii="Arial" w:hAnsi="Arial" w:cs="Arial"/>
          <w:sz w:val="20"/>
          <w:szCs w:val="20"/>
        </w:rPr>
        <w:t>.</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This part of ISO 13577 also gives the necessary requirements regarding information for use.</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This part of ISO 13577 does not cover hazards from heating generated by electricity.</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xml:space="preserve">This part of ISO 13577 does not deal with the hazards created by the </w:t>
      </w:r>
      <w:r w:rsidRPr="00531284">
        <w:rPr>
          <w:rFonts w:ascii="Arial" w:hAnsi="Arial" w:cs="Arial"/>
          <w:sz w:val="20"/>
          <w:szCs w:val="20"/>
        </w:rPr>
        <w:t xml:space="preserve">release of flammable substances </w:t>
      </w:r>
      <w:r w:rsidRPr="00531284">
        <w:rPr>
          <w:rFonts w:ascii="Arial" w:hAnsi="Arial" w:cs="Arial"/>
          <w:sz w:val="20"/>
          <w:szCs w:val="20"/>
        </w:rPr>
        <w:t>from the products processed in the TPE.</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This part of ISO 13577 is not applicable to combustion and fuel handling systems:</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of welding machines;</w:t>
      </w:r>
    </w:p>
    <w:p w:rsidR="00874DBC" w:rsidRPr="00531284" w:rsidRDefault="00874DBC" w:rsidP="00531284">
      <w:pPr>
        <w:pStyle w:val="Pa15"/>
        <w:spacing w:after="180"/>
        <w:jc w:val="both"/>
        <w:rPr>
          <w:rFonts w:ascii="Arial" w:hAnsi="Arial" w:cs="Arial"/>
          <w:sz w:val="20"/>
          <w:szCs w:val="20"/>
        </w:rPr>
      </w:pPr>
      <w:r w:rsidRPr="00531284">
        <w:rPr>
          <w:rFonts w:ascii="Arial" w:hAnsi="Arial" w:cs="Arial"/>
          <w:sz w:val="20"/>
          <w:szCs w:val="20"/>
        </w:rPr>
        <w:t>— up-stream of the TPE manual isolating valve.</w:t>
      </w:r>
    </w:p>
    <w:p w:rsidR="00874DBC" w:rsidRDefault="00874DBC" w:rsidP="00531284">
      <w:pPr>
        <w:pStyle w:val="Pa15"/>
        <w:spacing w:after="180"/>
        <w:jc w:val="both"/>
        <w:rPr>
          <w:rFonts w:ascii="Arial" w:hAnsi="Arial" w:cs="Arial"/>
          <w:sz w:val="20"/>
          <w:szCs w:val="20"/>
        </w:rPr>
      </w:pPr>
      <w:r w:rsidRPr="00531284">
        <w:rPr>
          <w:rFonts w:ascii="Arial" w:hAnsi="Arial" w:cs="Arial"/>
          <w:sz w:val="20"/>
          <w:szCs w:val="20"/>
        </w:rPr>
        <w:t>This part of ISO 13577 is not applicable to electrical cabling and po</w:t>
      </w:r>
      <w:r w:rsidRPr="00531284">
        <w:rPr>
          <w:rFonts w:ascii="Arial" w:hAnsi="Arial" w:cs="Arial"/>
          <w:sz w:val="20"/>
          <w:szCs w:val="20"/>
        </w:rPr>
        <w:t xml:space="preserve">wer cabling upstream of the TPE </w:t>
      </w:r>
      <w:r w:rsidRPr="00531284">
        <w:rPr>
          <w:rFonts w:ascii="Arial" w:hAnsi="Arial" w:cs="Arial"/>
          <w:sz w:val="20"/>
          <w:szCs w:val="20"/>
        </w:rPr>
        <w:t>control panel/protective system</w:t>
      </w:r>
      <w:r w:rsidRPr="00531284">
        <w:rPr>
          <w:rFonts w:ascii="Arial" w:hAnsi="Arial" w:cs="Arial"/>
          <w:sz w:val="20"/>
          <w:szCs w:val="20"/>
        </w:rPr>
        <w:t>.</w:t>
      </w:r>
    </w:p>
    <w:p w:rsidR="00874DBC" w:rsidRDefault="00874DBC"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Pr="0079049C" w:rsidRDefault="001B427A"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Adoption acceptable as presented</w:t>
      </w:r>
    </w:p>
    <w:p w:rsidR="009133D6"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 ……………………………………………………………………………………………………..</w:t>
      </w:r>
    </w:p>
    <w:p w:rsidR="00DE7850"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DE7850"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p>
    <w:p w:rsidR="005D5DFD"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p>
    <w:p w:rsidR="001B427A" w:rsidRPr="0079049C" w:rsidRDefault="005D5DFD"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r w:rsidR="001B427A" w:rsidRPr="0079049C">
        <w:rPr>
          <w:rFonts w:ascii="Arial" w:hAnsi="Arial" w:cs="Arial"/>
          <w:sz w:val="20"/>
          <w:szCs w:val="20"/>
        </w:rPr>
        <w:t>Adoption proposal not acceptable because of the reason(s) below</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5D5DFD" w:rsidP="008D4C84">
      <w:pPr>
        <w:autoSpaceDE w:val="0"/>
        <w:autoSpaceDN w:val="0"/>
        <w:adjustRightInd w:val="0"/>
        <w:ind w:firstLine="720"/>
        <w:jc w:val="both"/>
        <w:rPr>
          <w:rFonts w:ascii="Arial" w:hAnsi="Arial" w:cs="Arial"/>
          <w:sz w:val="20"/>
          <w:szCs w:val="20"/>
        </w:rPr>
      </w:pPr>
      <w:r w:rsidRPr="0079049C">
        <w:rPr>
          <w:rFonts w:ascii="Arial" w:hAnsi="Arial" w:cs="Arial"/>
          <w:sz w:val="20"/>
          <w:szCs w:val="20"/>
        </w:rPr>
        <w:t>...............................................................................................................................</w:t>
      </w:r>
    </w:p>
    <w:p w:rsidR="005D5DFD"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r w:rsidRPr="0079049C">
        <w:rPr>
          <w:rFonts w:ascii="Arial" w:hAnsi="Arial" w:cs="Arial"/>
          <w:sz w:val="20"/>
          <w:szCs w:val="20"/>
        </w:rPr>
        <w:tab/>
      </w:r>
    </w:p>
    <w:p w:rsidR="00DE7850" w:rsidRPr="0079049C" w:rsidRDefault="005D5DFD"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1B427A"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r w:rsidR="001B427A" w:rsidRPr="0079049C">
        <w:rPr>
          <w:rFonts w:ascii="Arial" w:hAnsi="Arial" w:cs="Arial"/>
          <w:sz w:val="20"/>
          <w:szCs w:val="20"/>
        </w:rPr>
        <w:t>Our Recommendations are as follows</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5D5DFD" w:rsidP="008D4C84">
      <w:pPr>
        <w:autoSpaceDE w:val="0"/>
        <w:autoSpaceDN w:val="0"/>
        <w:adjustRightInd w:val="0"/>
        <w:ind w:firstLine="720"/>
        <w:jc w:val="both"/>
        <w:rPr>
          <w:rFonts w:ascii="Arial" w:hAnsi="Arial" w:cs="Arial"/>
          <w:sz w:val="20"/>
          <w:szCs w:val="20"/>
        </w:rPr>
      </w:pPr>
      <w:r w:rsidRPr="0079049C">
        <w:rPr>
          <w:rFonts w:ascii="Arial" w:hAnsi="Arial" w:cs="Arial"/>
          <w:sz w:val="20"/>
          <w:szCs w:val="20"/>
        </w:rPr>
        <w:t>...............................................................................................................................</w:t>
      </w:r>
    </w:p>
    <w:p w:rsidR="005D5DFD" w:rsidRPr="0079049C" w:rsidRDefault="005D5DFD" w:rsidP="008D4C84">
      <w:pPr>
        <w:autoSpaceDE w:val="0"/>
        <w:autoSpaceDN w:val="0"/>
        <w:adjustRightInd w:val="0"/>
        <w:jc w:val="both"/>
        <w:rPr>
          <w:rFonts w:ascii="Arial" w:hAnsi="Arial" w:cs="Arial"/>
          <w:sz w:val="20"/>
          <w:szCs w:val="20"/>
        </w:rPr>
      </w:pPr>
    </w:p>
    <w:p w:rsidR="00B958AB"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Name and Signature (of respondent)</w:t>
      </w:r>
      <w:r w:rsidR="00B958AB" w:rsidRPr="0079049C">
        <w:rPr>
          <w:rFonts w:ascii="Arial" w:hAnsi="Arial" w:cs="Arial"/>
          <w:sz w:val="20"/>
          <w:szCs w:val="20"/>
        </w:rPr>
        <w:t xml:space="preserve">: </w:t>
      </w:r>
      <w:r w:rsidR="00750207" w:rsidRPr="0079049C">
        <w:rPr>
          <w:rFonts w:ascii="Arial" w:hAnsi="Arial" w:cs="Arial"/>
          <w:sz w:val="20"/>
          <w:szCs w:val="20"/>
        </w:rPr>
        <w:t xml:space="preserve">             </w:t>
      </w:r>
    </w:p>
    <w:p w:rsidR="00B958AB" w:rsidRPr="0079049C" w:rsidRDefault="00B958AB"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Position </w:t>
      </w:r>
      <w:r w:rsidR="00B958AB" w:rsidRPr="0079049C">
        <w:rPr>
          <w:rFonts w:ascii="Arial" w:hAnsi="Arial" w:cs="Arial"/>
          <w:sz w:val="20"/>
          <w:szCs w:val="20"/>
        </w:rPr>
        <w:t xml:space="preserve">(of respondent): </w:t>
      </w:r>
      <w:r w:rsidR="00A91B44" w:rsidRPr="0079049C">
        <w:rPr>
          <w:rFonts w:ascii="Arial" w:hAnsi="Arial" w:cs="Arial"/>
          <w:sz w:val="20"/>
          <w:szCs w:val="20"/>
        </w:rPr>
        <w:t>…………</w:t>
      </w:r>
      <w:r w:rsidR="009F3E9F">
        <w:rPr>
          <w:rFonts w:ascii="Arial" w:hAnsi="Arial" w:cs="Arial"/>
          <w:sz w:val="20"/>
          <w:szCs w:val="20"/>
        </w:rPr>
        <w:t>…………………………………………………………..</w:t>
      </w:r>
      <w:r w:rsidR="00A91B44" w:rsidRPr="0079049C">
        <w:rPr>
          <w:rFonts w:ascii="Arial" w:hAnsi="Arial" w:cs="Arial"/>
          <w:sz w:val="20"/>
          <w:szCs w:val="20"/>
        </w:rPr>
        <w:t>…</w:t>
      </w:r>
    </w:p>
    <w:p w:rsidR="00A91B44" w:rsidRPr="0079049C" w:rsidRDefault="00A91B44"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On behalf </w:t>
      </w:r>
      <w:r w:rsidR="009F3E9F" w:rsidRPr="0079049C">
        <w:rPr>
          <w:rFonts w:ascii="Arial" w:hAnsi="Arial" w:cs="Arial"/>
          <w:sz w:val="20"/>
          <w:szCs w:val="20"/>
        </w:rPr>
        <w:t>of:</w:t>
      </w:r>
      <w:r w:rsidR="00A91B44" w:rsidRPr="0079049C">
        <w:rPr>
          <w:rFonts w:ascii="Arial" w:hAnsi="Arial" w:cs="Arial"/>
          <w:sz w:val="20"/>
          <w:szCs w:val="20"/>
        </w:rPr>
        <w:t>…</w:t>
      </w:r>
      <w:r w:rsidR="009F3E9F">
        <w:rPr>
          <w:rFonts w:ascii="Arial" w:hAnsi="Arial" w:cs="Arial"/>
          <w:sz w:val="20"/>
          <w:szCs w:val="20"/>
        </w:rPr>
        <w:t>……………………………………………….</w:t>
      </w:r>
      <w:r w:rsidR="00A91B44" w:rsidRPr="0079049C">
        <w:rPr>
          <w:rFonts w:ascii="Arial" w:hAnsi="Arial" w:cs="Arial"/>
          <w:sz w:val="20"/>
          <w:szCs w:val="20"/>
        </w:rPr>
        <w:t>.</w:t>
      </w:r>
      <w:r w:rsidRPr="0079049C">
        <w:rPr>
          <w:rFonts w:ascii="Arial" w:hAnsi="Arial" w:cs="Arial"/>
          <w:sz w:val="20"/>
          <w:szCs w:val="20"/>
        </w:rPr>
        <w:t>(Name of organization)</w:t>
      </w:r>
    </w:p>
    <w:p w:rsidR="001B427A" w:rsidRPr="0079049C" w:rsidRDefault="001B427A" w:rsidP="008D4C84">
      <w:pPr>
        <w:autoSpaceDE w:val="0"/>
        <w:autoSpaceDN w:val="0"/>
        <w:adjustRightInd w:val="0"/>
        <w:jc w:val="both"/>
        <w:rPr>
          <w:rFonts w:ascii="Arial" w:hAnsi="Arial" w:cs="Arial"/>
          <w:sz w:val="20"/>
          <w:szCs w:val="20"/>
        </w:rPr>
      </w:pPr>
    </w:p>
    <w:p w:rsidR="001B427A" w:rsidRPr="0079049C" w:rsidRDefault="00DE33C9" w:rsidP="008D4C84">
      <w:pPr>
        <w:autoSpaceDE w:val="0"/>
        <w:autoSpaceDN w:val="0"/>
        <w:adjustRightInd w:val="0"/>
        <w:jc w:val="both"/>
        <w:rPr>
          <w:rFonts w:ascii="Arial" w:hAnsi="Arial" w:cs="Arial"/>
          <w:sz w:val="20"/>
          <w:szCs w:val="20"/>
        </w:rPr>
      </w:pPr>
      <w:r w:rsidRPr="0079049C">
        <w:rPr>
          <w:rFonts w:ascii="Arial" w:hAnsi="Arial" w:cs="Arial"/>
          <w:sz w:val="20"/>
          <w:szCs w:val="20"/>
        </w:rPr>
        <w:lastRenderedPageBreak/>
        <w:t>Date</w:t>
      </w:r>
      <w:r w:rsidR="00A91B44" w:rsidRPr="0079049C">
        <w:rPr>
          <w:rFonts w:ascii="Arial" w:hAnsi="Arial" w:cs="Arial"/>
          <w:sz w:val="20"/>
          <w:szCs w:val="20"/>
        </w:rPr>
        <w:t>………………………</w:t>
      </w:r>
      <w:r w:rsidR="009F3E9F">
        <w:rPr>
          <w:rFonts w:ascii="Arial" w:hAnsi="Arial" w:cs="Arial"/>
          <w:sz w:val="20"/>
          <w:szCs w:val="20"/>
        </w:rPr>
        <w:t>…………………………………….</w:t>
      </w:r>
      <w:r w:rsidR="00A91B44" w:rsidRPr="0079049C">
        <w:rPr>
          <w:rFonts w:ascii="Arial" w:hAnsi="Arial" w:cs="Arial"/>
          <w:sz w:val="20"/>
          <w:szCs w:val="20"/>
        </w:rPr>
        <w:t>.</w:t>
      </w:r>
      <w:r w:rsidR="00E07B13" w:rsidRPr="0079049C">
        <w:rPr>
          <w:rFonts w:ascii="Arial" w:hAnsi="Arial" w:cs="Arial"/>
          <w:sz w:val="20"/>
          <w:szCs w:val="20"/>
        </w:rPr>
        <w:t xml:space="preserve"> </w:t>
      </w:r>
    </w:p>
    <w:p w:rsidR="001B427A" w:rsidRPr="0079049C" w:rsidRDefault="001B427A" w:rsidP="008D4C84">
      <w:pPr>
        <w:autoSpaceDE w:val="0"/>
        <w:autoSpaceDN w:val="0"/>
        <w:adjustRightInd w:val="0"/>
        <w:jc w:val="both"/>
        <w:rPr>
          <w:rFonts w:ascii="Arial" w:hAnsi="Arial" w:cs="Arial"/>
          <w:b/>
          <w:bCs/>
          <w:sz w:val="20"/>
          <w:szCs w:val="20"/>
        </w:rPr>
      </w:pPr>
    </w:p>
    <w:p w:rsidR="009618F7" w:rsidRPr="0079049C" w:rsidRDefault="009618F7" w:rsidP="008D4C84">
      <w:pPr>
        <w:autoSpaceDE w:val="0"/>
        <w:autoSpaceDN w:val="0"/>
        <w:adjustRightInd w:val="0"/>
        <w:jc w:val="both"/>
        <w:rPr>
          <w:rFonts w:ascii="Arial" w:hAnsi="Arial" w:cs="Arial"/>
          <w:b/>
          <w:bCs/>
          <w:sz w:val="20"/>
          <w:szCs w:val="20"/>
        </w:rPr>
      </w:pPr>
    </w:p>
    <w:p w:rsidR="001B427A" w:rsidRPr="0079049C" w:rsidRDefault="009618F7" w:rsidP="008D4C84">
      <w:pPr>
        <w:autoSpaceDE w:val="0"/>
        <w:autoSpaceDN w:val="0"/>
        <w:adjustRightInd w:val="0"/>
        <w:jc w:val="both"/>
        <w:rPr>
          <w:rFonts w:ascii="Arial" w:hAnsi="Arial" w:cs="Arial"/>
          <w:sz w:val="20"/>
          <w:szCs w:val="20"/>
        </w:rPr>
      </w:pPr>
      <w:r w:rsidRPr="0079049C">
        <w:rPr>
          <w:rFonts w:ascii="Arial" w:hAnsi="Arial" w:cs="Arial"/>
          <w:b/>
          <w:bCs/>
          <w:sz w:val="20"/>
          <w:szCs w:val="20"/>
        </w:rPr>
        <w:t xml:space="preserve">NOTE: </w:t>
      </w:r>
      <w:r w:rsidRPr="0079049C">
        <w:rPr>
          <w:rFonts w:ascii="Arial" w:hAnsi="Arial" w:cs="Arial"/>
          <w:bCs/>
          <w:sz w:val="20"/>
          <w:szCs w:val="20"/>
        </w:rPr>
        <w:t xml:space="preserve">Absence of any reply or comments shall be deemed to be an acceptance of the proposal for adoption and </w:t>
      </w:r>
      <w:r w:rsidRPr="0079049C">
        <w:rPr>
          <w:rFonts w:ascii="Arial" w:hAnsi="Arial" w:cs="Arial"/>
          <w:b/>
          <w:color w:val="000000"/>
          <w:sz w:val="20"/>
          <w:szCs w:val="20"/>
        </w:rPr>
        <w:t>shall constitute an approval vote</w:t>
      </w:r>
      <w:r w:rsidRPr="0079049C">
        <w:rPr>
          <w:rFonts w:ascii="Arial" w:hAnsi="Arial" w:cs="Arial"/>
          <w:bCs/>
          <w:sz w:val="20"/>
          <w:szCs w:val="20"/>
        </w:rPr>
        <w:t>.</w:t>
      </w:r>
    </w:p>
    <w:sectPr w:rsidR="001B427A" w:rsidRPr="0079049C"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7D3" w:rsidRDefault="00D627D3">
      <w:r>
        <w:separator/>
      </w:r>
    </w:p>
  </w:endnote>
  <w:endnote w:type="continuationSeparator" w:id="0">
    <w:p w:rsidR="00D627D3" w:rsidRDefault="00D6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Bold">
    <w:panose1 w:val="00000000000000000000"/>
    <w:charset w:val="00"/>
    <w:family w:val="swiss"/>
    <w:notTrueType/>
    <w:pitch w:val="default"/>
    <w:sig w:usb0="00000003" w:usb1="00000000" w:usb2="00000000" w:usb3="00000000" w:csb0="00000001" w:csb1="00000000"/>
  </w:font>
  <w:font w:name="Cambria-Bold">
    <w:altName w:val="MS Mincho"/>
    <w:panose1 w:val="00000000000000000000"/>
    <w:charset w:val="00"/>
    <w:family w:val="roman"/>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7D3" w:rsidRDefault="00D627D3">
      <w:r>
        <w:separator/>
      </w:r>
    </w:p>
  </w:footnote>
  <w:footnote w:type="continuationSeparator" w:id="0">
    <w:p w:rsidR="00D627D3" w:rsidRDefault="00D627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2571AB"/>
    <w:multiLevelType w:val="hybridMultilevel"/>
    <w:tmpl w:val="A5EAA83E"/>
    <w:lvl w:ilvl="0" w:tplc="CB2C0C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4"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5"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5EE7D93"/>
    <w:multiLevelType w:val="hybridMultilevel"/>
    <w:tmpl w:val="3FB2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2"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4"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7"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8"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3CD73680"/>
    <w:multiLevelType w:val="hybridMultilevel"/>
    <w:tmpl w:val="23FCD954"/>
    <w:lvl w:ilvl="0" w:tplc="2400905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3"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5"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6"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0"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1"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6"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7"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1"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4"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8"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1"/>
  </w:num>
  <w:num w:numId="2">
    <w:abstractNumId w:val="50"/>
  </w:num>
  <w:num w:numId="3">
    <w:abstractNumId w:val="45"/>
  </w:num>
  <w:num w:numId="4">
    <w:abstractNumId w:val="2"/>
  </w:num>
  <w:num w:numId="5">
    <w:abstractNumId w:val="56"/>
  </w:num>
  <w:num w:numId="6">
    <w:abstractNumId w:val="37"/>
  </w:num>
  <w:num w:numId="7">
    <w:abstractNumId w:val="28"/>
  </w:num>
  <w:num w:numId="8">
    <w:abstractNumId w:val="27"/>
  </w:num>
  <w:num w:numId="9">
    <w:abstractNumId w:val="48"/>
  </w:num>
  <w:num w:numId="10">
    <w:abstractNumId w:val="24"/>
  </w:num>
  <w:num w:numId="11">
    <w:abstractNumId w:val="33"/>
  </w:num>
  <w:num w:numId="12">
    <w:abstractNumId w:val="36"/>
  </w:num>
  <w:num w:numId="13">
    <w:abstractNumId w:val="31"/>
  </w:num>
  <w:num w:numId="14">
    <w:abstractNumId w:val="7"/>
  </w:num>
  <w:num w:numId="15">
    <w:abstractNumId w:val="23"/>
  </w:num>
  <w:num w:numId="16">
    <w:abstractNumId w:val="30"/>
  </w:num>
  <w:num w:numId="17">
    <w:abstractNumId w:val="15"/>
  </w:num>
  <w:num w:numId="18">
    <w:abstractNumId w:val="39"/>
  </w:num>
  <w:num w:numId="19">
    <w:abstractNumId w:val="11"/>
  </w:num>
  <w:num w:numId="20">
    <w:abstractNumId w:val="35"/>
  </w:num>
  <w:num w:numId="21">
    <w:abstractNumId w:val="44"/>
  </w:num>
  <w:num w:numId="22">
    <w:abstractNumId w:val="58"/>
  </w:num>
  <w:num w:numId="23">
    <w:abstractNumId w:val="26"/>
  </w:num>
  <w:num w:numId="24">
    <w:abstractNumId w:val="8"/>
  </w:num>
  <w:num w:numId="25">
    <w:abstractNumId w:val="9"/>
  </w:num>
  <w:num w:numId="26">
    <w:abstractNumId w:val="52"/>
  </w:num>
  <w:num w:numId="27">
    <w:abstractNumId w:val="18"/>
  </w:num>
  <w:num w:numId="28">
    <w:abstractNumId w:val="20"/>
  </w:num>
  <w:num w:numId="29">
    <w:abstractNumId w:val="5"/>
  </w:num>
  <w:num w:numId="30">
    <w:abstractNumId w:val="4"/>
  </w:num>
  <w:num w:numId="31">
    <w:abstractNumId w:val="55"/>
  </w:num>
  <w:num w:numId="32">
    <w:abstractNumId w:val="1"/>
  </w:num>
  <w:num w:numId="33">
    <w:abstractNumId w:val="3"/>
  </w:num>
  <w:num w:numId="34">
    <w:abstractNumId w:val="16"/>
  </w:num>
  <w:num w:numId="35">
    <w:abstractNumId w:val="38"/>
  </w:num>
  <w:num w:numId="36">
    <w:abstractNumId w:val="54"/>
  </w:num>
  <w:num w:numId="37">
    <w:abstractNumId w:val="57"/>
  </w:num>
  <w:num w:numId="38">
    <w:abstractNumId w:val="47"/>
  </w:num>
  <w:num w:numId="39">
    <w:abstractNumId w:val="6"/>
  </w:num>
  <w:num w:numId="40">
    <w:abstractNumId w:val="59"/>
  </w:num>
  <w:num w:numId="41">
    <w:abstractNumId w:val="21"/>
  </w:num>
  <w:num w:numId="42">
    <w:abstractNumId w:val="51"/>
  </w:num>
  <w:num w:numId="43">
    <w:abstractNumId w:val="46"/>
  </w:num>
  <w:num w:numId="44">
    <w:abstractNumId w:val="34"/>
  </w:num>
  <w:num w:numId="45">
    <w:abstractNumId w:val="53"/>
  </w:num>
  <w:num w:numId="46">
    <w:abstractNumId w:val="43"/>
  </w:num>
  <w:num w:numId="47">
    <w:abstractNumId w:val="0"/>
  </w:num>
  <w:num w:numId="48">
    <w:abstractNumId w:val="14"/>
  </w:num>
  <w:num w:numId="49">
    <w:abstractNumId w:val="32"/>
  </w:num>
  <w:num w:numId="50">
    <w:abstractNumId w:val="13"/>
  </w:num>
  <w:num w:numId="51">
    <w:abstractNumId w:val="22"/>
  </w:num>
  <w:num w:numId="52">
    <w:abstractNumId w:val="25"/>
  </w:num>
  <w:num w:numId="53">
    <w:abstractNumId w:val="42"/>
  </w:num>
  <w:num w:numId="54">
    <w:abstractNumId w:val="10"/>
  </w:num>
  <w:num w:numId="55">
    <w:abstractNumId w:val="19"/>
  </w:num>
  <w:num w:numId="56">
    <w:abstractNumId w:val="49"/>
  </w:num>
  <w:num w:numId="57">
    <w:abstractNumId w:val="40"/>
  </w:num>
  <w:num w:numId="58">
    <w:abstractNumId w:val="12"/>
  </w:num>
  <w:num w:numId="59">
    <w:abstractNumId w:val="17"/>
  </w:num>
  <w:num w:numId="60">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252"/>
    <w:rsid w:val="00001C4C"/>
    <w:rsid w:val="000112E3"/>
    <w:rsid w:val="00014506"/>
    <w:rsid w:val="00014A9C"/>
    <w:rsid w:val="00017A5F"/>
    <w:rsid w:val="000203A3"/>
    <w:rsid w:val="000233D3"/>
    <w:rsid w:val="00024973"/>
    <w:rsid w:val="00024D8A"/>
    <w:rsid w:val="000257D6"/>
    <w:rsid w:val="00026D98"/>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939AA"/>
    <w:rsid w:val="000A1933"/>
    <w:rsid w:val="000A27F1"/>
    <w:rsid w:val="000A631A"/>
    <w:rsid w:val="000A708C"/>
    <w:rsid w:val="000B1E5D"/>
    <w:rsid w:val="000B1EA0"/>
    <w:rsid w:val="000B6330"/>
    <w:rsid w:val="000B77D4"/>
    <w:rsid w:val="000B7C32"/>
    <w:rsid w:val="000B7E0B"/>
    <w:rsid w:val="000C4F2A"/>
    <w:rsid w:val="000D1F40"/>
    <w:rsid w:val="000D3412"/>
    <w:rsid w:val="000D705B"/>
    <w:rsid w:val="000E1353"/>
    <w:rsid w:val="000E1F73"/>
    <w:rsid w:val="000E75CE"/>
    <w:rsid w:val="000F12D8"/>
    <w:rsid w:val="000F3EC3"/>
    <w:rsid w:val="000F4963"/>
    <w:rsid w:val="001056AE"/>
    <w:rsid w:val="00113300"/>
    <w:rsid w:val="00113FAA"/>
    <w:rsid w:val="00113FB3"/>
    <w:rsid w:val="00117C5F"/>
    <w:rsid w:val="001207E5"/>
    <w:rsid w:val="00121450"/>
    <w:rsid w:val="001272B7"/>
    <w:rsid w:val="00133174"/>
    <w:rsid w:val="00134E92"/>
    <w:rsid w:val="00135631"/>
    <w:rsid w:val="00143387"/>
    <w:rsid w:val="00144EBE"/>
    <w:rsid w:val="0014730D"/>
    <w:rsid w:val="001502DC"/>
    <w:rsid w:val="001557AF"/>
    <w:rsid w:val="00157E2D"/>
    <w:rsid w:val="00165744"/>
    <w:rsid w:val="00170BA4"/>
    <w:rsid w:val="00172583"/>
    <w:rsid w:val="00172CD1"/>
    <w:rsid w:val="00174380"/>
    <w:rsid w:val="00181EFD"/>
    <w:rsid w:val="00183FFD"/>
    <w:rsid w:val="00184755"/>
    <w:rsid w:val="001A3C86"/>
    <w:rsid w:val="001A7A41"/>
    <w:rsid w:val="001B427A"/>
    <w:rsid w:val="001C26F7"/>
    <w:rsid w:val="001C43C7"/>
    <w:rsid w:val="001C6CD8"/>
    <w:rsid w:val="001D1163"/>
    <w:rsid w:val="001D5922"/>
    <w:rsid w:val="001E3AC9"/>
    <w:rsid w:val="001E669D"/>
    <w:rsid w:val="001E6C12"/>
    <w:rsid w:val="001E768E"/>
    <w:rsid w:val="001F2311"/>
    <w:rsid w:val="001F42A8"/>
    <w:rsid w:val="001F75F0"/>
    <w:rsid w:val="002000E6"/>
    <w:rsid w:val="00201811"/>
    <w:rsid w:val="002018D3"/>
    <w:rsid w:val="00206162"/>
    <w:rsid w:val="00210477"/>
    <w:rsid w:val="002126B3"/>
    <w:rsid w:val="0021486D"/>
    <w:rsid w:val="00214943"/>
    <w:rsid w:val="00215B3A"/>
    <w:rsid w:val="00216710"/>
    <w:rsid w:val="00217D2C"/>
    <w:rsid w:val="0022192E"/>
    <w:rsid w:val="002245A2"/>
    <w:rsid w:val="002338CE"/>
    <w:rsid w:val="00237436"/>
    <w:rsid w:val="00237E02"/>
    <w:rsid w:val="00240D55"/>
    <w:rsid w:val="0025235F"/>
    <w:rsid w:val="0025434A"/>
    <w:rsid w:val="00262DAC"/>
    <w:rsid w:val="00262DD1"/>
    <w:rsid w:val="00265981"/>
    <w:rsid w:val="002679D3"/>
    <w:rsid w:val="002714B6"/>
    <w:rsid w:val="002765B2"/>
    <w:rsid w:val="002809BF"/>
    <w:rsid w:val="00283343"/>
    <w:rsid w:val="00286F99"/>
    <w:rsid w:val="002902DC"/>
    <w:rsid w:val="00290DB5"/>
    <w:rsid w:val="0029228A"/>
    <w:rsid w:val="0029316A"/>
    <w:rsid w:val="00293259"/>
    <w:rsid w:val="002A0DC0"/>
    <w:rsid w:val="002A211A"/>
    <w:rsid w:val="002A2AEE"/>
    <w:rsid w:val="002A6362"/>
    <w:rsid w:val="002A7B7F"/>
    <w:rsid w:val="002B57BD"/>
    <w:rsid w:val="002B5F4B"/>
    <w:rsid w:val="002B6922"/>
    <w:rsid w:val="002B7CC0"/>
    <w:rsid w:val="002C057F"/>
    <w:rsid w:val="002C1FFF"/>
    <w:rsid w:val="002C7732"/>
    <w:rsid w:val="002C7CA5"/>
    <w:rsid w:val="002D0102"/>
    <w:rsid w:val="002D02F7"/>
    <w:rsid w:val="002D1C4E"/>
    <w:rsid w:val="002D6E59"/>
    <w:rsid w:val="002E67EB"/>
    <w:rsid w:val="002E7228"/>
    <w:rsid w:val="002F4EFE"/>
    <w:rsid w:val="002F79F0"/>
    <w:rsid w:val="002F7EF7"/>
    <w:rsid w:val="003107A6"/>
    <w:rsid w:val="003178E5"/>
    <w:rsid w:val="00320036"/>
    <w:rsid w:val="0032195B"/>
    <w:rsid w:val="00321F8E"/>
    <w:rsid w:val="00322815"/>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335C"/>
    <w:rsid w:val="0039453B"/>
    <w:rsid w:val="0039453F"/>
    <w:rsid w:val="003968B0"/>
    <w:rsid w:val="00397264"/>
    <w:rsid w:val="003A2E88"/>
    <w:rsid w:val="003A611E"/>
    <w:rsid w:val="003B1411"/>
    <w:rsid w:val="003B2C4A"/>
    <w:rsid w:val="003B5262"/>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1E4C"/>
    <w:rsid w:val="004961EB"/>
    <w:rsid w:val="004A16FE"/>
    <w:rsid w:val="004A494A"/>
    <w:rsid w:val="004B2CAA"/>
    <w:rsid w:val="004C0519"/>
    <w:rsid w:val="004C18E3"/>
    <w:rsid w:val="004C214F"/>
    <w:rsid w:val="004C332F"/>
    <w:rsid w:val="004C5E07"/>
    <w:rsid w:val="004C72A1"/>
    <w:rsid w:val="004D14C0"/>
    <w:rsid w:val="004D1989"/>
    <w:rsid w:val="004D27E3"/>
    <w:rsid w:val="004D2DF2"/>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284"/>
    <w:rsid w:val="00531F6C"/>
    <w:rsid w:val="00534697"/>
    <w:rsid w:val="0053574B"/>
    <w:rsid w:val="00535750"/>
    <w:rsid w:val="00540417"/>
    <w:rsid w:val="0054230A"/>
    <w:rsid w:val="005446EC"/>
    <w:rsid w:val="00551129"/>
    <w:rsid w:val="00555EC0"/>
    <w:rsid w:val="0056413C"/>
    <w:rsid w:val="00574BCC"/>
    <w:rsid w:val="005804D6"/>
    <w:rsid w:val="00582571"/>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5DFD"/>
    <w:rsid w:val="005D6F12"/>
    <w:rsid w:val="005E147E"/>
    <w:rsid w:val="005E1E94"/>
    <w:rsid w:val="005E5AF6"/>
    <w:rsid w:val="005E66AD"/>
    <w:rsid w:val="0061060B"/>
    <w:rsid w:val="00610639"/>
    <w:rsid w:val="006115AE"/>
    <w:rsid w:val="00612B22"/>
    <w:rsid w:val="00612D33"/>
    <w:rsid w:val="00613FDD"/>
    <w:rsid w:val="0061471D"/>
    <w:rsid w:val="00616315"/>
    <w:rsid w:val="00616689"/>
    <w:rsid w:val="006279EA"/>
    <w:rsid w:val="006305A2"/>
    <w:rsid w:val="00631E9E"/>
    <w:rsid w:val="0063457A"/>
    <w:rsid w:val="006360D9"/>
    <w:rsid w:val="0063773B"/>
    <w:rsid w:val="00640F8B"/>
    <w:rsid w:val="0064298A"/>
    <w:rsid w:val="00642EDF"/>
    <w:rsid w:val="00643BB9"/>
    <w:rsid w:val="00644D24"/>
    <w:rsid w:val="00646B24"/>
    <w:rsid w:val="00652BCB"/>
    <w:rsid w:val="00653D4B"/>
    <w:rsid w:val="0065597D"/>
    <w:rsid w:val="00657619"/>
    <w:rsid w:val="00663548"/>
    <w:rsid w:val="006653ED"/>
    <w:rsid w:val="006653EF"/>
    <w:rsid w:val="00667C27"/>
    <w:rsid w:val="00670949"/>
    <w:rsid w:val="006721D9"/>
    <w:rsid w:val="00675F12"/>
    <w:rsid w:val="006A035C"/>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9F8"/>
    <w:rsid w:val="00700A43"/>
    <w:rsid w:val="00701766"/>
    <w:rsid w:val="00702E41"/>
    <w:rsid w:val="00711142"/>
    <w:rsid w:val="007113B8"/>
    <w:rsid w:val="00713BFB"/>
    <w:rsid w:val="00713C40"/>
    <w:rsid w:val="0071524D"/>
    <w:rsid w:val="00720E1D"/>
    <w:rsid w:val="00723285"/>
    <w:rsid w:val="00725162"/>
    <w:rsid w:val="007275F1"/>
    <w:rsid w:val="007376DB"/>
    <w:rsid w:val="0074130D"/>
    <w:rsid w:val="00741BEB"/>
    <w:rsid w:val="00750207"/>
    <w:rsid w:val="0076175F"/>
    <w:rsid w:val="00771086"/>
    <w:rsid w:val="00771C94"/>
    <w:rsid w:val="007758A7"/>
    <w:rsid w:val="00780ED1"/>
    <w:rsid w:val="0079049C"/>
    <w:rsid w:val="00792871"/>
    <w:rsid w:val="007972B5"/>
    <w:rsid w:val="007A6B3B"/>
    <w:rsid w:val="007A6DF7"/>
    <w:rsid w:val="007A7B22"/>
    <w:rsid w:val="007A7CD1"/>
    <w:rsid w:val="007B4380"/>
    <w:rsid w:val="007B5CDF"/>
    <w:rsid w:val="007B7ED6"/>
    <w:rsid w:val="007C212E"/>
    <w:rsid w:val="007C2143"/>
    <w:rsid w:val="007C285B"/>
    <w:rsid w:val="007C47AD"/>
    <w:rsid w:val="007C7A4C"/>
    <w:rsid w:val="007D13B5"/>
    <w:rsid w:val="007D5564"/>
    <w:rsid w:val="007D6C8E"/>
    <w:rsid w:val="007D6E10"/>
    <w:rsid w:val="007E0B6A"/>
    <w:rsid w:val="007E0BB9"/>
    <w:rsid w:val="007E3EBA"/>
    <w:rsid w:val="007E4AF0"/>
    <w:rsid w:val="007E64D9"/>
    <w:rsid w:val="007E76DF"/>
    <w:rsid w:val="007F13A1"/>
    <w:rsid w:val="007F28A8"/>
    <w:rsid w:val="008008FB"/>
    <w:rsid w:val="0080283A"/>
    <w:rsid w:val="00803441"/>
    <w:rsid w:val="008047FE"/>
    <w:rsid w:val="00806004"/>
    <w:rsid w:val="00815CEF"/>
    <w:rsid w:val="00816FE4"/>
    <w:rsid w:val="00817165"/>
    <w:rsid w:val="00821EFB"/>
    <w:rsid w:val="0082580C"/>
    <w:rsid w:val="00826A59"/>
    <w:rsid w:val="008361CC"/>
    <w:rsid w:val="00837B47"/>
    <w:rsid w:val="00837F0B"/>
    <w:rsid w:val="00840E6D"/>
    <w:rsid w:val="00843042"/>
    <w:rsid w:val="008441D1"/>
    <w:rsid w:val="00850922"/>
    <w:rsid w:val="008553E6"/>
    <w:rsid w:val="0085714A"/>
    <w:rsid w:val="00861506"/>
    <w:rsid w:val="00866AD9"/>
    <w:rsid w:val="008706A1"/>
    <w:rsid w:val="0087118E"/>
    <w:rsid w:val="00873E37"/>
    <w:rsid w:val="00874DBC"/>
    <w:rsid w:val="00874DFE"/>
    <w:rsid w:val="00875E8E"/>
    <w:rsid w:val="00876147"/>
    <w:rsid w:val="00877F3E"/>
    <w:rsid w:val="0088060B"/>
    <w:rsid w:val="00881898"/>
    <w:rsid w:val="0089066F"/>
    <w:rsid w:val="00893821"/>
    <w:rsid w:val="0089745E"/>
    <w:rsid w:val="008A47F0"/>
    <w:rsid w:val="008B4D15"/>
    <w:rsid w:val="008C281E"/>
    <w:rsid w:val="008C4C9B"/>
    <w:rsid w:val="008C6CA3"/>
    <w:rsid w:val="008D0120"/>
    <w:rsid w:val="008D4C84"/>
    <w:rsid w:val="008D5264"/>
    <w:rsid w:val="008D6D41"/>
    <w:rsid w:val="008D75FE"/>
    <w:rsid w:val="008E767D"/>
    <w:rsid w:val="008F3FAC"/>
    <w:rsid w:val="008F7578"/>
    <w:rsid w:val="00901DAA"/>
    <w:rsid w:val="0090232A"/>
    <w:rsid w:val="009133D6"/>
    <w:rsid w:val="009138BF"/>
    <w:rsid w:val="009173CA"/>
    <w:rsid w:val="009173D2"/>
    <w:rsid w:val="00921102"/>
    <w:rsid w:val="00922388"/>
    <w:rsid w:val="00940836"/>
    <w:rsid w:val="0094333F"/>
    <w:rsid w:val="00952184"/>
    <w:rsid w:val="00952AAA"/>
    <w:rsid w:val="009545B6"/>
    <w:rsid w:val="009618F7"/>
    <w:rsid w:val="00962FA1"/>
    <w:rsid w:val="00963907"/>
    <w:rsid w:val="00967F8D"/>
    <w:rsid w:val="009714B9"/>
    <w:rsid w:val="00975730"/>
    <w:rsid w:val="00980888"/>
    <w:rsid w:val="00981837"/>
    <w:rsid w:val="00982A32"/>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3E9F"/>
    <w:rsid w:val="009F6BFE"/>
    <w:rsid w:val="009F6EC9"/>
    <w:rsid w:val="00A04D0C"/>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EEB"/>
    <w:rsid w:val="00A45C80"/>
    <w:rsid w:val="00A4747A"/>
    <w:rsid w:val="00A53116"/>
    <w:rsid w:val="00A5542E"/>
    <w:rsid w:val="00A55BBF"/>
    <w:rsid w:val="00A55E21"/>
    <w:rsid w:val="00A6324D"/>
    <w:rsid w:val="00A65619"/>
    <w:rsid w:val="00A70C54"/>
    <w:rsid w:val="00A7457B"/>
    <w:rsid w:val="00A76E34"/>
    <w:rsid w:val="00A812FD"/>
    <w:rsid w:val="00A82761"/>
    <w:rsid w:val="00A84870"/>
    <w:rsid w:val="00A877F4"/>
    <w:rsid w:val="00A90559"/>
    <w:rsid w:val="00A91B44"/>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402CA"/>
    <w:rsid w:val="00B40CB1"/>
    <w:rsid w:val="00B416C9"/>
    <w:rsid w:val="00B4501A"/>
    <w:rsid w:val="00B45778"/>
    <w:rsid w:val="00B45DE1"/>
    <w:rsid w:val="00B466C4"/>
    <w:rsid w:val="00B50EE6"/>
    <w:rsid w:val="00B6163B"/>
    <w:rsid w:val="00B75282"/>
    <w:rsid w:val="00B76238"/>
    <w:rsid w:val="00B77150"/>
    <w:rsid w:val="00B771A9"/>
    <w:rsid w:val="00B77986"/>
    <w:rsid w:val="00B82057"/>
    <w:rsid w:val="00B83393"/>
    <w:rsid w:val="00B83411"/>
    <w:rsid w:val="00B86095"/>
    <w:rsid w:val="00B958AB"/>
    <w:rsid w:val="00B96F09"/>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0785"/>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5AC5"/>
    <w:rsid w:val="00C37B36"/>
    <w:rsid w:val="00C40473"/>
    <w:rsid w:val="00C43BEF"/>
    <w:rsid w:val="00C4537A"/>
    <w:rsid w:val="00C50777"/>
    <w:rsid w:val="00C52690"/>
    <w:rsid w:val="00C52CD9"/>
    <w:rsid w:val="00C53EF5"/>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87E37"/>
    <w:rsid w:val="00C90D7A"/>
    <w:rsid w:val="00C93720"/>
    <w:rsid w:val="00C93E70"/>
    <w:rsid w:val="00C94C9F"/>
    <w:rsid w:val="00C9519D"/>
    <w:rsid w:val="00C95946"/>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2D52"/>
    <w:rsid w:val="00D035A8"/>
    <w:rsid w:val="00D03781"/>
    <w:rsid w:val="00D043D3"/>
    <w:rsid w:val="00D146FA"/>
    <w:rsid w:val="00D1606A"/>
    <w:rsid w:val="00D20306"/>
    <w:rsid w:val="00D23ED4"/>
    <w:rsid w:val="00D25586"/>
    <w:rsid w:val="00D259A0"/>
    <w:rsid w:val="00D27FC5"/>
    <w:rsid w:val="00D31AD6"/>
    <w:rsid w:val="00D358C2"/>
    <w:rsid w:val="00D37B82"/>
    <w:rsid w:val="00D41050"/>
    <w:rsid w:val="00D418AB"/>
    <w:rsid w:val="00D4277F"/>
    <w:rsid w:val="00D43071"/>
    <w:rsid w:val="00D4723C"/>
    <w:rsid w:val="00D47C56"/>
    <w:rsid w:val="00D53E5E"/>
    <w:rsid w:val="00D55AD0"/>
    <w:rsid w:val="00D61A8F"/>
    <w:rsid w:val="00D627D3"/>
    <w:rsid w:val="00D639E5"/>
    <w:rsid w:val="00D67193"/>
    <w:rsid w:val="00D71B5C"/>
    <w:rsid w:val="00D97E74"/>
    <w:rsid w:val="00DA116B"/>
    <w:rsid w:val="00DA1E1C"/>
    <w:rsid w:val="00DA21E1"/>
    <w:rsid w:val="00DA72A5"/>
    <w:rsid w:val="00DA7B6D"/>
    <w:rsid w:val="00DB2839"/>
    <w:rsid w:val="00DB406D"/>
    <w:rsid w:val="00DB5616"/>
    <w:rsid w:val="00DB64E0"/>
    <w:rsid w:val="00DC0273"/>
    <w:rsid w:val="00DC19BA"/>
    <w:rsid w:val="00DC4E20"/>
    <w:rsid w:val="00DD756A"/>
    <w:rsid w:val="00DD7CBC"/>
    <w:rsid w:val="00DE1463"/>
    <w:rsid w:val="00DE33C9"/>
    <w:rsid w:val="00DE4CC1"/>
    <w:rsid w:val="00DE66D1"/>
    <w:rsid w:val="00DE7850"/>
    <w:rsid w:val="00DF37B4"/>
    <w:rsid w:val="00DF4FE2"/>
    <w:rsid w:val="00E00A3B"/>
    <w:rsid w:val="00E05AF0"/>
    <w:rsid w:val="00E05B32"/>
    <w:rsid w:val="00E07B13"/>
    <w:rsid w:val="00E11752"/>
    <w:rsid w:val="00E16E23"/>
    <w:rsid w:val="00E242B5"/>
    <w:rsid w:val="00E33645"/>
    <w:rsid w:val="00E358DD"/>
    <w:rsid w:val="00E3709B"/>
    <w:rsid w:val="00E40B8D"/>
    <w:rsid w:val="00E43151"/>
    <w:rsid w:val="00E44699"/>
    <w:rsid w:val="00E452A1"/>
    <w:rsid w:val="00E477AC"/>
    <w:rsid w:val="00E53416"/>
    <w:rsid w:val="00E5638E"/>
    <w:rsid w:val="00E677BF"/>
    <w:rsid w:val="00E67F33"/>
    <w:rsid w:val="00E7300C"/>
    <w:rsid w:val="00E80A94"/>
    <w:rsid w:val="00E871F8"/>
    <w:rsid w:val="00E910C9"/>
    <w:rsid w:val="00E92036"/>
    <w:rsid w:val="00E9462D"/>
    <w:rsid w:val="00EA3BEE"/>
    <w:rsid w:val="00EA47CB"/>
    <w:rsid w:val="00EA5C15"/>
    <w:rsid w:val="00EA6BAD"/>
    <w:rsid w:val="00EB1B8B"/>
    <w:rsid w:val="00EB2419"/>
    <w:rsid w:val="00ED0AE9"/>
    <w:rsid w:val="00ED2C1E"/>
    <w:rsid w:val="00ED3C28"/>
    <w:rsid w:val="00ED5C52"/>
    <w:rsid w:val="00ED61A0"/>
    <w:rsid w:val="00EF3CA1"/>
    <w:rsid w:val="00EF4292"/>
    <w:rsid w:val="00EF5984"/>
    <w:rsid w:val="00EF65F5"/>
    <w:rsid w:val="00EF6948"/>
    <w:rsid w:val="00F0092E"/>
    <w:rsid w:val="00F01196"/>
    <w:rsid w:val="00F0627B"/>
    <w:rsid w:val="00F153D8"/>
    <w:rsid w:val="00F1569E"/>
    <w:rsid w:val="00F170F7"/>
    <w:rsid w:val="00F2296D"/>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0F2F"/>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9CC35"/>
  <w15:docId w15:val="{7AE7686E-9FB8-4C6E-9512-0CE01C98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paragraph" w:customStyle="1" w:styleId="Pa15">
    <w:name w:val="Pa15"/>
    <w:basedOn w:val="Default"/>
    <w:next w:val="Default"/>
    <w:uiPriority w:val="99"/>
    <w:rsid w:val="0039335C"/>
    <w:pPr>
      <w:spacing w:line="221" w:lineRule="atLeast"/>
    </w:pPr>
    <w:rPr>
      <w:rFonts w:ascii="Cambria" w:hAnsi="Cambria" w:cs="Times New Roman"/>
      <w:color w:val="auto"/>
    </w:rPr>
  </w:style>
  <w:style w:type="paragraph" w:customStyle="1" w:styleId="Pa19">
    <w:name w:val="Pa19"/>
    <w:basedOn w:val="Default"/>
    <w:next w:val="Default"/>
    <w:uiPriority w:val="99"/>
    <w:rsid w:val="0039335C"/>
    <w:pPr>
      <w:spacing w:line="201" w:lineRule="atLeast"/>
    </w:pPr>
    <w:rPr>
      <w:rFonts w:ascii="Cambria" w:hAnsi="Cambria" w:cs="Times New Roman"/>
      <w:color w:val="auto"/>
    </w:rPr>
  </w:style>
  <w:style w:type="paragraph" w:customStyle="1" w:styleId="Note">
    <w:name w:val="Note"/>
    <w:basedOn w:val="Default"/>
    <w:next w:val="Default"/>
    <w:uiPriority w:val="99"/>
    <w:rsid w:val="00210477"/>
    <w:rPr>
      <w:color w:val="auto"/>
    </w:rPr>
  </w:style>
  <w:style w:type="paragraph" w:styleId="NoSpacing">
    <w:name w:val="No Spacing"/>
    <w:uiPriority w:val="1"/>
    <w:qFormat/>
    <w:rsid w:val="006653ED"/>
    <w:rPr>
      <w:rFonts w:ascii="Calibri" w:eastAsia="Calibri" w:hAnsi="Calibri"/>
      <w:sz w:val="22"/>
      <w:szCs w:val="22"/>
    </w:rPr>
  </w:style>
  <w:style w:type="paragraph" w:customStyle="1" w:styleId="Pa16">
    <w:name w:val="Pa16"/>
    <w:basedOn w:val="Default"/>
    <w:next w:val="Default"/>
    <w:uiPriority w:val="99"/>
    <w:rsid w:val="006653ED"/>
    <w:pPr>
      <w:spacing w:line="221" w:lineRule="atLeast"/>
    </w:pPr>
    <w:rPr>
      <w:rFonts w:ascii="Cambria" w:hAnsi="Cambria" w:cs="Times New Roman"/>
      <w:color w:val="auto"/>
    </w:rPr>
  </w:style>
  <w:style w:type="paragraph" w:customStyle="1" w:styleId="Pa17">
    <w:name w:val="Pa17"/>
    <w:basedOn w:val="Default"/>
    <w:next w:val="Default"/>
    <w:uiPriority w:val="99"/>
    <w:rsid w:val="006653ED"/>
    <w:pPr>
      <w:spacing w:line="221" w:lineRule="atLeast"/>
    </w:pPr>
    <w:rPr>
      <w:rFonts w:ascii="Cambria" w:hAnsi="Cambria" w:cs="Times New Roman"/>
      <w:color w:val="auto"/>
    </w:rPr>
  </w:style>
  <w:style w:type="character" w:customStyle="1" w:styleId="A7">
    <w:name w:val="A7"/>
    <w:uiPriority w:val="99"/>
    <w:rsid w:val="0056413C"/>
    <w:rPr>
      <w:rFonts w:cs="Cambria"/>
      <w:color w:val="000000"/>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2189</Words>
  <Characters>12480</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14640</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Samuel Kibogo</cp:lastModifiedBy>
  <cp:revision>83</cp:revision>
  <cp:lastPrinted>2011-05-19T08:42:00Z</cp:lastPrinted>
  <dcterms:created xsi:type="dcterms:W3CDTF">2019-03-25T07:03:00Z</dcterms:created>
  <dcterms:modified xsi:type="dcterms:W3CDTF">2019-03-25T09:26:00Z</dcterms:modified>
</cp:coreProperties>
</file>