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4150FA" w:rsidRPr="004150FA">
        <w:rPr>
          <w:rFonts w:ascii="Arial Narrow" w:hAnsi="Arial Narrow" w:cs="Arial"/>
          <w:sz w:val="20"/>
          <w:szCs w:val="20"/>
        </w:rPr>
        <w:t>IEC 60601-2-44:2009</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222088" w:rsidRDefault="00205EBF" w:rsidP="001F160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4150FA" w:rsidRPr="004150FA">
        <w:rPr>
          <w:rFonts w:ascii="Arial Narrow" w:hAnsi="Arial Narrow" w:cs="Arial"/>
          <w:sz w:val="20"/>
          <w:szCs w:val="20"/>
        </w:rPr>
        <w:t>Medical electrical equipment - Part 2-44:Particular requirements for the safety of X-ray equipment for computed tomography.</w:t>
      </w:r>
      <w:r w:rsidR="003F639E" w:rsidRPr="003F639E">
        <w:rPr>
          <w:rFonts w:ascii="Arial Narrow" w:hAnsi="Arial Narrow" w:cs="Arial"/>
          <w:sz w:val="20"/>
          <w:szCs w:val="20"/>
        </w:rPr>
        <w:t>.</w:t>
      </w:r>
    </w:p>
    <w:p w:rsidR="00DF6994" w:rsidRDefault="00DF6994" w:rsidP="002577DD">
      <w:pPr>
        <w:autoSpaceDE w:val="0"/>
        <w:autoSpaceDN w:val="0"/>
        <w:adjustRightInd w:val="0"/>
        <w:jc w:val="both"/>
        <w:rPr>
          <w:rFonts w:ascii="Arial Narrow" w:hAnsi="Arial Narrow" w:cs="Arial"/>
          <w:b/>
          <w:sz w:val="20"/>
          <w:szCs w:val="20"/>
        </w:rPr>
      </w:pPr>
    </w:p>
    <w:p w:rsidR="003F639E" w:rsidRDefault="00084195" w:rsidP="004150FA">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4150FA" w:rsidRPr="004150FA">
        <w:rPr>
          <w:rFonts w:ascii="Arial Narrow" w:hAnsi="Arial Narrow" w:cs="Arial"/>
          <w:sz w:val="20"/>
          <w:szCs w:val="20"/>
        </w:rPr>
        <w:t>IEC 60601-2-44:2009 applies to the basic safety and essential performance of CT scanners. The scope of IEC 60601-2-44:2009 is limited to CT scanners intended to be used for both head and body characterised by an enclosure of the X-ray source(s) and imaging detector(s) in a common protective cover in the shape of a toroid. It includes safety requirements for the X-ray generators used in CT scanners, including those where high-voltage generators are integrated with an X-ray tube assembly. This third edition cancels and replaces the second edition published in 2001 and its Amendment 1 (2002). This edition constitutes a technical revision primarily related to radiation protection and control. The contents of the corrigendum of May 2010 have been included in this copy.</w:t>
      </w:r>
    </w:p>
    <w:p w:rsidR="004150FA" w:rsidRDefault="004150FA"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CD2FD-E3D4-44C9-8AD9-D9560927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3022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2019-08-23T08:13:00Z</dcterms:created>
  <dcterms:modified xsi:type="dcterms:W3CDTF">2019-08-23T08:13:00Z</dcterms:modified>
</cp:coreProperties>
</file>