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C844D7" w:rsidRPr="00C844D7">
        <w:rPr>
          <w:rFonts w:ascii="Arial Narrow" w:hAnsi="Arial Narrow" w:cs="Arial"/>
          <w:sz w:val="20"/>
          <w:szCs w:val="20"/>
        </w:rPr>
        <w:t>ISO 5832-7:2016</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855F80" w:rsidRDefault="00205EBF" w:rsidP="009F05C5">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C844D7" w:rsidRPr="00C844D7">
        <w:rPr>
          <w:rFonts w:ascii="Arial Narrow" w:hAnsi="Arial Narrow" w:cs="Arial"/>
          <w:sz w:val="20"/>
          <w:szCs w:val="20"/>
        </w:rPr>
        <w:t>Implants for surgery -- Metallic materials -- Part 7: Forgeable and cold-formed cobalt-chromium-nickel-molybdenum-iron alloy</w:t>
      </w:r>
    </w:p>
    <w:p w:rsidR="00C844D7" w:rsidRDefault="00C844D7" w:rsidP="002577DD">
      <w:pPr>
        <w:autoSpaceDE w:val="0"/>
        <w:autoSpaceDN w:val="0"/>
        <w:adjustRightInd w:val="0"/>
        <w:jc w:val="both"/>
        <w:rPr>
          <w:rFonts w:ascii="Arial Narrow" w:hAnsi="Arial Narrow" w:cs="Arial"/>
          <w:b/>
          <w:sz w:val="20"/>
          <w:szCs w:val="20"/>
        </w:rPr>
      </w:pPr>
    </w:p>
    <w:p w:rsidR="0093678A" w:rsidRDefault="00084195" w:rsidP="002577DD">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C844D7" w:rsidRPr="00C844D7">
        <w:rPr>
          <w:rFonts w:ascii="Arial Narrow" w:hAnsi="Arial Narrow" w:cs="Arial"/>
          <w:sz w:val="20"/>
          <w:szCs w:val="20"/>
        </w:rPr>
        <w:t>ISO 5832-7:2016 specifies the characteristics of, and corresponding test methods for, forgeable and cold-formed cobalt-chromium-nickel-molybdenum-iron alloy for use in the manufacture of surgical implants.</w:t>
      </w:r>
    </w:p>
    <w:p w:rsidR="00C844D7" w:rsidRDefault="00C844D7"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6294B-6B07-401B-81D7-534FE9B80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2019-08-23T07:33:00Z</dcterms:created>
  <dcterms:modified xsi:type="dcterms:W3CDTF">2019-08-23T07:33:00Z</dcterms:modified>
</cp:coreProperties>
</file>