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EE61DE" w:rsidRPr="00EE61DE">
        <w:rPr>
          <w:rFonts w:ascii="Arial Narrow" w:hAnsi="Arial Narrow" w:cs="Arial"/>
          <w:sz w:val="20"/>
          <w:szCs w:val="20"/>
        </w:rPr>
        <w:t>ISO 8362-2:2008</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EE61DE" w:rsidRPr="00EE61DE">
        <w:rPr>
          <w:rFonts w:ascii="Arial Narrow" w:hAnsi="Arial Narrow" w:cs="Arial"/>
          <w:sz w:val="20"/>
          <w:szCs w:val="20"/>
        </w:rPr>
        <w:t>Injection containers and accessories -- Part 2: Closures for injection vials</w:t>
      </w:r>
    </w:p>
    <w:p w:rsidR="000D40C7" w:rsidRDefault="000D40C7" w:rsidP="000D40C7">
      <w:pPr>
        <w:autoSpaceDE w:val="0"/>
        <w:autoSpaceDN w:val="0"/>
        <w:adjustRightInd w:val="0"/>
        <w:jc w:val="both"/>
        <w:rPr>
          <w:rFonts w:ascii="Arial Narrow" w:hAnsi="Arial Narrow" w:cs="Arial"/>
          <w:sz w:val="20"/>
          <w:szCs w:val="20"/>
        </w:rPr>
      </w:pPr>
    </w:p>
    <w:p w:rsidR="00EE61DE" w:rsidRPr="00EE61DE" w:rsidRDefault="00084195" w:rsidP="00EE61DE">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EE61DE" w:rsidRPr="00EE61DE">
        <w:rPr>
          <w:rFonts w:ascii="Arial Narrow" w:hAnsi="Arial Narrow" w:cs="Arial"/>
          <w:sz w:val="20"/>
          <w:szCs w:val="20"/>
        </w:rPr>
        <w:t>ISO 8362-2:2008 specifies the shape, dimensions, material, performance requirements and labelling of closures for injection vials covered by ISO 8362-1 and ISO 8362-4.</w:t>
      </w:r>
    </w:p>
    <w:p w:rsidR="00EE61DE" w:rsidRDefault="00EE61DE" w:rsidP="00EE61DE">
      <w:pPr>
        <w:autoSpaceDE w:val="0"/>
        <w:autoSpaceDN w:val="0"/>
        <w:adjustRightInd w:val="0"/>
        <w:jc w:val="both"/>
        <w:rPr>
          <w:rFonts w:ascii="Arial Narrow" w:hAnsi="Arial Narrow" w:cs="Arial"/>
          <w:sz w:val="20"/>
          <w:szCs w:val="20"/>
        </w:rPr>
      </w:pPr>
    </w:p>
    <w:p w:rsidR="00EE61DE" w:rsidRPr="00EE61DE" w:rsidRDefault="00EE61DE" w:rsidP="00EE61DE">
      <w:pPr>
        <w:autoSpaceDE w:val="0"/>
        <w:autoSpaceDN w:val="0"/>
        <w:adjustRightInd w:val="0"/>
        <w:jc w:val="both"/>
        <w:rPr>
          <w:rFonts w:ascii="Arial Narrow" w:hAnsi="Arial Narrow" w:cs="Arial"/>
          <w:sz w:val="20"/>
          <w:szCs w:val="20"/>
        </w:rPr>
      </w:pPr>
      <w:r w:rsidRPr="00EE61DE">
        <w:rPr>
          <w:rFonts w:ascii="Arial Narrow" w:hAnsi="Arial Narrow" w:cs="Arial"/>
          <w:sz w:val="20"/>
          <w:szCs w:val="20"/>
        </w:rPr>
        <w:t>The dimensional requirements are not applicable to barrier-coated closures.</w:t>
      </w:r>
    </w:p>
    <w:p w:rsidR="00EE61DE" w:rsidRDefault="00EE61DE" w:rsidP="00EE61DE">
      <w:pPr>
        <w:autoSpaceDE w:val="0"/>
        <w:autoSpaceDN w:val="0"/>
        <w:adjustRightInd w:val="0"/>
        <w:jc w:val="both"/>
        <w:rPr>
          <w:rFonts w:ascii="Arial Narrow" w:hAnsi="Arial Narrow" w:cs="Arial"/>
          <w:sz w:val="20"/>
          <w:szCs w:val="20"/>
        </w:rPr>
      </w:pPr>
    </w:p>
    <w:p w:rsidR="00EB3C0E" w:rsidRDefault="00EE61DE" w:rsidP="00EE61DE">
      <w:pPr>
        <w:autoSpaceDE w:val="0"/>
        <w:autoSpaceDN w:val="0"/>
        <w:adjustRightInd w:val="0"/>
        <w:jc w:val="both"/>
        <w:rPr>
          <w:rFonts w:ascii="Arial Narrow" w:hAnsi="Arial Narrow" w:cs="Arial"/>
          <w:sz w:val="20"/>
          <w:szCs w:val="20"/>
        </w:rPr>
      </w:pPr>
      <w:r w:rsidRPr="00EE61DE">
        <w:rPr>
          <w:rFonts w:ascii="Arial Narrow" w:hAnsi="Arial Narrow" w:cs="Arial"/>
          <w:sz w:val="20"/>
          <w:szCs w:val="20"/>
        </w:rPr>
        <w:t>Closures specified in ISO 8362-2:2008 are intended for single use only.</w:t>
      </w:r>
    </w:p>
    <w:p w:rsidR="00EE61DE" w:rsidRDefault="00EE61DE"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DF1F6-2249-4A4E-B88C-BBA65FFA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2597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2019-08-23T07:05:00Z</dcterms:created>
  <dcterms:modified xsi:type="dcterms:W3CDTF">2019-08-23T07:05:00Z</dcterms:modified>
</cp:coreProperties>
</file>