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BFAA" w14:textId="77777777" w:rsidR="00BF3018" w:rsidRDefault="00BF3018" w:rsidP="00BF3018">
      <w:pPr>
        <w:autoSpaceDE w:val="0"/>
        <w:autoSpaceDN w:val="0"/>
        <w:adjustRightInd w:val="0"/>
        <w:jc w:val="right"/>
        <w:rPr>
          <w:rFonts w:ascii="Arial" w:hAnsi="Arial" w:cs="Arial"/>
          <w:b/>
          <w:bCs/>
          <w:color w:val="000000"/>
          <w:sz w:val="20"/>
          <w:szCs w:val="20"/>
        </w:rPr>
      </w:pPr>
      <w:r>
        <w:rPr>
          <w:rFonts w:ascii="Arial" w:hAnsi="Arial" w:cs="Arial"/>
          <w:b/>
          <w:color w:val="000000"/>
          <w:sz w:val="20"/>
          <w:szCs w:val="20"/>
        </w:rPr>
        <w:t>STA/SD/OP/04/F2</w:t>
      </w:r>
    </w:p>
    <w:p w14:paraId="3088D4CB"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E70218" w:rsidRPr="00E70218" w14:paraId="74BD964D" w14:textId="77777777" w:rsidTr="00534D58">
        <w:tc>
          <w:tcPr>
            <w:tcW w:w="2178" w:type="dxa"/>
            <w:tcBorders>
              <w:top w:val="single" w:sz="4" w:space="0" w:color="auto"/>
              <w:left w:val="single" w:sz="4" w:space="0" w:color="auto"/>
              <w:bottom w:val="single" w:sz="4" w:space="0" w:color="auto"/>
              <w:right w:val="single" w:sz="4" w:space="0" w:color="auto"/>
            </w:tcBorders>
          </w:tcPr>
          <w:p w14:paraId="0C584924"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1FA91F1" w14:textId="77777777"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14:paraId="593A6ABF" w14:textId="77777777"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283BFA51"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1FFEB019"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8B66B2E"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14:paraId="30B845A2" w14:textId="77777777"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311E1394" w14:textId="77777777"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69E1E7B6" w14:textId="5760A465"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20</w:t>
            </w:r>
            <w:r>
              <w:rPr>
                <w:rFonts w:ascii="Arial" w:hAnsi="Arial" w:cs="Arial"/>
                <w:sz w:val="20"/>
                <w:szCs w:val="20"/>
              </w:rPr>
              <w:t>-0</w:t>
            </w:r>
            <w:r w:rsidR="003C409D">
              <w:rPr>
                <w:rFonts w:ascii="Arial" w:hAnsi="Arial" w:cs="Arial"/>
                <w:sz w:val="20"/>
                <w:szCs w:val="20"/>
              </w:rPr>
              <w:t>3</w:t>
            </w:r>
            <w:r w:rsidR="00CA04B1">
              <w:rPr>
                <w:rFonts w:ascii="Arial" w:hAnsi="Arial" w:cs="Arial"/>
                <w:sz w:val="20"/>
                <w:szCs w:val="20"/>
              </w:rPr>
              <w:t>-</w:t>
            </w:r>
            <w:r w:rsidR="003C409D">
              <w:rPr>
                <w:rFonts w:ascii="Arial" w:hAnsi="Arial" w:cs="Arial"/>
                <w:sz w:val="20"/>
                <w:szCs w:val="20"/>
              </w:rPr>
              <w:t>10</w:t>
            </w:r>
          </w:p>
        </w:tc>
        <w:tc>
          <w:tcPr>
            <w:tcW w:w="2970" w:type="dxa"/>
            <w:tcBorders>
              <w:top w:val="single" w:sz="4" w:space="0" w:color="auto"/>
              <w:left w:val="single" w:sz="4" w:space="0" w:color="auto"/>
              <w:bottom w:val="single" w:sz="4" w:space="0" w:color="auto"/>
              <w:right w:val="single" w:sz="4" w:space="0" w:color="auto"/>
            </w:tcBorders>
          </w:tcPr>
          <w:p w14:paraId="1A830DE2" w14:textId="65A427F0" w:rsidR="00E70218" w:rsidRPr="00E70218" w:rsidRDefault="00E14B8C" w:rsidP="001B00BC">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20</w:t>
            </w:r>
            <w:r>
              <w:rPr>
                <w:rFonts w:ascii="Arial" w:hAnsi="Arial" w:cs="Arial"/>
                <w:sz w:val="20"/>
                <w:szCs w:val="20"/>
              </w:rPr>
              <w:t>-0</w:t>
            </w:r>
            <w:r w:rsidR="003C409D">
              <w:rPr>
                <w:rFonts w:ascii="Arial" w:hAnsi="Arial" w:cs="Arial"/>
                <w:sz w:val="20"/>
                <w:szCs w:val="20"/>
              </w:rPr>
              <w:t>4</w:t>
            </w:r>
            <w:r w:rsidR="00BB56D0">
              <w:rPr>
                <w:rFonts w:ascii="Arial" w:hAnsi="Arial" w:cs="Arial"/>
                <w:sz w:val="20"/>
                <w:szCs w:val="20"/>
              </w:rPr>
              <w:t>-</w:t>
            </w:r>
            <w:r>
              <w:rPr>
                <w:rFonts w:ascii="Arial" w:hAnsi="Arial" w:cs="Arial"/>
                <w:sz w:val="20"/>
                <w:szCs w:val="20"/>
              </w:rPr>
              <w:t>1</w:t>
            </w:r>
            <w:r w:rsidR="003C409D">
              <w:rPr>
                <w:rFonts w:ascii="Arial" w:hAnsi="Arial" w:cs="Arial"/>
                <w:sz w:val="20"/>
                <w:szCs w:val="20"/>
              </w:rPr>
              <w:t>1</w:t>
            </w:r>
          </w:p>
        </w:tc>
      </w:tr>
      <w:tr w:rsidR="00E70218" w:rsidRPr="00E70218" w14:paraId="5259A31B" w14:textId="77777777" w:rsidTr="00534D58">
        <w:tc>
          <w:tcPr>
            <w:tcW w:w="2178" w:type="dxa"/>
            <w:tcBorders>
              <w:top w:val="single" w:sz="4" w:space="0" w:color="auto"/>
              <w:left w:val="single" w:sz="4" w:space="0" w:color="auto"/>
              <w:bottom w:val="single" w:sz="4" w:space="0" w:color="auto"/>
              <w:right w:val="single" w:sz="4" w:space="0" w:color="auto"/>
            </w:tcBorders>
          </w:tcPr>
          <w:p w14:paraId="285429FA"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FDB124B" w14:textId="568D6914"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Kenya Bureau of Standards for the attention of </w:t>
            </w:r>
            <w:r w:rsidR="003C409D">
              <w:rPr>
                <w:rFonts w:ascii="Arial" w:hAnsi="Arial" w:cs="Arial"/>
                <w:b/>
                <w:bCs/>
                <w:sz w:val="20"/>
                <w:szCs w:val="20"/>
              </w:rPr>
              <w:t>Robert Njoroge</w:t>
            </w:r>
            <w:r w:rsidR="00CA04B1">
              <w:rPr>
                <w:rFonts w:ascii="Arial" w:hAnsi="Arial" w:cs="Arial"/>
                <w:b/>
                <w:bCs/>
                <w:sz w:val="20"/>
                <w:szCs w:val="20"/>
              </w:rPr>
              <w:t xml:space="preserve"> (</w:t>
            </w:r>
            <w:r w:rsidR="003C409D" w:rsidRPr="00FE71CA">
              <w:rPr>
                <w:rFonts w:ascii="Arial" w:hAnsi="Arial" w:cs="Arial"/>
                <w:b/>
                <w:bCs/>
                <w:color w:val="0070C0"/>
                <w:sz w:val="20"/>
                <w:szCs w:val="20"/>
                <w:u w:val="single"/>
              </w:rPr>
              <w:t>njoroger</w:t>
            </w:r>
            <w:r w:rsidR="00CA04B1" w:rsidRPr="00FE71CA">
              <w:rPr>
                <w:rFonts w:ascii="Arial" w:hAnsi="Arial" w:cs="Arial"/>
                <w:b/>
                <w:bCs/>
                <w:color w:val="0070C0"/>
                <w:sz w:val="20"/>
                <w:szCs w:val="20"/>
                <w:u w:val="single"/>
              </w:rPr>
              <w:t>@kebs.org</w:t>
            </w:r>
            <w:r w:rsidR="00CA04B1">
              <w:rPr>
                <w:rFonts w:ascii="Arial" w:hAnsi="Arial" w:cs="Arial"/>
                <w:b/>
                <w:bCs/>
                <w:sz w:val="20"/>
                <w:szCs w:val="20"/>
              </w:rPr>
              <w:t>)</w:t>
            </w:r>
          </w:p>
        </w:tc>
      </w:tr>
    </w:tbl>
    <w:p w14:paraId="53D3372C" w14:textId="77777777" w:rsidR="001B427A" w:rsidRDefault="001B427A">
      <w:pPr>
        <w:autoSpaceDE w:val="0"/>
        <w:autoSpaceDN w:val="0"/>
        <w:adjustRightInd w:val="0"/>
        <w:jc w:val="center"/>
        <w:rPr>
          <w:rFonts w:ascii="Arial" w:hAnsi="Arial" w:cs="Arial"/>
          <w:b/>
          <w:bCs/>
          <w:sz w:val="20"/>
          <w:szCs w:val="20"/>
        </w:rPr>
      </w:pPr>
    </w:p>
    <w:p w14:paraId="68F87031"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14:paraId="1DF50682"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14:paraId="5C07629F" w14:textId="77777777"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14:paraId="225F4CD9" w14:textId="77777777"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14:paraId="3D13E791" w14:textId="77777777" w:rsidR="00E369C8" w:rsidRDefault="00E369C8" w:rsidP="00C25ED4">
      <w:pPr>
        <w:tabs>
          <w:tab w:val="right" w:leader="dot" w:pos="3600"/>
        </w:tabs>
        <w:autoSpaceDE w:val="0"/>
        <w:autoSpaceDN w:val="0"/>
        <w:adjustRightInd w:val="0"/>
        <w:rPr>
          <w:rFonts w:ascii="Arial" w:hAnsi="Arial" w:cs="Arial"/>
          <w:bCs/>
          <w:sz w:val="20"/>
          <w:szCs w:val="20"/>
        </w:rPr>
      </w:pPr>
    </w:p>
    <w:p w14:paraId="3FA76B22" w14:textId="0898F844" w:rsidR="00EA55B6" w:rsidRDefault="00EA55B6" w:rsidP="00EA55B6">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3C409D" w:rsidRPr="003C409D">
        <w:rPr>
          <w:rFonts w:ascii="Arial" w:hAnsi="Arial" w:cs="Arial"/>
          <w:color w:val="FF0000"/>
          <w:sz w:val="20"/>
          <w:szCs w:val="20"/>
          <w:u w:val="dotted"/>
        </w:rPr>
        <w:t>IEC 60287-1-1:2006+AMD1:2014 CSV</w:t>
      </w:r>
      <w:r w:rsidR="003C409D">
        <w:rPr>
          <w:rFonts w:ascii="Arial" w:hAnsi="Arial" w:cs="Arial"/>
          <w:color w:val="FF0000"/>
          <w:sz w:val="20"/>
          <w:szCs w:val="20"/>
          <w:u w:val="dotted"/>
        </w:rPr>
        <w:t xml:space="preserve"> </w:t>
      </w:r>
      <w:r w:rsidRPr="00E50228">
        <w:rPr>
          <w:rFonts w:ascii="Arial" w:hAnsi="Arial" w:cs="Arial"/>
          <w:sz w:val="20"/>
          <w:szCs w:val="20"/>
          <w:u w:val="dotted"/>
        </w:rPr>
        <w:t xml:space="preserve">to replace KS </w:t>
      </w:r>
      <w:r w:rsidR="003C409D" w:rsidRPr="003C409D">
        <w:rPr>
          <w:rFonts w:ascii="Arial" w:hAnsi="Arial" w:cs="Arial"/>
          <w:sz w:val="20"/>
          <w:szCs w:val="20"/>
          <w:u w:val="dotted"/>
        </w:rPr>
        <w:t>IEC 60287-1-1:2006</w:t>
      </w:r>
    </w:p>
    <w:p w14:paraId="14C5DFCE" w14:textId="6D4B46ED" w:rsidR="00EA55B6" w:rsidRDefault="00EA55B6" w:rsidP="00EA55B6">
      <w:pPr>
        <w:autoSpaceDE w:val="0"/>
        <w:autoSpaceDN w:val="0"/>
        <w:adjustRightInd w:val="0"/>
        <w:ind w:left="90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rsidR="003C409D">
        <w:rPr>
          <w:rFonts w:ascii="Arial" w:hAnsi="Arial" w:cs="Arial"/>
          <w:sz w:val="20"/>
          <w:szCs w:val="20"/>
        </w:rPr>
        <w:t xml:space="preserve"> </w:t>
      </w:r>
      <w:r w:rsidR="003C409D" w:rsidRPr="00165516">
        <w:rPr>
          <w:rFonts w:ascii="Arial" w:hAnsi="Arial" w:cs="Arial"/>
          <w:sz w:val="20"/>
          <w:szCs w:val="20"/>
          <w:u w:val="dotted"/>
        </w:rPr>
        <w:t>Kenya Standard</w:t>
      </w:r>
      <w:r w:rsidR="003C409D">
        <w:t xml:space="preserve">- </w:t>
      </w:r>
      <w:r w:rsidR="003C409D" w:rsidRPr="003C409D">
        <w:rPr>
          <w:rFonts w:ascii="Arial" w:hAnsi="Arial" w:cs="Arial"/>
          <w:sz w:val="20"/>
          <w:szCs w:val="20"/>
          <w:u w:val="dotted"/>
        </w:rPr>
        <w:t xml:space="preserve">Electric cables - Calculation of the current rating - Part 1-1:Current rating equations (100 % load factor) and calculation of losses </w:t>
      </w:r>
      <w:r w:rsidR="00A17AC8">
        <w:rPr>
          <w:rFonts w:ascii="Arial" w:hAnsi="Arial" w:cs="Arial"/>
          <w:sz w:val="20"/>
          <w:szCs w:val="20"/>
          <w:u w:val="dotted"/>
        </w:rPr>
        <w:t>–</w:t>
      </w:r>
      <w:r w:rsidR="003C409D" w:rsidRPr="003C409D">
        <w:rPr>
          <w:rFonts w:ascii="Arial" w:hAnsi="Arial" w:cs="Arial"/>
          <w:sz w:val="20"/>
          <w:szCs w:val="20"/>
          <w:u w:val="dotted"/>
        </w:rPr>
        <w:t xml:space="preserve"> General</w:t>
      </w:r>
      <w:r w:rsidR="00A17AC8">
        <w:rPr>
          <w:rFonts w:ascii="Arial" w:hAnsi="Arial" w:cs="Arial"/>
          <w:sz w:val="20"/>
          <w:szCs w:val="20"/>
          <w:u w:val="dotted"/>
        </w:rPr>
        <w:t>, First Edition</w:t>
      </w:r>
    </w:p>
    <w:p w14:paraId="09604C58" w14:textId="77777777" w:rsidR="003C409D" w:rsidRPr="00A17AC8" w:rsidRDefault="00EA55B6" w:rsidP="003C409D">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Pr="00C06AA1">
        <w:t xml:space="preserve"> </w:t>
      </w:r>
      <w:r w:rsidR="003C409D" w:rsidRPr="00A17AC8">
        <w:t>IEC 60287-1-1:2006+A1:2014 Applicable to the conditions of steady-state operation of cables at all alternating voltages, and direct voltages up to 5 kV, buried directly in the ground, in ducts, troughs or in steel pipes, both with and without partial drying-out of the soil, as well as cables in air. The term "steady state" is intended to mean a continuous constant current (100 % load factor) just sufficient to produce asymptotically the maximum conductor temperature, the surrounding ambient conditions being assumed constant. Provides formulae for current ratings and losses. The formulae given are essentially literal and designedly leave open the selection of certain important parameters. These may be divided into three groups:</w:t>
      </w:r>
    </w:p>
    <w:p w14:paraId="4E5D8510" w14:textId="77777777" w:rsidR="003C409D" w:rsidRPr="00A17AC8" w:rsidRDefault="003C409D" w:rsidP="003C409D">
      <w:pPr>
        <w:tabs>
          <w:tab w:val="right" w:leader="dot" w:pos="9000"/>
        </w:tabs>
        <w:autoSpaceDE w:val="0"/>
        <w:autoSpaceDN w:val="0"/>
        <w:adjustRightInd w:val="0"/>
        <w:ind w:left="360"/>
      </w:pPr>
      <w:r w:rsidRPr="00A17AC8">
        <w:t>- parameters related to construction of a cable (for example, thermal resistivity of insulating material) for which representative values have been selected based on published work;</w:t>
      </w:r>
    </w:p>
    <w:p w14:paraId="74C6A062" w14:textId="77777777" w:rsidR="003C409D" w:rsidRPr="00A17AC8" w:rsidRDefault="003C409D" w:rsidP="003C409D">
      <w:pPr>
        <w:tabs>
          <w:tab w:val="right" w:leader="dot" w:pos="9000"/>
        </w:tabs>
        <w:autoSpaceDE w:val="0"/>
        <w:autoSpaceDN w:val="0"/>
        <w:adjustRightInd w:val="0"/>
        <w:ind w:left="360"/>
      </w:pPr>
      <w:r w:rsidRPr="00A17AC8">
        <w:t>- parameters related to the surrounding conditions, which may vary widely, the selection of which depends on the country in which the cables are used or are to be used;</w:t>
      </w:r>
    </w:p>
    <w:p w14:paraId="014F5173" w14:textId="77777777" w:rsidR="003C409D" w:rsidRPr="00A17AC8" w:rsidRDefault="003C409D" w:rsidP="003C409D">
      <w:pPr>
        <w:tabs>
          <w:tab w:val="right" w:leader="dot" w:pos="9000"/>
        </w:tabs>
        <w:autoSpaceDE w:val="0"/>
        <w:autoSpaceDN w:val="0"/>
        <w:adjustRightInd w:val="0"/>
        <w:ind w:left="360"/>
      </w:pPr>
      <w:r w:rsidRPr="00A17AC8">
        <w:t xml:space="preserve">- parameters which result from an agreement between manufacturer and user and which involve a margin for security of service (for example, maximum conductor temperature). </w:t>
      </w:r>
    </w:p>
    <w:p w14:paraId="24519220" w14:textId="65D4954F" w:rsidR="00EA55B6" w:rsidRDefault="00A02E61" w:rsidP="00EA55B6">
      <w:pPr>
        <w:tabs>
          <w:tab w:val="right" w:leader="dot" w:pos="3600"/>
        </w:tabs>
        <w:autoSpaceDE w:val="0"/>
        <w:autoSpaceDN w:val="0"/>
        <w:adjustRightInd w:val="0"/>
        <w:ind w:left="360"/>
      </w:pPr>
      <w:hyperlink r:id="rId8" w:history="1">
        <w:r w:rsidR="003C409D" w:rsidRPr="00353CF9">
          <w:rPr>
            <w:rStyle w:val="Hyperlink"/>
          </w:rPr>
          <w:t>https://webstore.iec.ch/publication/1266</w:t>
        </w:r>
      </w:hyperlink>
    </w:p>
    <w:p w14:paraId="4336966B" w14:textId="77777777" w:rsidR="003C409D" w:rsidRDefault="003C409D" w:rsidP="00EA55B6">
      <w:pPr>
        <w:tabs>
          <w:tab w:val="right" w:leader="dot" w:pos="3600"/>
        </w:tabs>
        <w:autoSpaceDE w:val="0"/>
        <w:autoSpaceDN w:val="0"/>
        <w:adjustRightInd w:val="0"/>
        <w:ind w:left="360"/>
        <w:rPr>
          <w:rFonts w:ascii="Arial" w:hAnsi="Arial" w:cs="Arial"/>
          <w:bCs/>
          <w:sz w:val="20"/>
          <w:szCs w:val="20"/>
        </w:rPr>
      </w:pPr>
    </w:p>
    <w:p w14:paraId="685FA426" w14:textId="233C3935" w:rsidR="00DD4D88" w:rsidRPr="00E14B8C" w:rsidRDefault="00DD4D88" w:rsidP="00E14B8C">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00A5709E" w:rsidRPr="00A5709E">
        <w:t xml:space="preserve"> </w:t>
      </w:r>
      <w:r w:rsidR="003C409D" w:rsidRPr="003C409D">
        <w:rPr>
          <w:rFonts w:ascii="Arial" w:hAnsi="Arial" w:cs="Arial"/>
          <w:color w:val="FF0000"/>
          <w:sz w:val="20"/>
          <w:szCs w:val="20"/>
          <w:u w:val="dotted"/>
        </w:rPr>
        <w:t>IEC 60287-2-1:2015</w:t>
      </w:r>
      <w:r w:rsidR="003C409D">
        <w:rPr>
          <w:rFonts w:ascii="Arial" w:hAnsi="Arial" w:cs="Arial"/>
          <w:color w:val="FF0000"/>
          <w:sz w:val="20"/>
          <w:szCs w:val="20"/>
          <w:u w:val="dotted"/>
        </w:rPr>
        <w:t xml:space="preserve"> </w:t>
      </w:r>
      <w:r w:rsidR="00E14B8C">
        <w:rPr>
          <w:rFonts w:ascii="Arial" w:hAnsi="Arial" w:cs="Arial"/>
          <w:sz w:val="20"/>
          <w:szCs w:val="20"/>
          <w:u w:val="dotted"/>
        </w:rPr>
        <w:t xml:space="preserve">To replace KS </w:t>
      </w:r>
      <w:r w:rsidR="003C409D" w:rsidRPr="003C409D">
        <w:rPr>
          <w:rFonts w:ascii="Arial" w:hAnsi="Arial" w:cs="Arial"/>
          <w:sz w:val="20"/>
          <w:szCs w:val="20"/>
          <w:u w:val="dotted"/>
        </w:rPr>
        <w:t>IEC 60287-2-1:2</w:t>
      </w:r>
      <w:r w:rsidR="003C409D">
        <w:rPr>
          <w:rFonts w:ascii="Arial" w:hAnsi="Arial" w:cs="Arial"/>
          <w:sz w:val="20"/>
          <w:szCs w:val="20"/>
          <w:u w:val="dotted"/>
        </w:rPr>
        <w:t>006</w:t>
      </w:r>
    </w:p>
    <w:p w14:paraId="38292D6E" w14:textId="372DC41F" w:rsidR="00DD4D88" w:rsidRPr="002329FB" w:rsidRDefault="00DD4D88" w:rsidP="00A5709E">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rsidR="00A5709E">
        <w:tab/>
      </w:r>
      <w:r w:rsidR="003C409D" w:rsidRPr="00165516">
        <w:rPr>
          <w:rFonts w:ascii="Arial" w:hAnsi="Arial" w:cs="Arial"/>
          <w:sz w:val="20"/>
          <w:szCs w:val="20"/>
          <w:u w:val="dotted"/>
        </w:rPr>
        <w:t>Kenya Standard</w:t>
      </w:r>
      <w:r w:rsidR="003C409D">
        <w:rPr>
          <w:rFonts w:ascii="Arial" w:hAnsi="Arial" w:cs="Arial"/>
          <w:sz w:val="20"/>
          <w:szCs w:val="20"/>
          <w:u w:val="dotted"/>
        </w:rPr>
        <w:t xml:space="preserve">- </w:t>
      </w:r>
      <w:r w:rsidR="003C409D" w:rsidRPr="003C409D">
        <w:rPr>
          <w:rFonts w:ascii="Arial" w:hAnsi="Arial" w:cs="Arial"/>
          <w:sz w:val="20"/>
          <w:szCs w:val="20"/>
          <w:u w:val="dotted"/>
        </w:rPr>
        <w:t>Electric cables - Calculation of the current rating - Part 2-1: Thermal resistance - Calculation of thermal resistance</w:t>
      </w:r>
      <w:r w:rsidR="00A17AC8">
        <w:rPr>
          <w:rFonts w:ascii="Arial" w:hAnsi="Arial" w:cs="Arial"/>
          <w:sz w:val="20"/>
          <w:szCs w:val="20"/>
          <w:u w:val="dotted"/>
        </w:rPr>
        <w:t>, Second Edition</w:t>
      </w:r>
    </w:p>
    <w:p w14:paraId="1EC0B6D2" w14:textId="0187081C" w:rsidR="00DD4D88" w:rsidRPr="00A17AC8" w:rsidRDefault="00DD4D88" w:rsidP="00100E14">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00C06AA1" w:rsidRPr="00C06AA1">
        <w:t xml:space="preserve"> </w:t>
      </w:r>
      <w:bookmarkStart w:id="0" w:name="_GoBack"/>
      <w:bookmarkEnd w:id="0"/>
      <w:r w:rsidR="003C409D" w:rsidRPr="00A17AC8">
        <w:t xml:space="preserve">IEC 60287-2-1:2015 is solely applicable to the conditions of steady-state operation of cables at all alternating voltages, and direct voltages up to 5 kV, buried directly in the </w:t>
      </w:r>
      <w:r w:rsidR="003C409D" w:rsidRPr="00A17AC8">
        <w:lastRenderedPageBreak/>
        <w:t>ground, in ducts, in troughs or in steel pipes, both with and without partial drying-out of the soil, as well as cables in air. The term "steady state" is intended to mean a continuous constant current (100 % load factor) just sufficient to produce asymptotically the maximum conductor temperature, the surrounding ambient conditions being assumed constant.</w:t>
      </w:r>
    </w:p>
    <w:p w14:paraId="3F8C6722" w14:textId="7730A2E2" w:rsidR="00E369C8" w:rsidRDefault="00A02E61" w:rsidP="000D07C9">
      <w:pPr>
        <w:tabs>
          <w:tab w:val="right" w:leader="dot" w:pos="9000"/>
        </w:tabs>
        <w:autoSpaceDE w:val="0"/>
        <w:autoSpaceDN w:val="0"/>
        <w:adjustRightInd w:val="0"/>
        <w:ind w:left="360"/>
      </w:pPr>
      <w:hyperlink r:id="rId9" w:history="1">
        <w:r w:rsidR="003C409D" w:rsidRPr="00353CF9">
          <w:rPr>
            <w:rStyle w:val="Hyperlink"/>
          </w:rPr>
          <w:t>https://webstore.iec.ch/publication/22254</w:t>
        </w:r>
      </w:hyperlink>
    </w:p>
    <w:p w14:paraId="7FAB036A" w14:textId="77777777" w:rsidR="003C409D" w:rsidRPr="00C06AA1" w:rsidRDefault="003C409D" w:rsidP="000D07C9">
      <w:pPr>
        <w:tabs>
          <w:tab w:val="right" w:leader="dot" w:pos="9000"/>
        </w:tabs>
        <w:autoSpaceDE w:val="0"/>
        <w:autoSpaceDN w:val="0"/>
        <w:adjustRightInd w:val="0"/>
        <w:ind w:left="360"/>
        <w:rPr>
          <w:rFonts w:ascii="Arial" w:hAnsi="Arial" w:cs="Arial"/>
          <w:sz w:val="20"/>
          <w:szCs w:val="20"/>
        </w:rPr>
      </w:pPr>
    </w:p>
    <w:p w14:paraId="085D534E" w14:textId="67651E17" w:rsidR="00A5709E" w:rsidRDefault="00A5709E" w:rsidP="00E14B8C">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3C409D" w:rsidRPr="003C409D">
        <w:rPr>
          <w:rFonts w:ascii="Arial" w:hAnsi="Arial" w:cs="Arial"/>
          <w:color w:val="473F3F"/>
          <w:sz w:val="20"/>
          <w:szCs w:val="20"/>
          <w:shd w:val="clear" w:color="auto" w:fill="FFFFFF"/>
        </w:rPr>
        <w:t>IEC 60287-1-2:1993</w:t>
      </w:r>
    </w:p>
    <w:p w14:paraId="7F51838A" w14:textId="66CDD1C6" w:rsidR="00A5709E" w:rsidRPr="00E14B8C" w:rsidRDefault="00A5709E" w:rsidP="00E14B8C">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003C409D" w:rsidRPr="00165516">
        <w:rPr>
          <w:rFonts w:ascii="Arial" w:hAnsi="Arial" w:cs="Arial"/>
          <w:sz w:val="20"/>
          <w:szCs w:val="20"/>
          <w:u w:val="dotted"/>
        </w:rPr>
        <w:t>Kenya Standard</w:t>
      </w:r>
      <w:r w:rsidR="003C409D">
        <w:rPr>
          <w:rFonts w:ascii="Arial" w:hAnsi="Arial" w:cs="Arial"/>
          <w:sz w:val="20"/>
          <w:szCs w:val="20"/>
          <w:u w:val="dotted"/>
        </w:rPr>
        <w:t xml:space="preserve">- </w:t>
      </w:r>
      <w:r w:rsidR="003C409D" w:rsidRPr="003C409D">
        <w:rPr>
          <w:rFonts w:ascii="Arial" w:hAnsi="Arial" w:cs="Arial"/>
          <w:sz w:val="20"/>
          <w:szCs w:val="20"/>
          <w:u w:val="dotted"/>
        </w:rPr>
        <w:t>Electric cables - Calculation of the current rating - Part 1: Current rating equations (100 % load factor) and calculations of losses - Section 2: Sheath eddy current loss factors for two circuits in flat formation</w:t>
      </w:r>
      <w:r w:rsidR="00A17AC8">
        <w:rPr>
          <w:rFonts w:ascii="Arial" w:hAnsi="Arial" w:cs="Arial"/>
          <w:sz w:val="20"/>
          <w:szCs w:val="20"/>
          <w:u w:val="dotted"/>
        </w:rPr>
        <w:t>, Second Edition</w:t>
      </w:r>
    </w:p>
    <w:p w14:paraId="75304BC7" w14:textId="4FD563C9" w:rsidR="00A5709E" w:rsidRPr="000D07C9" w:rsidRDefault="00A5709E" w:rsidP="00A5709E">
      <w:pPr>
        <w:tabs>
          <w:tab w:val="right" w:leader="dot" w:pos="9000"/>
        </w:tabs>
        <w:autoSpaceDE w:val="0"/>
        <w:autoSpaceDN w:val="0"/>
        <w:adjustRightInd w:val="0"/>
        <w:ind w:left="360"/>
        <w:rPr>
          <w:rFonts w:ascii="Arial" w:hAnsi="Arial" w:cs="Arial"/>
          <w:sz w:val="20"/>
          <w:szCs w:val="20"/>
        </w:rPr>
      </w:pPr>
      <w:r w:rsidRPr="000D07C9">
        <w:rPr>
          <w:rFonts w:ascii="Arial" w:hAnsi="Arial" w:cs="Arial"/>
          <w:b/>
          <w:sz w:val="20"/>
          <w:szCs w:val="20"/>
        </w:rPr>
        <w:t>Scope</w:t>
      </w:r>
      <w:r w:rsidRPr="000D07C9">
        <w:rPr>
          <w:rFonts w:ascii="Arial" w:hAnsi="Arial" w:cs="Arial"/>
          <w:sz w:val="20"/>
          <w:szCs w:val="20"/>
        </w:rPr>
        <w:t>:</w:t>
      </w:r>
      <w:r w:rsidR="000D07C9" w:rsidRPr="000D07C9">
        <w:rPr>
          <w:rFonts w:ascii="Arial" w:hAnsi="Arial" w:cs="Arial"/>
          <w:color w:val="473F3F"/>
          <w:sz w:val="20"/>
          <w:szCs w:val="20"/>
          <w:shd w:val="clear" w:color="auto" w:fill="FFFFFF"/>
        </w:rPr>
        <w:t xml:space="preserve"> </w:t>
      </w:r>
      <w:r w:rsidR="00A17AC8" w:rsidRPr="00A17AC8">
        <w:t>Provides a method for calculating the eddy current losses in the metallic sheaths of single-core cables arranged as a three-phase, double-circuit in flat formation.</w:t>
      </w:r>
    </w:p>
    <w:p w14:paraId="70BFEDF0" w14:textId="723F80D6" w:rsidR="00165516" w:rsidRDefault="00A02E61" w:rsidP="00A5709E">
      <w:pPr>
        <w:tabs>
          <w:tab w:val="right" w:leader="dot" w:pos="9000"/>
        </w:tabs>
        <w:autoSpaceDE w:val="0"/>
        <w:autoSpaceDN w:val="0"/>
        <w:adjustRightInd w:val="0"/>
        <w:ind w:left="360"/>
      </w:pPr>
      <w:hyperlink r:id="rId10" w:history="1">
        <w:r w:rsidR="00A17AC8" w:rsidRPr="00353CF9">
          <w:rPr>
            <w:rStyle w:val="Hyperlink"/>
          </w:rPr>
          <w:t>https://webstore.iec.ch/publication/1267</w:t>
        </w:r>
      </w:hyperlink>
    </w:p>
    <w:p w14:paraId="58B84050" w14:textId="77777777" w:rsidR="00A17AC8" w:rsidRDefault="00A17AC8" w:rsidP="00A5709E">
      <w:pPr>
        <w:tabs>
          <w:tab w:val="right" w:leader="dot" w:pos="9000"/>
        </w:tabs>
        <w:autoSpaceDE w:val="0"/>
        <w:autoSpaceDN w:val="0"/>
        <w:adjustRightInd w:val="0"/>
        <w:ind w:left="360"/>
      </w:pPr>
    </w:p>
    <w:p w14:paraId="0E18017C" w14:textId="591C939E" w:rsidR="00165516" w:rsidRDefault="00165516" w:rsidP="00165516">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A17AC8" w:rsidRPr="00A17AC8">
        <w:rPr>
          <w:rFonts w:ascii="Arial" w:hAnsi="Arial" w:cs="Arial"/>
          <w:sz w:val="20"/>
          <w:szCs w:val="20"/>
          <w:u w:val="dotted"/>
        </w:rPr>
        <w:t>IEC 60287-1-3:2002</w:t>
      </w:r>
    </w:p>
    <w:p w14:paraId="49FD97BC" w14:textId="07198B58" w:rsidR="00165516" w:rsidRPr="00165516" w:rsidRDefault="00165516" w:rsidP="00165516">
      <w:pPr>
        <w:autoSpaceDE w:val="0"/>
        <w:autoSpaceDN w:val="0"/>
        <w:adjustRightInd w:val="0"/>
        <w:ind w:left="900" w:hanging="540"/>
        <w:rPr>
          <w:rFonts w:ascii="Arial" w:hAnsi="Arial" w:cs="Arial"/>
          <w:sz w:val="20"/>
          <w:szCs w:val="20"/>
        </w:rPr>
      </w:pPr>
      <w:r w:rsidRPr="00165516">
        <w:rPr>
          <w:rFonts w:ascii="Arial" w:hAnsi="Arial" w:cs="Arial"/>
          <w:b/>
          <w:sz w:val="20"/>
          <w:szCs w:val="20"/>
        </w:rPr>
        <w:t>Title</w:t>
      </w:r>
      <w:r w:rsidRPr="00165516">
        <w:rPr>
          <w:rFonts w:ascii="Arial" w:hAnsi="Arial" w:cs="Arial"/>
          <w:sz w:val="20"/>
          <w:szCs w:val="20"/>
        </w:rPr>
        <w:t>:</w:t>
      </w:r>
      <w:r w:rsidRPr="00165516">
        <w:rPr>
          <w:rFonts w:ascii="Arial" w:hAnsi="Arial" w:cs="Arial"/>
          <w:sz w:val="20"/>
          <w:szCs w:val="20"/>
        </w:rPr>
        <w:tab/>
      </w:r>
      <w:r w:rsidRPr="00165516">
        <w:rPr>
          <w:rFonts w:ascii="Arial" w:hAnsi="Arial" w:cs="Arial"/>
          <w:sz w:val="20"/>
          <w:szCs w:val="20"/>
          <w:u w:val="dotted"/>
        </w:rPr>
        <w:t xml:space="preserve">Kenya Standard —  </w:t>
      </w:r>
      <w:r w:rsidR="00A17AC8" w:rsidRPr="00A17AC8">
        <w:rPr>
          <w:rFonts w:ascii="Arial" w:hAnsi="Arial" w:cs="Arial"/>
          <w:sz w:val="20"/>
          <w:szCs w:val="20"/>
          <w:shd w:val="clear" w:color="auto" w:fill="FFFFFF"/>
        </w:rPr>
        <w:t>Electric cables - Calculation of the current rating - Part 1-3: Current rating equations (100 % load factor) and calculation of losses - Current sharing between parallel single-core cables and calculation of circulating current losses</w:t>
      </w:r>
      <w:r w:rsidRPr="00165516">
        <w:rPr>
          <w:rFonts w:ascii="Arial" w:hAnsi="Arial" w:cs="Arial"/>
          <w:sz w:val="20"/>
          <w:szCs w:val="20"/>
          <w:u w:val="dotted"/>
        </w:rPr>
        <w:t xml:space="preserve">, </w:t>
      </w:r>
      <w:r w:rsidR="00A17AC8">
        <w:rPr>
          <w:rFonts w:ascii="Arial" w:hAnsi="Arial" w:cs="Arial"/>
          <w:sz w:val="20"/>
          <w:szCs w:val="20"/>
          <w:u w:val="dotted"/>
        </w:rPr>
        <w:t>First</w:t>
      </w:r>
      <w:r w:rsidRPr="00165516">
        <w:rPr>
          <w:rFonts w:ascii="Arial" w:hAnsi="Arial" w:cs="Arial"/>
          <w:sz w:val="20"/>
          <w:szCs w:val="20"/>
          <w:u w:val="dotted"/>
        </w:rPr>
        <w:t xml:space="preserve"> Edition</w:t>
      </w:r>
    </w:p>
    <w:p w14:paraId="20B2EF26" w14:textId="6B4025B2" w:rsidR="00165516" w:rsidRPr="008B48FF" w:rsidRDefault="00165516" w:rsidP="00165516">
      <w:pPr>
        <w:tabs>
          <w:tab w:val="right" w:leader="dot" w:pos="9000"/>
        </w:tabs>
        <w:autoSpaceDE w:val="0"/>
        <w:autoSpaceDN w:val="0"/>
        <w:adjustRightInd w:val="0"/>
        <w:ind w:left="360"/>
        <w:rPr>
          <w:rFonts w:ascii="Arial" w:hAnsi="Arial" w:cs="Arial"/>
          <w:sz w:val="20"/>
          <w:szCs w:val="20"/>
        </w:rPr>
      </w:pPr>
      <w:r w:rsidRPr="008B48FF">
        <w:rPr>
          <w:rFonts w:ascii="Arial" w:hAnsi="Arial" w:cs="Arial"/>
          <w:b/>
          <w:sz w:val="20"/>
          <w:szCs w:val="20"/>
        </w:rPr>
        <w:t>Scope</w:t>
      </w:r>
      <w:r w:rsidRPr="008B48FF">
        <w:rPr>
          <w:rFonts w:ascii="Arial" w:hAnsi="Arial" w:cs="Arial"/>
          <w:sz w:val="20"/>
          <w:szCs w:val="20"/>
        </w:rPr>
        <w:t xml:space="preserve">: </w:t>
      </w:r>
      <w:r w:rsidR="00A17AC8" w:rsidRPr="00A17AC8">
        <w:t>Provides a method for calculating the phase currents and circulating current losses in single-core cables arranged in parallel. The method described in this standard can be used for any number of cables per phase in parallel in any physical layout. The phase currents can be calculated for any arrangement of sheath bonding. For the calculation of sheath losses, it is assumed that the sheaths are bonded at both ends. A method for calculating sheath eddy current losses in two circuits in flat formation is given in IEC 60287-1-2.</w:t>
      </w:r>
    </w:p>
    <w:p w14:paraId="480A81E8" w14:textId="7B902A14" w:rsidR="00165516" w:rsidRDefault="00A02E61" w:rsidP="00A5709E">
      <w:pPr>
        <w:tabs>
          <w:tab w:val="right" w:leader="dot" w:pos="9000"/>
        </w:tabs>
        <w:autoSpaceDE w:val="0"/>
        <w:autoSpaceDN w:val="0"/>
        <w:adjustRightInd w:val="0"/>
        <w:ind w:left="360"/>
      </w:pPr>
      <w:hyperlink r:id="rId11" w:history="1">
        <w:r w:rsidR="00A17AC8" w:rsidRPr="00353CF9">
          <w:rPr>
            <w:rStyle w:val="Hyperlink"/>
          </w:rPr>
          <w:t>https://webstore.iec.ch/publication/1268</w:t>
        </w:r>
      </w:hyperlink>
    </w:p>
    <w:p w14:paraId="192C3A39" w14:textId="77777777" w:rsidR="00A17AC8" w:rsidRDefault="00A17AC8" w:rsidP="00A5709E">
      <w:pPr>
        <w:tabs>
          <w:tab w:val="right" w:leader="dot" w:pos="9000"/>
        </w:tabs>
        <w:autoSpaceDE w:val="0"/>
        <w:autoSpaceDN w:val="0"/>
        <w:adjustRightInd w:val="0"/>
        <w:ind w:left="360"/>
        <w:rPr>
          <w:rFonts w:ascii="Arial" w:hAnsi="Arial" w:cs="Arial"/>
          <w:sz w:val="20"/>
          <w:szCs w:val="20"/>
        </w:rPr>
      </w:pPr>
    </w:p>
    <w:p w14:paraId="56268F33" w14:textId="77EF7E4D" w:rsidR="007D5790" w:rsidRDefault="007D5790" w:rsidP="00E14B8C">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A17AC8" w:rsidRPr="00A17AC8">
        <w:rPr>
          <w:rFonts w:ascii="Arial" w:hAnsi="Arial" w:cs="Arial"/>
          <w:sz w:val="20"/>
          <w:szCs w:val="20"/>
          <w:u w:val="dotted"/>
        </w:rPr>
        <w:t>IEC 60287-2-3:2017</w:t>
      </w:r>
    </w:p>
    <w:p w14:paraId="20508347" w14:textId="4B41698A" w:rsidR="007D5790" w:rsidRDefault="007D5790" w:rsidP="00E14B8C">
      <w:pPr>
        <w:ind w:left="36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E14B8C" w:rsidRPr="00E14B8C">
        <w:rPr>
          <w:rFonts w:ascii="Arial" w:hAnsi="Arial" w:cs="Arial"/>
          <w:sz w:val="20"/>
          <w:szCs w:val="20"/>
          <w:u w:val="dotted"/>
        </w:rPr>
        <w:t xml:space="preserve">Kenya Standard —  </w:t>
      </w:r>
      <w:r w:rsidR="00A17AC8" w:rsidRPr="00A17AC8">
        <w:rPr>
          <w:rFonts w:ascii="Arial" w:hAnsi="Arial" w:cs="Arial"/>
          <w:sz w:val="20"/>
          <w:szCs w:val="20"/>
          <w:u w:val="dotted"/>
        </w:rPr>
        <w:t>Electric cables - Calculation of the current rating - Part 2-3: Thermal resistance - Cables installed in ventilated tunnels</w:t>
      </w:r>
      <w:r w:rsidR="00A17AC8">
        <w:rPr>
          <w:rFonts w:ascii="Arial" w:hAnsi="Arial" w:cs="Arial"/>
          <w:sz w:val="20"/>
          <w:szCs w:val="20"/>
          <w:u w:val="dotted"/>
        </w:rPr>
        <w:t>, First</w:t>
      </w:r>
      <w:r w:rsidR="00E14B8C" w:rsidRPr="00E14B8C">
        <w:rPr>
          <w:rFonts w:ascii="Arial" w:hAnsi="Arial" w:cs="Arial"/>
          <w:sz w:val="20"/>
          <w:szCs w:val="20"/>
          <w:u w:val="dotted"/>
        </w:rPr>
        <w:t xml:space="preserve"> Edition</w:t>
      </w:r>
    </w:p>
    <w:p w14:paraId="07F0B887" w14:textId="77777777" w:rsidR="00A17AC8" w:rsidRPr="00A17AC8" w:rsidRDefault="007D5790" w:rsidP="00A17AC8">
      <w:pPr>
        <w:tabs>
          <w:tab w:val="right" w:leader="dot" w:pos="9000"/>
        </w:tabs>
        <w:autoSpaceDE w:val="0"/>
        <w:autoSpaceDN w:val="0"/>
        <w:adjustRightInd w:val="0"/>
        <w:ind w:left="360"/>
      </w:pPr>
      <w:r w:rsidRPr="00625609">
        <w:rPr>
          <w:rFonts w:ascii="Arial" w:hAnsi="Arial" w:cs="Arial"/>
          <w:b/>
          <w:sz w:val="20"/>
          <w:szCs w:val="20"/>
        </w:rPr>
        <w:t>Scope</w:t>
      </w:r>
      <w:r w:rsidRPr="00625609">
        <w:rPr>
          <w:rFonts w:ascii="Arial" w:hAnsi="Arial" w:cs="Arial"/>
          <w:sz w:val="20"/>
          <w:szCs w:val="20"/>
        </w:rPr>
        <w:t>:</w:t>
      </w:r>
      <w:r w:rsidR="00C06AA1" w:rsidRPr="00625609">
        <w:rPr>
          <w:rFonts w:ascii="Arial" w:hAnsi="Arial" w:cs="Arial"/>
          <w:sz w:val="20"/>
          <w:szCs w:val="20"/>
        </w:rPr>
        <w:t xml:space="preserve"> </w:t>
      </w:r>
      <w:r w:rsidR="00A17AC8" w:rsidRPr="00A17AC8">
        <w:t>IEC 60287-2-3:2017 describes a method for calculating the continuous current rating factor for cables of all voltages installed in ventilated tunnels. The method is applicable to any type of cable.</w:t>
      </w:r>
    </w:p>
    <w:p w14:paraId="38E3CA31" w14:textId="77777777" w:rsidR="00A17AC8" w:rsidRPr="00A17AC8" w:rsidRDefault="00A17AC8" w:rsidP="00A17AC8">
      <w:pPr>
        <w:tabs>
          <w:tab w:val="right" w:leader="dot" w:pos="9000"/>
        </w:tabs>
        <w:autoSpaceDE w:val="0"/>
        <w:autoSpaceDN w:val="0"/>
        <w:adjustRightInd w:val="0"/>
        <w:ind w:left="360"/>
      </w:pPr>
      <w:r w:rsidRPr="00A17AC8">
        <w:t>The method applies to natural as well as forced ventilation.</w:t>
      </w:r>
    </w:p>
    <w:p w14:paraId="15D087A7" w14:textId="77777777" w:rsidR="00A17AC8" w:rsidRPr="00A17AC8" w:rsidRDefault="00A17AC8" w:rsidP="00A17AC8">
      <w:pPr>
        <w:tabs>
          <w:tab w:val="right" w:leader="dot" w:pos="9000"/>
        </w:tabs>
        <w:autoSpaceDE w:val="0"/>
        <w:autoSpaceDN w:val="0"/>
        <w:adjustRightInd w:val="0"/>
        <w:ind w:left="360"/>
      </w:pPr>
      <w:r w:rsidRPr="00A17AC8">
        <w:t>Longitudinal heat transfer within the cables and the surroundings of the tunnel is assumed to be negligible.</w:t>
      </w:r>
    </w:p>
    <w:p w14:paraId="4BC8F5E9" w14:textId="7BF0E0F0" w:rsidR="007D5790" w:rsidRPr="00A17AC8" w:rsidRDefault="00A17AC8" w:rsidP="00A17AC8">
      <w:pPr>
        <w:tabs>
          <w:tab w:val="right" w:leader="dot" w:pos="9000"/>
        </w:tabs>
        <w:autoSpaceDE w:val="0"/>
        <w:autoSpaceDN w:val="0"/>
        <w:adjustRightInd w:val="0"/>
        <w:ind w:left="360"/>
      </w:pPr>
      <w:r w:rsidRPr="00A17AC8">
        <w:t>All cables are assumed to be identical within the tunnel and it is assumed that the tunnel cross-section does not change with distance along the tunnel.</w:t>
      </w:r>
    </w:p>
    <w:p w14:paraId="3D09C2E6" w14:textId="5977EA6C" w:rsidR="00E369C8" w:rsidRDefault="00A02E61" w:rsidP="00476061">
      <w:pPr>
        <w:tabs>
          <w:tab w:val="right" w:leader="dot" w:pos="9000"/>
        </w:tabs>
        <w:autoSpaceDE w:val="0"/>
        <w:autoSpaceDN w:val="0"/>
        <w:adjustRightInd w:val="0"/>
        <w:ind w:left="360"/>
      </w:pPr>
      <w:hyperlink r:id="rId12" w:history="1">
        <w:r w:rsidR="00A17AC8" w:rsidRPr="00353CF9">
          <w:rPr>
            <w:rStyle w:val="Hyperlink"/>
          </w:rPr>
          <w:t>https://webstore.iec.ch/publication/28493</w:t>
        </w:r>
      </w:hyperlink>
    </w:p>
    <w:p w14:paraId="3FAEEAC0" w14:textId="77777777" w:rsidR="00A17AC8" w:rsidRDefault="00A17AC8" w:rsidP="00476061">
      <w:pPr>
        <w:tabs>
          <w:tab w:val="right" w:leader="dot" w:pos="9000"/>
        </w:tabs>
        <w:autoSpaceDE w:val="0"/>
        <w:autoSpaceDN w:val="0"/>
        <w:adjustRightInd w:val="0"/>
        <w:ind w:left="360"/>
        <w:rPr>
          <w:rFonts w:ascii="Arial" w:hAnsi="Arial" w:cs="Arial"/>
          <w:sz w:val="20"/>
          <w:szCs w:val="20"/>
        </w:rPr>
      </w:pPr>
    </w:p>
    <w:p w14:paraId="3A86BFB5" w14:textId="105340BB" w:rsidR="00E14B8C" w:rsidRDefault="00E14B8C" w:rsidP="00E14B8C">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A17AC8" w:rsidRPr="00A17AC8">
        <w:rPr>
          <w:rFonts w:ascii="Arial" w:hAnsi="Arial" w:cs="Arial"/>
          <w:sz w:val="20"/>
          <w:szCs w:val="20"/>
          <w:u w:val="dotted"/>
        </w:rPr>
        <w:t>IEC 60287-3-1:2017</w:t>
      </w:r>
    </w:p>
    <w:p w14:paraId="5E754789" w14:textId="34010DD8" w:rsidR="00E14B8C" w:rsidRPr="00A94A7D" w:rsidRDefault="00E14B8C" w:rsidP="00A94A7D">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A94A7D" w:rsidRPr="00A94A7D">
        <w:rPr>
          <w:rFonts w:ascii="Arial" w:hAnsi="Arial" w:cs="Arial"/>
          <w:sz w:val="20"/>
          <w:szCs w:val="20"/>
          <w:u w:val="dotted"/>
        </w:rPr>
        <w:t xml:space="preserve">Kenya Standard —  </w:t>
      </w:r>
      <w:r w:rsidR="00A17AC8" w:rsidRPr="00A17AC8">
        <w:rPr>
          <w:rFonts w:ascii="Arial" w:hAnsi="Arial" w:cs="Arial"/>
          <w:sz w:val="20"/>
          <w:szCs w:val="20"/>
          <w:u w:val="dotted"/>
        </w:rPr>
        <w:t>Electric cables - Calculation of the current rating - Part 3-1: Operating conditions - Site reference conditions</w:t>
      </w:r>
      <w:r w:rsidR="00A94A7D" w:rsidRPr="00A94A7D">
        <w:rPr>
          <w:rFonts w:ascii="Arial" w:hAnsi="Arial" w:cs="Arial"/>
          <w:sz w:val="20"/>
          <w:szCs w:val="20"/>
          <w:u w:val="dotted"/>
        </w:rPr>
        <w:t xml:space="preserve">, </w:t>
      </w:r>
      <w:r w:rsidR="00A17AC8">
        <w:rPr>
          <w:rFonts w:ascii="Arial" w:hAnsi="Arial" w:cs="Arial"/>
          <w:sz w:val="20"/>
          <w:szCs w:val="20"/>
          <w:u w:val="dotted"/>
        </w:rPr>
        <w:t>First</w:t>
      </w:r>
      <w:r w:rsidR="00A94A7D" w:rsidRPr="00A94A7D">
        <w:rPr>
          <w:rFonts w:ascii="Arial" w:hAnsi="Arial" w:cs="Arial"/>
          <w:sz w:val="20"/>
          <w:szCs w:val="20"/>
          <w:u w:val="dotted"/>
        </w:rPr>
        <w:t xml:space="preserve"> Edition</w:t>
      </w:r>
    </w:p>
    <w:p w14:paraId="223F2652" w14:textId="77777777" w:rsidR="00A17AC8" w:rsidRDefault="00E14B8C" w:rsidP="00A17AC8">
      <w:pPr>
        <w:tabs>
          <w:tab w:val="right" w:leader="dot" w:pos="9000"/>
        </w:tabs>
        <w:autoSpaceDE w:val="0"/>
        <w:autoSpaceDN w:val="0"/>
        <w:adjustRightInd w:val="0"/>
        <w:ind w:left="360"/>
      </w:pPr>
      <w:r w:rsidRPr="008B48FF">
        <w:rPr>
          <w:rFonts w:ascii="Arial" w:hAnsi="Arial" w:cs="Arial"/>
          <w:b/>
          <w:sz w:val="20"/>
          <w:szCs w:val="20"/>
        </w:rPr>
        <w:lastRenderedPageBreak/>
        <w:t>Scope</w:t>
      </w:r>
      <w:r w:rsidRPr="008B48FF">
        <w:rPr>
          <w:rFonts w:ascii="Arial" w:hAnsi="Arial" w:cs="Arial"/>
          <w:sz w:val="20"/>
          <w:szCs w:val="20"/>
        </w:rPr>
        <w:t xml:space="preserve">: </w:t>
      </w:r>
      <w:r w:rsidR="00A17AC8">
        <w:t>IEC 60287-3-1:2017 is applicable to the conditions of steady-state operation of cables at all voltages, buried directly in the ground, in ducts, troughs or in steel pipes, both with and without partial drying-out of the soil, as well as cables in air. The term "steady state" is intended to mean a continuous constant current (100 % load factor) just sufficient to produce asymptotically the maximum conductor temperature, the surrounding ambient conditions being assumed constant. This document defines site reference conditions, however the general values are superseded by specific national requirements. This edition includes the following significant technical changes with respect to the previous edition:</w:t>
      </w:r>
      <w:r w:rsidR="00A17AC8">
        <w:br/>
        <w:t>- the updated list of national laying conditions is now covered in Annex A;</w:t>
      </w:r>
      <w:r w:rsidR="00A17AC8">
        <w:br/>
        <w:t xml:space="preserve">- Clause 5 about the information required from the purchaser for the selection of the appropriate type of cable has been removed. </w:t>
      </w:r>
    </w:p>
    <w:p w14:paraId="3152C198" w14:textId="0FF1A6DB" w:rsidR="00E369C8" w:rsidRDefault="00A02E61" w:rsidP="008B48FF">
      <w:pPr>
        <w:spacing w:before="0" w:after="0"/>
        <w:ind w:left="360"/>
        <w:jc w:val="left"/>
      </w:pPr>
      <w:hyperlink r:id="rId13" w:history="1">
        <w:r w:rsidR="00A17AC8" w:rsidRPr="00353CF9">
          <w:rPr>
            <w:rStyle w:val="Hyperlink"/>
          </w:rPr>
          <w:t>https://webstore.iec.ch/publication/60845</w:t>
        </w:r>
      </w:hyperlink>
    </w:p>
    <w:p w14:paraId="4E5A6B84" w14:textId="77777777" w:rsidR="00A17AC8" w:rsidRDefault="00A17AC8" w:rsidP="008B48FF">
      <w:pPr>
        <w:spacing w:before="0" w:after="0"/>
        <w:ind w:left="360"/>
        <w:jc w:val="left"/>
        <w:rPr>
          <w:rFonts w:ascii="Arial" w:hAnsi="Arial" w:cs="Arial"/>
          <w:b/>
          <w:sz w:val="20"/>
          <w:szCs w:val="20"/>
        </w:rPr>
      </w:pPr>
    </w:p>
    <w:p w14:paraId="4ED9A81A" w14:textId="10D57A36" w:rsidR="00A94A7D" w:rsidRDefault="00A94A7D" w:rsidP="00507CB4">
      <w:pPr>
        <w:numPr>
          <w:ilvl w:val="0"/>
          <w:numId w:val="53"/>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A17AC8" w:rsidRPr="00A17AC8">
        <w:rPr>
          <w:rFonts w:ascii="Arial" w:hAnsi="Arial" w:cs="Arial"/>
          <w:sz w:val="20"/>
          <w:szCs w:val="20"/>
          <w:u w:val="dotted"/>
        </w:rPr>
        <w:t>IEC 60287-3-2:2012</w:t>
      </w:r>
    </w:p>
    <w:p w14:paraId="0F12DD04" w14:textId="040C6379" w:rsidR="00A94A7D" w:rsidRPr="00507CB4" w:rsidRDefault="00A94A7D" w:rsidP="00507CB4">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507CB4" w:rsidRPr="00E50228">
        <w:rPr>
          <w:rFonts w:ascii="Arial" w:hAnsi="Arial" w:cs="Arial"/>
          <w:sz w:val="20"/>
          <w:szCs w:val="20"/>
          <w:u w:val="dotted"/>
        </w:rPr>
        <w:t xml:space="preserve">Kenya Standard —  </w:t>
      </w:r>
      <w:r w:rsidR="00A17AC8" w:rsidRPr="00A17AC8">
        <w:rPr>
          <w:rFonts w:ascii="Arial" w:hAnsi="Arial" w:cs="Arial"/>
          <w:sz w:val="20"/>
          <w:szCs w:val="20"/>
          <w:u w:val="dotted"/>
        </w:rPr>
        <w:t>Electric cables - Calculation of the current rating - Part 3-2: Sections on operating conditions - Economic optimization of power cable size</w:t>
      </w:r>
      <w:r w:rsidR="00A17AC8">
        <w:rPr>
          <w:rFonts w:ascii="Arial" w:hAnsi="Arial" w:cs="Arial"/>
          <w:sz w:val="20"/>
          <w:szCs w:val="20"/>
          <w:u w:val="dotted"/>
        </w:rPr>
        <w:t>, First Edition</w:t>
      </w:r>
    </w:p>
    <w:p w14:paraId="61B5A7AF" w14:textId="36FF4C61" w:rsidR="00A94A7D" w:rsidRPr="00EE47D3" w:rsidRDefault="00A94A7D" w:rsidP="00A94A7D">
      <w:pPr>
        <w:tabs>
          <w:tab w:val="right" w:leader="dot" w:pos="9000"/>
        </w:tabs>
        <w:autoSpaceDE w:val="0"/>
        <w:autoSpaceDN w:val="0"/>
        <w:adjustRightInd w:val="0"/>
        <w:ind w:left="360"/>
        <w:rPr>
          <w:rFonts w:ascii="Arial" w:hAnsi="Arial" w:cs="Arial"/>
          <w:sz w:val="20"/>
          <w:szCs w:val="20"/>
        </w:rPr>
      </w:pPr>
      <w:r w:rsidRPr="00EE47D3">
        <w:rPr>
          <w:rFonts w:ascii="Arial" w:hAnsi="Arial" w:cs="Arial"/>
          <w:b/>
          <w:sz w:val="20"/>
          <w:szCs w:val="20"/>
        </w:rPr>
        <w:t>Scope</w:t>
      </w:r>
      <w:r w:rsidRPr="00EE47D3">
        <w:rPr>
          <w:rFonts w:ascii="Arial" w:hAnsi="Arial" w:cs="Arial"/>
          <w:sz w:val="20"/>
          <w:szCs w:val="20"/>
        </w:rPr>
        <w:t xml:space="preserve">: </w:t>
      </w:r>
      <w:r w:rsidR="00A17AC8">
        <w:t>IEC 60287-3-2:2012 sets out a method for the selection of a cable size taking into account the initial investments and the future costs of energy losses during the anticipated operational life of the cable. Matters such as maintenance, energy losses in forced cooling systems and time of day energy costs have not been included in this standard. Two examples of the application of the method to hypothetical supply systems are given in Annex A.</w:t>
      </w:r>
    </w:p>
    <w:p w14:paraId="36DA02D4" w14:textId="1CEFC4A6" w:rsidR="00E369C8" w:rsidRDefault="00A02E61" w:rsidP="00A94A7D">
      <w:pPr>
        <w:tabs>
          <w:tab w:val="right" w:leader="dot" w:pos="9000"/>
        </w:tabs>
        <w:autoSpaceDE w:val="0"/>
        <w:autoSpaceDN w:val="0"/>
        <w:adjustRightInd w:val="0"/>
        <w:ind w:left="360"/>
      </w:pPr>
      <w:hyperlink r:id="rId14" w:history="1">
        <w:r w:rsidR="00A17AC8" w:rsidRPr="00353CF9">
          <w:rPr>
            <w:rStyle w:val="Hyperlink"/>
          </w:rPr>
          <w:t>https://webstore.iec.ch/publication/1279</w:t>
        </w:r>
      </w:hyperlink>
    </w:p>
    <w:p w14:paraId="3F31DD1D" w14:textId="77777777" w:rsidR="00A17AC8" w:rsidRDefault="00A17AC8" w:rsidP="00A94A7D">
      <w:pPr>
        <w:tabs>
          <w:tab w:val="right" w:leader="dot" w:pos="9000"/>
        </w:tabs>
        <w:autoSpaceDE w:val="0"/>
        <w:autoSpaceDN w:val="0"/>
        <w:adjustRightInd w:val="0"/>
        <w:ind w:left="360"/>
      </w:pPr>
    </w:p>
    <w:p w14:paraId="64AB594D" w14:textId="15E9C7A3" w:rsidR="00507CB4" w:rsidRPr="00EE47D3" w:rsidRDefault="00507CB4" w:rsidP="008804E0">
      <w:pPr>
        <w:numPr>
          <w:ilvl w:val="0"/>
          <w:numId w:val="53"/>
        </w:numPr>
        <w:autoSpaceDE w:val="0"/>
        <w:autoSpaceDN w:val="0"/>
        <w:adjustRightInd w:val="0"/>
        <w:rPr>
          <w:rFonts w:ascii="Arial" w:hAnsi="Arial" w:cs="Arial"/>
          <w:sz w:val="20"/>
          <w:szCs w:val="20"/>
        </w:rPr>
      </w:pPr>
      <w:r w:rsidRPr="00EE47D3">
        <w:rPr>
          <w:rFonts w:ascii="Arial" w:hAnsi="Arial" w:cs="Arial"/>
          <w:b/>
          <w:sz w:val="20"/>
          <w:szCs w:val="20"/>
        </w:rPr>
        <w:t>Number</w:t>
      </w:r>
      <w:r w:rsidRPr="00EE47D3">
        <w:rPr>
          <w:rFonts w:ascii="Arial" w:hAnsi="Arial" w:cs="Arial"/>
          <w:sz w:val="20"/>
          <w:szCs w:val="20"/>
        </w:rPr>
        <w:t xml:space="preserve">: </w:t>
      </w:r>
      <w:r w:rsidR="00A17AC8" w:rsidRPr="00A17AC8">
        <w:rPr>
          <w:rFonts w:ascii="Arial" w:hAnsi="Arial" w:cs="Arial"/>
          <w:sz w:val="20"/>
          <w:szCs w:val="20"/>
          <w:u w:val="dotted"/>
        </w:rPr>
        <w:t>IEC 60287-3-3:2007</w:t>
      </w:r>
    </w:p>
    <w:p w14:paraId="1C8DDA75" w14:textId="6C967184" w:rsidR="00507CB4" w:rsidRPr="00EE47D3" w:rsidRDefault="00507CB4" w:rsidP="008804E0">
      <w:pPr>
        <w:autoSpaceDE w:val="0"/>
        <w:autoSpaceDN w:val="0"/>
        <w:adjustRightInd w:val="0"/>
        <w:ind w:left="900" w:hanging="540"/>
        <w:rPr>
          <w:rFonts w:ascii="Arial" w:hAnsi="Arial" w:cs="Arial"/>
          <w:sz w:val="20"/>
          <w:szCs w:val="20"/>
        </w:rPr>
      </w:pPr>
      <w:r w:rsidRPr="00EE47D3">
        <w:rPr>
          <w:rFonts w:ascii="Arial" w:hAnsi="Arial" w:cs="Arial"/>
          <w:b/>
          <w:sz w:val="20"/>
          <w:szCs w:val="20"/>
        </w:rPr>
        <w:t>Title</w:t>
      </w:r>
      <w:r w:rsidRPr="00EE47D3">
        <w:rPr>
          <w:rFonts w:ascii="Arial" w:hAnsi="Arial" w:cs="Arial"/>
          <w:sz w:val="20"/>
          <w:szCs w:val="20"/>
        </w:rPr>
        <w:t>:</w:t>
      </w:r>
      <w:r w:rsidRPr="00EE47D3">
        <w:rPr>
          <w:rFonts w:ascii="Arial" w:hAnsi="Arial" w:cs="Arial"/>
          <w:sz w:val="20"/>
          <w:szCs w:val="20"/>
        </w:rPr>
        <w:tab/>
      </w:r>
      <w:r w:rsidR="008804E0" w:rsidRPr="00EE47D3">
        <w:rPr>
          <w:rFonts w:ascii="Arial" w:hAnsi="Arial" w:cs="Arial"/>
          <w:sz w:val="20"/>
          <w:szCs w:val="20"/>
          <w:u w:val="dotted"/>
        </w:rPr>
        <w:t xml:space="preserve">Kenya Standard —  </w:t>
      </w:r>
      <w:r w:rsidR="00A17AC8" w:rsidRPr="00A17AC8">
        <w:rPr>
          <w:rFonts w:ascii="Arial" w:hAnsi="Arial" w:cs="Arial"/>
          <w:sz w:val="20"/>
          <w:szCs w:val="20"/>
          <w:shd w:val="clear" w:color="auto" w:fill="FFFFFF"/>
        </w:rPr>
        <w:t>Electric cables - Calculation of the current rating - Part 3-3: Sections on operating conditions - Cables crossing external heat sources</w:t>
      </w:r>
      <w:r w:rsidR="00A17AC8">
        <w:rPr>
          <w:rFonts w:ascii="Arial" w:hAnsi="Arial" w:cs="Arial"/>
          <w:sz w:val="20"/>
          <w:szCs w:val="20"/>
          <w:shd w:val="clear" w:color="auto" w:fill="FFFFFF"/>
        </w:rPr>
        <w:t>, First Edition</w:t>
      </w:r>
    </w:p>
    <w:p w14:paraId="09027B2C" w14:textId="1905A7C5" w:rsidR="00507CB4" w:rsidRPr="00EE47D3" w:rsidRDefault="00507CB4" w:rsidP="00507CB4">
      <w:pPr>
        <w:tabs>
          <w:tab w:val="right" w:leader="dot" w:pos="9000"/>
        </w:tabs>
        <w:autoSpaceDE w:val="0"/>
        <w:autoSpaceDN w:val="0"/>
        <w:adjustRightInd w:val="0"/>
        <w:ind w:left="360"/>
        <w:rPr>
          <w:rFonts w:ascii="Arial" w:hAnsi="Arial" w:cs="Arial"/>
          <w:sz w:val="20"/>
          <w:szCs w:val="20"/>
          <w:shd w:val="clear" w:color="auto" w:fill="FFFFFF"/>
        </w:rPr>
      </w:pPr>
      <w:r w:rsidRPr="00EE47D3">
        <w:rPr>
          <w:rFonts w:ascii="Arial" w:hAnsi="Arial" w:cs="Arial"/>
          <w:b/>
          <w:sz w:val="20"/>
          <w:szCs w:val="20"/>
        </w:rPr>
        <w:t>Scope</w:t>
      </w:r>
      <w:r w:rsidRPr="00EE47D3">
        <w:rPr>
          <w:rFonts w:ascii="Arial" w:hAnsi="Arial" w:cs="Arial"/>
          <w:sz w:val="20"/>
          <w:szCs w:val="20"/>
        </w:rPr>
        <w:t xml:space="preserve">: </w:t>
      </w:r>
      <w:r w:rsidR="00A17AC8">
        <w:t>Describes a method for calculating the continuous current rating factor for cables of all voltages where crossings of external heat sources are involved. The method is applicable to any type of cable. The method assumes that the entire region surrounding a cable, or cables, has uniform thermal characteristics and that the principle of superposition applies. The principle of superposition does not strictly apply to touching cables and hence the calculation method set out in this standard will produce an optimistic result if applied to touching cables.</w:t>
      </w:r>
    </w:p>
    <w:p w14:paraId="799D02B4" w14:textId="469C62EA" w:rsidR="00EE47D3" w:rsidRDefault="00A02E61" w:rsidP="00507CB4">
      <w:pPr>
        <w:tabs>
          <w:tab w:val="right" w:leader="dot" w:pos="9000"/>
        </w:tabs>
        <w:autoSpaceDE w:val="0"/>
        <w:autoSpaceDN w:val="0"/>
        <w:adjustRightInd w:val="0"/>
        <w:ind w:left="360"/>
      </w:pPr>
      <w:hyperlink r:id="rId15" w:history="1">
        <w:r w:rsidR="00A17AC8" w:rsidRPr="00353CF9">
          <w:rPr>
            <w:rStyle w:val="Hyperlink"/>
          </w:rPr>
          <w:t>https://webstore.iec.ch/publication/1280</w:t>
        </w:r>
      </w:hyperlink>
    </w:p>
    <w:p w14:paraId="788B7C27" w14:textId="77777777" w:rsidR="00A17AC8" w:rsidRDefault="00A17AC8" w:rsidP="00507CB4">
      <w:pPr>
        <w:tabs>
          <w:tab w:val="right" w:leader="dot" w:pos="9000"/>
        </w:tabs>
        <w:autoSpaceDE w:val="0"/>
        <w:autoSpaceDN w:val="0"/>
        <w:adjustRightInd w:val="0"/>
        <w:ind w:left="360"/>
      </w:pPr>
    </w:p>
    <w:p w14:paraId="36C7BB9A" w14:textId="77777777" w:rsidR="0071045E" w:rsidRPr="0071045E" w:rsidRDefault="00A17AC8" w:rsidP="00654FB0">
      <w:pPr>
        <w:numPr>
          <w:ilvl w:val="0"/>
          <w:numId w:val="53"/>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71045E" w:rsidRPr="0071045E">
        <w:rPr>
          <w:rFonts w:ascii="Arial" w:hAnsi="Arial" w:cs="Arial"/>
          <w:sz w:val="20"/>
          <w:szCs w:val="20"/>
          <w:u w:val="dotted"/>
        </w:rPr>
        <w:t xml:space="preserve">IEC 60156:2018 </w:t>
      </w:r>
    </w:p>
    <w:p w14:paraId="4964FABD" w14:textId="28A7572A" w:rsidR="00A17AC8" w:rsidRPr="0071045E" w:rsidRDefault="00A17AC8" w:rsidP="0071045E">
      <w:pPr>
        <w:autoSpaceDE w:val="0"/>
        <w:autoSpaceDN w:val="0"/>
        <w:adjustRightInd w:val="0"/>
        <w:ind w:left="900"/>
        <w:rPr>
          <w:rFonts w:ascii="Arial" w:hAnsi="Arial" w:cs="Arial"/>
          <w:sz w:val="20"/>
          <w:szCs w:val="20"/>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71045E">
        <w:rPr>
          <w:rFonts w:ascii="Arial" w:hAnsi="Arial" w:cs="Arial"/>
          <w:sz w:val="20"/>
          <w:szCs w:val="20"/>
          <w:u w:val="dotted"/>
        </w:rPr>
        <w:t xml:space="preserve">Kenya Standard —  </w:t>
      </w:r>
      <w:r w:rsidR="0071045E" w:rsidRPr="0071045E">
        <w:rPr>
          <w:rFonts w:ascii="Arial" w:hAnsi="Arial" w:cs="Arial"/>
          <w:sz w:val="20"/>
          <w:szCs w:val="20"/>
          <w:shd w:val="clear" w:color="auto" w:fill="FFFFFF"/>
        </w:rPr>
        <w:t>Insulating liquids - Determination of the breakdown voltage at power frequency - Test method</w:t>
      </w:r>
      <w:r w:rsidRPr="0071045E">
        <w:rPr>
          <w:rFonts w:ascii="Arial" w:hAnsi="Arial" w:cs="Arial"/>
          <w:sz w:val="20"/>
          <w:szCs w:val="20"/>
          <w:shd w:val="clear" w:color="auto" w:fill="FFFFFF"/>
        </w:rPr>
        <w:t>, First Edition</w:t>
      </w:r>
    </w:p>
    <w:p w14:paraId="41F3EFBD" w14:textId="726E1F11" w:rsidR="00A17AC8" w:rsidRPr="00EE47D3" w:rsidRDefault="00A17AC8" w:rsidP="00A17AC8">
      <w:pPr>
        <w:tabs>
          <w:tab w:val="right" w:leader="dot" w:pos="9000"/>
        </w:tabs>
        <w:autoSpaceDE w:val="0"/>
        <w:autoSpaceDN w:val="0"/>
        <w:adjustRightInd w:val="0"/>
        <w:ind w:left="360"/>
        <w:rPr>
          <w:rFonts w:ascii="Arial" w:hAnsi="Arial" w:cs="Arial"/>
          <w:sz w:val="20"/>
          <w:szCs w:val="20"/>
          <w:shd w:val="clear" w:color="auto" w:fill="FFFFFF"/>
        </w:rPr>
      </w:pPr>
      <w:r w:rsidRPr="00EE47D3">
        <w:rPr>
          <w:rFonts w:ascii="Arial" w:hAnsi="Arial" w:cs="Arial"/>
          <w:b/>
          <w:sz w:val="20"/>
          <w:szCs w:val="20"/>
        </w:rPr>
        <w:t>Scope</w:t>
      </w:r>
      <w:r w:rsidRPr="00EE47D3">
        <w:rPr>
          <w:rFonts w:ascii="Arial" w:hAnsi="Arial" w:cs="Arial"/>
          <w:sz w:val="20"/>
          <w:szCs w:val="20"/>
        </w:rPr>
        <w:t xml:space="preserve">: </w:t>
      </w:r>
      <w:r w:rsidR="0071045E">
        <w:t xml:space="preserve">IEC 60156:2018 specifies the method for determining the dielectric breakdown voltage of insulating liquids at power frequency. The test procedure is performed in a specified apparatus, where the oil sample is subjected to an increasing AC electrical field until breakdown occurs. The method applies to all types of insulating liquids of nominal viscosity up to 350 mm2/s at 40 °C. It is appropriate both for acceptance testing on unused liquids at the time of their delivery and for establishing the condition of samples taken in monitoring and maintenance of equipment. This third edition cancels and replaces the </w:t>
      </w:r>
      <w:r w:rsidR="0071045E">
        <w:lastRenderedPageBreak/>
        <w:t>second edition published in 1995. This edition constitutes a technical revision and, mainly, confirms the content of the previous edition even if some advances are included. The test method has not been changed for practical reason due to the very large number of instrumentation disseminated around the world, even if the use of stirring is now recommended.</w:t>
      </w:r>
    </w:p>
    <w:p w14:paraId="225A8A77" w14:textId="39F2208A" w:rsidR="00742808" w:rsidRDefault="0071045E" w:rsidP="00A17AC8">
      <w:pPr>
        <w:tabs>
          <w:tab w:val="right" w:leader="dot" w:pos="9000"/>
        </w:tabs>
        <w:autoSpaceDE w:val="0"/>
        <w:autoSpaceDN w:val="0"/>
        <w:adjustRightInd w:val="0"/>
      </w:pPr>
      <w:r>
        <w:t xml:space="preserve">      </w:t>
      </w:r>
      <w:hyperlink r:id="rId16" w:history="1">
        <w:r w:rsidRPr="00353CF9">
          <w:rPr>
            <w:rStyle w:val="Hyperlink"/>
          </w:rPr>
          <w:t>https://webstore.iec.ch/publication/63770</w:t>
        </w:r>
      </w:hyperlink>
    </w:p>
    <w:p w14:paraId="18C45D7C" w14:textId="77777777" w:rsidR="0071045E" w:rsidRDefault="0071045E" w:rsidP="00A17AC8">
      <w:pPr>
        <w:tabs>
          <w:tab w:val="right" w:leader="dot" w:pos="9000"/>
        </w:tabs>
        <w:autoSpaceDE w:val="0"/>
        <w:autoSpaceDN w:val="0"/>
        <w:adjustRightInd w:val="0"/>
        <w:rPr>
          <w:rFonts w:ascii="Arial" w:hAnsi="Arial" w:cs="Arial"/>
          <w:sz w:val="20"/>
          <w:szCs w:val="20"/>
        </w:rPr>
      </w:pPr>
    </w:p>
    <w:p w14:paraId="28F173C0" w14:textId="77777777" w:rsidR="00742808" w:rsidRDefault="00742808" w:rsidP="008804E0">
      <w:pPr>
        <w:tabs>
          <w:tab w:val="right" w:leader="dot" w:pos="9000"/>
        </w:tabs>
        <w:autoSpaceDE w:val="0"/>
        <w:autoSpaceDN w:val="0"/>
        <w:adjustRightInd w:val="0"/>
        <w:ind w:left="360"/>
        <w:rPr>
          <w:rFonts w:ascii="Arial" w:hAnsi="Arial" w:cs="Arial"/>
          <w:sz w:val="20"/>
          <w:szCs w:val="20"/>
        </w:rPr>
      </w:pPr>
    </w:p>
    <w:p w14:paraId="178C89D0" w14:textId="77777777" w:rsidR="00E369C8" w:rsidRDefault="00E369C8" w:rsidP="008804E0">
      <w:pPr>
        <w:tabs>
          <w:tab w:val="right" w:leader="dot" w:pos="9000"/>
        </w:tabs>
        <w:autoSpaceDE w:val="0"/>
        <w:autoSpaceDN w:val="0"/>
        <w:adjustRightInd w:val="0"/>
        <w:ind w:left="360"/>
        <w:rPr>
          <w:rFonts w:ascii="Arial" w:hAnsi="Arial" w:cs="Arial"/>
          <w:sz w:val="20"/>
          <w:szCs w:val="20"/>
        </w:rPr>
      </w:pPr>
    </w:p>
    <w:p w14:paraId="0FA9A3C9" w14:textId="77777777" w:rsidR="006459E9" w:rsidRDefault="006459E9" w:rsidP="006459E9">
      <w:pPr>
        <w:tabs>
          <w:tab w:val="right" w:leader="dot" w:pos="9000"/>
        </w:tabs>
        <w:autoSpaceDE w:val="0"/>
        <w:autoSpaceDN w:val="0"/>
        <w:adjustRightInd w:val="0"/>
        <w:ind w:left="360"/>
        <w:rPr>
          <w:rFonts w:ascii="Arial" w:hAnsi="Arial" w:cs="Arial"/>
          <w:sz w:val="20"/>
          <w:szCs w:val="20"/>
        </w:rPr>
      </w:pPr>
    </w:p>
    <w:p w14:paraId="2D375548" w14:textId="77777777" w:rsidR="00EA0DEB" w:rsidRDefault="00EA0DEB" w:rsidP="005E7364">
      <w:pPr>
        <w:tabs>
          <w:tab w:val="right" w:leader="dot" w:pos="9000"/>
        </w:tabs>
        <w:autoSpaceDE w:val="0"/>
        <w:autoSpaceDN w:val="0"/>
        <w:adjustRightInd w:val="0"/>
        <w:ind w:left="360"/>
        <w:rPr>
          <w:rFonts w:ascii="Arial" w:hAnsi="Arial" w:cs="Arial"/>
          <w:sz w:val="20"/>
          <w:szCs w:val="20"/>
        </w:rPr>
      </w:pPr>
    </w:p>
    <w:p w14:paraId="24B0CED6" w14:textId="77777777" w:rsidR="00A94A7D" w:rsidRDefault="00A94A7D">
      <w:pPr>
        <w:spacing w:before="0" w:after="0"/>
        <w:jc w:val="left"/>
        <w:rPr>
          <w:rFonts w:ascii="Arial" w:hAnsi="Arial" w:cs="Arial"/>
          <w:b/>
          <w:sz w:val="20"/>
          <w:szCs w:val="20"/>
        </w:rPr>
      </w:pPr>
    </w:p>
    <w:p w14:paraId="2DFBA94E" w14:textId="77777777" w:rsidR="00A94A7D" w:rsidRDefault="00A94A7D">
      <w:pPr>
        <w:spacing w:before="0" w:after="0"/>
        <w:jc w:val="left"/>
        <w:rPr>
          <w:rFonts w:ascii="Arial" w:hAnsi="Arial" w:cs="Arial"/>
          <w:b/>
          <w:sz w:val="20"/>
          <w:szCs w:val="20"/>
        </w:rPr>
      </w:pPr>
    </w:p>
    <w:p w14:paraId="2A9AECB4" w14:textId="77777777" w:rsidR="00E774BD" w:rsidRDefault="00E774BD">
      <w:pPr>
        <w:spacing w:before="0" w:after="0"/>
        <w:jc w:val="left"/>
        <w:rPr>
          <w:rFonts w:ascii="Arial" w:hAnsi="Arial" w:cs="Arial"/>
          <w:b/>
          <w:sz w:val="20"/>
          <w:szCs w:val="20"/>
        </w:rPr>
        <w:sectPr w:rsidR="00E774BD" w:rsidSect="00E70218">
          <w:pgSz w:w="11909" w:h="16834" w:code="9"/>
          <w:pgMar w:top="1260" w:right="1440" w:bottom="1440" w:left="1440" w:header="720" w:footer="720" w:gutter="0"/>
          <w:pgNumType w:start="1"/>
          <w:cols w:space="720"/>
          <w:titlePg/>
          <w:docGrid w:linePitch="360"/>
        </w:sectPr>
      </w:pPr>
    </w:p>
    <w:p w14:paraId="1477874A" w14:textId="77777777"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tbl>
      <w:tblPr>
        <w:tblpPr w:leftFromText="180" w:rightFromText="180" w:vertAnchor="text" w:horzAnchor="margin" w:tblpXSpec="center" w:tblpY="110"/>
        <w:tblW w:w="15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71045E" w14:paraId="3182FEAB" w14:textId="77777777" w:rsidTr="0071045E">
        <w:trPr>
          <w:tblHeader/>
        </w:trPr>
        <w:tc>
          <w:tcPr>
            <w:tcW w:w="1440" w:type="dxa"/>
          </w:tcPr>
          <w:p w14:paraId="2EE78922" w14:textId="77777777" w:rsidR="0071045E" w:rsidRPr="001D7A55" w:rsidRDefault="0071045E" w:rsidP="0071045E">
            <w:pPr>
              <w:jc w:val="left"/>
              <w:rPr>
                <w:rFonts w:ascii="Arial" w:hAnsi="Arial" w:cs="Arial"/>
                <w:b/>
                <w:sz w:val="20"/>
              </w:rPr>
            </w:pPr>
            <w:r>
              <w:rPr>
                <w:rFonts w:ascii="Arial" w:hAnsi="Arial" w:cs="Arial"/>
                <w:b/>
                <w:sz w:val="20"/>
              </w:rPr>
              <w:t>S/No.</w:t>
            </w:r>
          </w:p>
        </w:tc>
        <w:tc>
          <w:tcPr>
            <w:tcW w:w="1890" w:type="dxa"/>
          </w:tcPr>
          <w:p w14:paraId="03849793" w14:textId="77777777" w:rsidR="0071045E" w:rsidRPr="001D7A55" w:rsidRDefault="0071045E" w:rsidP="0071045E">
            <w:pPr>
              <w:jc w:val="left"/>
              <w:rPr>
                <w:rFonts w:ascii="Arial" w:hAnsi="Arial" w:cs="Arial"/>
                <w:b/>
                <w:sz w:val="20"/>
              </w:rPr>
            </w:pPr>
            <w:r w:rsidRPr="001D7A55">
              <w:rPr>
                <w:rFonts w:ascii="Arial" w:hAnsi="Arial" w:cs="Arial"/>
                <w:b/>
                <w:sz w:val="20"/>
              </w:rPr>
              <w:t>Standard Number</w:t>
            </w:r>
          </w:p>
        </w:tc>
        <w:tc>
          <w:tcPr>
            <w:tcW w:w="1800" w:type="dxa"/>
          </w:tcPr>
          <w:p w14:paraId="10B79B0D"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acceptable as presented</w:t>
            </w:r>
          </w:p>
        </w:tc>
        <w:tc>
          <w:tcPr>
            <w:tcW w:w="2520" w:type="dxa"/>
          </w:tcPr>
          <w:p w14:paraId="6EC4017C"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proposal not acceptable</w:t>
            </w:r>
          </w:p>
        </w:tc>
        <w:tc>
          <w:tcPr>
            <w:tcW w:w="3690" w:type="dxa"/>
          </w:tcPr>
          <w:p w14:paraId="7079E1FD" w14:textId="77777777" w:rsidR="0071045E" w:rsidRPr="001D7A55" w:rsidRDefault="0071045E" w:rsidP="0071045E">
            <w:pPr>
              <w:jc w:val="left"/>
              <w:rPr>
                <w:rFonts w:ascii="Arial" w:hAnsi="Arial" w:cs="Arial"/>
                <w:b/>
                <w:sz w:val="20"/>
              </w:rPr>
            </w:pPr>
            <w:r>
              <w:rPr>
                <w:rFonts w:ascii="Arial" w:hAnsi="Arial" w:cs="Arial"/>
                <w:b/>
                <w:sz w:val="20"/>
              </w:rPr>
              <w:t>Reason why adoption proposal not acceptable</w:t>
            </w:r>
          </w:p>
        </w:tc>
        <w:tc>
          <w:tcPr>
            <w:tcW w:w="4410" w:type="dxa"/>
          </w:tcPr>
          <w:p w14:paraId="0EDF8F24" w14:textId="77777777" w:rsidR="0071045E" w:rsidRPr="001D7A55" w:rsidRDefault="0071045E" w:rsidP="0071045E">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71045E" w14:paraId="7B28738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970AE81"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42E3502C" w14:textId="77777777" w:rsidR="0071045E" w:rsidRPr="0071045E" w:rsidRDefault="0071045E" w:rsidP="0071045E">
            <w:pPr>
              <w:jc w:val="left"/>
              <w:rPr>
                <w:rFonts w:ascii="Arial Narrow" w:hAnsi="Arial Narrow" w:cs="Arial"/>
                <w:sz w:val="22"/>
                <w:szCs w:val="22"/>
              </w:rPr>
            </w:pPr>
            <w:r w:rsidRPr="0071045E">
              <w:rPr>
                <w:rFonts w:ascii="Arial Narrow" w:hAnsi="Arial Narrow" w:cs="Arial"/>
                <w:sz w:val="22"/>
                <w:szCs w:val="22"/>
              </w:rPr>
              <w:t>IEC 60287-1-1:20</w:t>
            </w:r>
            <w:r>
              <w:rPr>
                <w:rFonts w:ascii="Arial Narrow" w:hAnsi="Arial Narrow" w:cs="Arial"/>
                <w:sz w:val="22"/>
                <w:szCs w:val="22"/>
              </w:rPr>
              <w:t>14</w:t>
            </w:r>
          </w:p>
          <w:p w14:paraId="25878280" w14:textId="77777777" w:rsidR="0071045E" w:rsidRPr="00C407BA" w:rsidRDefault="0071045E" w:rsidP="0071045E">
            <w:pPr>
              <w:jc w:val="left"/>
              <w:rPr>
                <w:rFonts w:ascii="Arial Narrow" w:hAnsi="Arial Narrow"/>
                <w:color w:val="000000"/>
                <w:sz w:val="22"/>
                <w:szCs w:val="22"/>
              </w:rPr>
            </w:pPr>
          </w:p>
        </w:tc>
        <w:tc>
          <w:tcPr>
            <w:tcW w:w="1800" w:type="dxa"/>
            <w:tcBorders>
              <w:top w:val="nil"/>
              <w:left w:val="single" w:sz="4" w:space="0" w:color="auto"/>
              <w:bottom w:val="single" w:sz="4" w:space="0" w:color="auto"/>
              <w:right w:val="single" w:sz="4" w:space="0" w:color="auto"/>
            </w:tcBorders>
            <w:shd w:val="clear" w:color="000000" w:fill="C4D79B"/>
          </w:tcPr>
          <w:p w14:paraId="5AA62C29"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33F8FB8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1D76E8B"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70B8C347" w14:textId="77777777" w:rsidR="0071045E" w:rsidRDefault="0071045E" w:rsidP="0071045E">
            <w:pPr>
              <w:rPr>
                <w:rFonts w:ascii="Calibri" w:hAnsi="Calibri"/>
                <w:color w:val="000000"/>
                <w:sz w:val="22"/>
                <w:szCs w:val="22"/>
              </w:rPr>
            </w:pPr>
          </w:p>
        </w:tc>
      </w:tr>
      <w:tr w:rsidR="0071045E" w14:paraId="6FC8F03D"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9E3E751" w14:textId="77777777" w:rsidR="0071045E" w:rsidRPr="00CF7A06" w:rsidRDefault="0071045E" w:rsidP="0071045E">
            <w:pPr>
              <w:pStyle w:val="ListParagraph"/>
              <w:numPr>
                <w:ilvl w:val="0"/>
                <w:numId w:val="58"/>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172DE4F9" w14:textId="77777777" w:rsidR="0071045E" w:rsidRPr="0071045E" w:rsidRDefault="0071045E" w:rsidP="0071045E">
            <w:pPr>
              <w:jc w:val="left"/>
              <w:rPr>
                <w:rFonts w:ascii="Arial Narrow" w:hAnsi="Arial Narrow" w:cs="Arial"/>
                <w:sz w:val="22"/>
                <w:szCs w:val="22"/>
              </w:rPr>
            </w:pPr>
            <w:r w:rsidRPr="0071045E">
              <w:rPr>
                <w:rFonts w:ascii="Arial Narrow" w:hAnsi="Arial Narrow" w:cs="Arial"/>
                <w:sz w:val="22"/>
                <w:szCs w:val="22"/>
              </w:rPr>
              <w:t>IEC 60287-1-2:1993</w:t>
            </w:r>
          </w:p>
          <w:p w14:paraId="56B5D010" w14:textId="77777777" w:rsidR="0071045E" w:rsidRPr="00C407BA" w:rsidRDefault="0071045E" w:rsidP="0071045E">
            <w:pPr>
              <w:jc w:val="left"/>
              <w:rPr>
                <w:rFonts w:ascii="Arial Narrow" w:hAnsi="Arial Narrow"/>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FBEB14" w14:textId="77777777" w:rsidR="0071045E" w:rsidRDefault="0071045E" w:rsidP="0071045E">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761C02" w14:textId="77777777" w:rsidR="0071045E" w:rsidRDefault="0071045E" w:rsidP="0071045E">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C1D45FA" w14:textId="77777777" w:rsidR="0071045E" w:rsidRDefault="0071045E" w:rsidP="0071045E">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A126C13" w14:textId="77777777" w:rsidR="0071045E" w:rsidRDefault="0071045E" w:rsidP="0071045E">
            <w:pPr>
              <w:rPr>
                <w:rFonts w:ascii="Calibri" w:hAnsi="Calibri"/>
                <w:color w:val="000000"/>
                <w:sz w:val="22"/>
                <w:szCs w:val="22"/>
              </w:rPr>
            </w:pPr>
          </w:p>
        </w:tc>
      </w:tr>
      <w:tr w:rsidR="0071045E" w14:paraId="279EFE7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AB53E1D"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661C8C04" w14:textId="77777777" w:rsidR="0071045E" w:rsidRPr="0071045E" w:rsidRDefault="0071045E" w:rsidP="0071045E">
            <w:pPr>
              <w:jc w:val="left"/>
              <w:rPr>
                <w:rFonts w:ascii="Arial Narrow" w:hAnsi="Arial Narrow" w:cs="Arial"/>
                <w:sz w:val="22"/>
                <w:szCs w:val="22"/>
              </w:rPr>
            </w:pPr>
            <w:r w:rsidRPr="0071045E">
              <w:rPr>
                <w:rFonts w:ascii="Arial Narrow" w:hAnsi="Arial Narrow" w:cs="Arial"/>
                <w:sz w:val="22"/>
                <w:szCs w:val="22"/>
              </w:rPr>
              <w:t>IEC 60287-1-3:2002</w:t>
            </w:r>
          </w:p>
          <w:p w14:paraId="7034591B" w14:textId="77777777" w:rsidR="0071045E" w:rsidRPr="00C407BA" w:rsidRDefault="0071045E" w:rsidP="0071045E">
            <w:pPr>
              <w:jc w:val="left"/>
              <w:rPr>
                <w:rFonts w:ascii="Arial Narrow" w:hAnsi="Arial Narrow"/>
                <w:color w:val="000000"/>
                <w:sz w:val="22"/>
                <w:szCs w:val="22"/>
              </w:rPr>
            </w:pPr>
          </w:p>
        </w:tc>
        <w:tc>
          <w:tcPr>
            <w:tcW w:w="1800" w:type="dxa"/>
            <w:tcBorders>
              <w:top w:val="nil"/>
              <w:left w:val="single" w:sz="4" w:space="0" w:color="auto"/>
              <w:bottom w:val="single" w:sz="4" w:space="0" w:color="auto"/>
              <w:right w:val="single" w:sz="4" w:space="0" w:color="auto"/>
            </w:tcBorders>
            <w:shd w:val="clear" w:color="000000" w:fill="C4D79B"/>
          </w:tcPr>
          <w:p w14:paraId="234B50FA" w14:textId="77777777" w:rsidR="0071045E" w:rsidRPr="00892734"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B6E5D84" w14:textId="77777777" w:rsidR="0071045E" w:rsidRPr="00892734"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4064A7F" w14:textId="77777777" w:rsidR="0071045E" w:rsidRPr="00892734"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3064D729" w14:textId="77777777" w:rsidR="0071045E" w:rsidRPr="00892734" w:rsidRDefault="0071045E" w:rsidP="0071045E">
            <w:pPr>
              <w:rPr>
                <w:rFonts w:ascii="Calibri" w:hAnsi="Calibri"/>
                <w:color w:val="000000"/>
                <w:sz w:val="22"/>
                <w:szCs w:val="22"/>
              </w:rPr>
            </w:pPr>
          </w:p>
        </w:tc>
      </w:tr>
      <w:tr w:rsidR="0071045E" w14:paraId="2915D54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14:paraId="1994C20C"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7AE4FD47" w14:textId="77777777" w:rsidR="0071045E" w:rsidRPr="0071045E" w:rsidRDefault="0071045E" w:rsidP="0071045E">
            <w:pPr>
              <w:jc w:val="left"/>
              <w:rPr>
                <w:rFonts w:ascii="Arial Narrow" w:hAnsi="Arial Narrow" w:cs="Arial"/>
                <w:sz w:val="22"/>
                <w:szCs w:val="22"/>
              </w:rPr>
            </w:pPr>
            <w:r w:rsidRPr="0071045E">
              <w:rPr>
                <w:rFonts w:ascii="Arial Narrow" w:hAnsi="Arial Narrow" w:cs="Arial"/>
                <w:sz w:val="22"/>
                <w:szCs w:val="22"/>
              </w:rPr>
              <w:t>IEC 60287-2-3:2017</w:t>
            </w:r>
          </w:p>
          <w:p w14:paraId="3DD59277" w14:textId="77777777" w:rsidR="0071045E" w:rsidRPr="00C407BA" w:rsidRDefault="0071045E" w:rsidP="0071045E">
            <w:pPr>
              <w:jc w:val="left"/>
              <w:rPr>
                <w:rFonts w:ascii="Arial Narrow" w:hAnsi="Arial Narrow"/>
                <w:color w:val="000000"/>
                <w:sz w:val="22"/>
                <w:szCs w:val="22"/>
              </w:rPr>
            </w:pPr>
          </w:p>
        </w:tc>
        <w:tc>
          <w:tcPr>
            <w:tcW w:w="1800" w:type="dxa"/>
            <w:tcBorders>
              <w:top w:val="nil"/>
              <w:left w:val="single" w:sz="4" w:space="0" w:color="auto"/>
              <w:bottom w:val="single" w:sz="4" w:space="0" w:color="auto"/>
              <w:right w:val="single" w:sz="4" w:space="0" w:color="auto"/>
            </w:tcBorders>
            <w:shd w:val="clear" w:color="auto" w:fill="auto"/>
          </w:tcPr>
          <w:p w14:paraId="4560BAD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2AEDB61C"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7C701361"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2A46DD1" w14:textId="77777777" w:rsidR="0071045E" w:rsidRDefault="0071045E" w:rsidP="0071045E">
            <w:pPr>
              <w:rPr>
                <w:rFonts w:ascii="Calibri" w:hAnsi="Calibri"/>
                <w:color w:val="000000"/>
                <w:sz w:val="22"/>
                <w:szCs w:val="22"/>
              </w:rPr>
            </w:pPr>
          </w:p>
        </w:tc>
      </w:tr>
      <w:tr w:rsidR="0071045E" w14:paraId="7010760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45A2C880"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10F29E96" w14:textId="77777777" w:rsidR="0071045E" w:rsidRPr="0071045E" w:rsidRDefault="0071045E" w:rsidP="0071045E">
            <w:pPr>
              <w:jc w:val="left"/>
              <w:rPr>
                <w:rFonts w:ascii="Arial Narrow" w:hAnsi="Arial Narrow" w:cs="Arial"/>
                <w:sz w:val="22"/>
                <w:szCs w:val="22"/>
              </w:rPr>
            </w:pPr>
            <w:r w:rsidRPr="0071045E">
              <w:rPr>
                <w:rFonts w:ascii="Arial Narrow" w:hAnsi="Arial Narrow" w:cs="Arial"/>
                <w:sz w:val="22"/>
                <w:szCs w:val="22"/>
              </w:rPr>
              <w:t>IEC 60287-3-1:2017</w:t>
            </w:r>
          </w:p>
          <w:p w14:paraId="46BA89ED" w14:textId="77777777" w:rsidR="0071045E" w:rsidRPr="00C407BA" w:rsidRDefault="0071045E" w:rsidP="0071045E">
            <w:pPr>
              <w:jc w:val="left"/>
              <w:rPr>
                <w:rFonts w:ascii="Arial Narrow" w:hAnsi="Arial Narrow"/>
                <w:color w:val="000000"/>
                <w:sz w:val="22"/>
                <w:szCs w:val="22"/>
              </w:rPr>
            </w:pP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7D4A3418"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22BD653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56E1E45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3020898" w14:textId="77777777" w:rsidR="0071045E" w:rsidRDefault="0071045E" w:rsidP="0071045E">
            <w:pPr>
              <w:rPr>
                <w:rFonts w:ascii="Calibri" w:hAnsi="Calibri"/>
                <w:color w:val="000000"/>
                <w:sz w:val="22"/>
                <w:szCs w:val="22"/>
              </w:rPr>
            </w:pPr>
          </w:p>
        </w:tc>
      </w:tr>
      <w:tr w:rsidR="0071045E" w14:paraId="1A897A2C"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428CB6F8"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B542C6D" w14:textId="77777777" w:rsidR="0071045E" w:rsidRPr="00C407BA" w:rsidRDefault="0071045E" w:rsidP="0071045E">
            <w:pPr>
              <w:jc w:val="left"/>
              <w:rPr>
                <w:rFonts w:ascii="Arial Narrow" w:hAnsi="Arial Narrow"/>
                <w:color w:val="000000"/>
                <w:sz w:val="22"/>
                <w:szCs w:val="22"/>
              </w:rPr>
            </w:pPr>
            <w:r w:rsidRPr="0071045E">
              <w:rPr>
                <w:rFonts w:ascii="Arial Narrow" w:hAnsi="Arial Narrow" w:cs="Arial"/>
                <w:sz w:val="22"/>
                <w:szCs w:val="22"/>
              </w:rPr>
              <w:t>IEC 60287-3-2:2012</w:t>
            </w:r>
          </w:p>
        </w:tc>
        <w:tc>
          <w:tcPr>
            <w:tcW w:w="1800" w:type="dxa"/>
            <w:tcBorders>
              <w:top w:val="nil"/>
              <w:left w:val="single" w:sz="4" w:space="0" w:color="auto"/>
              <w:bottom w:val="single" w:sz="4" w:space="0" w:color="auto"/>
              <w:right w:val="single" w:sz="4" w:space="0" w:color="auto"/>
            </w:tcBorders>
            <w:shd w:val="clear" w:color="auto" w:fill="auto"/>
          </w:tcPr>
          <w:p w14:paraId="57390D64"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42C38D38"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630D79A7"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1700F37B" w14:textId="77777777" w:rsidR="0071045E" w:rsidRDefault="0071045E" w:rsidP="0071045E">
            <w:pPr>
              <w:rPr>
                <w:rFonts w:ascii="Calibri" w:hAnsi="Calibri"/>
                <w:color w:val="000000"/>
                <w:sz w:val="22"/>
                <w:szCs w:val="22"/>
              </w:rPr>
            </w:pPr>
          </w:p>
        </w:tc>
      </w:tr>
      <w:tr w:rsidR="0071045E" w14:paraId="230FCA51"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7209E36"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962483F" w14:textId="77777777" w:rsidR="0071045E" w:rsidRPr="00C407BA" w:rsidRDefault="0071045E" w:rsidP="0071045E">
            <w:pPr>
              <w:jc w:val="left"/>
              <w:rPr>
                <w:rFonts w:ascii="Arial Narrow" w:hAnsi="Arial Narrow"/>
                <w:color w:val="000000"/>
                <w:sz w:val="22"/>
                <w:szCs w:val="22"/>
              </w:rPr>
            </w:pPr>
            <w:r w:rsidRPr="0071045E">
              <w:rPr>
                <w:rFonts w:ascii="Arial Narrow" w:hAnsi="Arial Narrow"/>
                <w:color w:val="000000"/>
                <w:sz w:val="22"/>
                <w:szCs w:val="22"/>
              </w:rPr>
              <w:t>IEC 60287-2-1:2015</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3A7A6F6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611A0F0"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D57BFB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A63004F" w14:textId="77777777" w:rsidR="0071045E" w:rsidRDefault="0071045E" w:rsidP="0071045E">
            <w:pPr>
              <w:rPr>
                <w:rFonts w:ascii="Calibri" w:hAnsi="Calibri"/>
                <w:color w:val="000000"/>
                <w:sz w:val="22"/>
                <w:szCs w:val="22"/>
              </w:rPr>
            </w:pPr>
          </w:p>
        </w:tc>
      </w:tr>
      <w:tr w:rsidR="0071045E" w14:paraId="4DC49C4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2FD14351"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0A10559E" w14:textId="77777777" w:rsidR="0071045E" w:rsidRPr="00C407BA" w:rsidRDefault="0071045E" w:rsidP="0071045E">
            <w:pPr>
              <w:jc w:val="left"/>
              <w:rPr>
                <w:rFonts w:ascii="Arial Narrow" w:hAnsi="Arial Narrow"/>
                <w:color w:val="000000"/>
                <w:sz w:val="22"/>
                <w:szCs w:val="22"/>
              </w:rPr>
            </w:pPr>
            <w:r w:rsidRPr="0071045E">
              <w:rPr>
                <w:rFonts w:ascii="Arial Narrow" w:hAnsi="Arial Narrow"/>
                <w:sz w:val="22"/>
                <w:szCs w:val="22"/>
              </w:rPr>
              <w:t>IEC 60287-3-3:2007</w:t>
            </w:r>
          </w:p>
        </w:tc>
        <w:tc>
          <w:tcPr>
            <w:tcW w:w="1800" w:type="dxa"/>
            <w:tcBorders>
              <w:top w:val="nil"/>
              <w:left w:val="single" w:sz="4" w:space="0" w:color="auto"/>
              <w:bottom w:val="single" w:sz="4" w:space="0" w:color="auto"/>
              <w:right w:val="single" w:sz="4" w:space="0" w:color="auto"/>
            </w:tcBorders>
            <w:shd w:val="clear" w:color="auto" w:fill="auto"/>
          </w:tcPr>
          <w:p w14:paraId="2FB1440C"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3E8C5C4C"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29BDA494"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6B5F9ADA" w14:textId="77777777" w:rsidR="0071045E" w:rsidRDefault="0071045E" w:rsidP="0071045E">
            <w:pPr>
              <w:rPr>
                <w:rFonts w:ascii="Calibri" w:hAnsi="Calibri"/>
                <w:color w:val="000000"/>
                <w:sz w:val="22"/>
                <w:szCs w:val="22"/>
              </w:rPr>
            </w:pPr>
          </w:p>
        </w:tc>
      </w:tr>
      <w:tr w:rsidR="0071045E" w14:paraId="0AB86EEE"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0AAC05AC" w14:textId="77777777" w:rsidR="0071045E" w:rsidRPr="00CF7A06" w:rsidRDefault="0071045E" w:rsidP="0071045E">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04623B9B" w14:textId="77777777" w:rsidR="0071045E" w:rsidRPr="00C407BA" w:rsidRDefault="0071045E" w:rsidP="0071045E">
            <w:pPr>
              <w:jc w:val="left"/>
              <w:rPr>
                <w:rFonts w:ascii="Arial Narrow" w:hAnsi="Arial Narrow"/>
                <w:color w:val="000000"/>
                <w:sz w:val="22"/>
                <w:szCs w:val="22"/>
              </w:rPr>
            </w:pPr>
            <w:r w:rsidRPr="0071045E">
              <w:rPr>
                <w:rFonts w:ascii="Arial Narrow" w:hAnsi="Arial Narrow"/>
                <w:sz w:val="22"/>
                <w:szCs w:val="22"/>
              </w:rPr>
              <w:t>IEC 60156:2018</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47954B8D"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45803A70"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34EA8D6"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BB004E3" w14:textId="77777777" w:rsidR="0071045E" w:rsidRDefault="0071045E" w:rsidP="0071045E">
            <w:pPr>
              <w:rPr>
                <w:rFonts w:ascii="Calibri" w:hAnsi="Calibri"/>
                <w:color w:val="000000"/>
                <w:sz w:val="22"/>
                <w:szCs w:val="22"/>
              </w:rPr>
            </w:pPr>
          </w:p>
        </w:tc>
      </w:tr>
    </w:tbl>
    <w:p w14:paraId="488DE9D0" w14:textId="77777777" w:rsidR="001D7A55" w:rsidRDefault="001D7A55" w:rsidP="00E774BD">
      <w:pPr>
        <w:jc w:val="left"/>
        <w:rPr>
          <w:rFonts w:ascii="Arial" w:hAnsi="Arial" w:cs="Arial"/>
          <w:sz w:val="20"/>
        </w:rPr>
      </w:pPr>
    </w:p>
    <w:p w14:paraId="074FB8CB" w14:textId="77777777" w:rsidR="00E774BD" w:rsidRDefault="00E774BD" w:rsidP="00E774BD">
      <w:pPr>
        <w:jc w:val="left"/>
        <w:rPr>
          <w:rFonts w:ascii="Arial" w:hAnsi="Arial" w:cs="Arial"/>
          <w:sz w:val="20"/>
        </w:rPr>
      </w:pPr>
    </w:p>
    <w:p w14:paraId="3BE5A6F0" w14:textId="77777777" w:rsidR="001D7A55" w:rsidRDefault="001D7A55" w:rsidP="001D7A55">
      <w:pPr>
        <w:autoSpaceDE w:val="0"/>
        <w:autoSpaceDN w:val="0"/>
        <w:adjustRightInd w:val="0"/>
        <w:jc w:val="left"/>
        <w:rPr>
          <w:rFonts w:ascii="Arial" w:hAnsi="Arial" w:cs="Arial"/>
          <w:sz w:val="20"/>
        </w:rPr>
      </w:pPr>
    </w:p>
    <w:p w14:paraId="74420BC4" w14:textId="77777777"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14:paraId="3FC10EBC" w14:textId="77777777" w:rsidTr="00166644">
        <w:tc>
          <w:tcPr>
            <w:tcW w:w="2788" w:type="dxa"/>
            <w:vAlign w:val="center"/>
          </w:tcPr>
          <w:p w14:paraId="24CA6274"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14:paraId="032FC68C" w14:textId="77777777"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5AE0AA7F"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14:paraId="77F9A878" w14:textId="77777777"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14:paraId="53714893" w14:textId="77777777" w:rsidTr="00166644">
        <w:tc>
          <w:tcPr>
            <w:tcW w:w="2788" w:type="dxa"/>
            <w:vAlign w:val="center"/>
          </w:tcPr>
          <w:p w14:paraId="6C5F27F9"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14:paraId="198D67F5" w14:textId="77777777"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60D9D614" w14:textId="77777777" w:rsidR="001D7A55" w:rsidRPr="00652429" w:rsidRDefault="001D7A55" w:rsidP="00166644">
            <w:pPr>
              <w:autoSpaceDE w:val="0"/>
              <w:autoSpaceDN w:val="0"/>
              <w:adjustRightInd w:val="0"/>
              <w:jc w:val="left"/>
              <w:rPr>
                <w:rFonts w:ascii="Arial" w:hAnsi="Arial" w:cs="Arial"/>
                <w:sz w:val="20"/>
                <w:szCs w:val="20"/>
              </w:rPr>
            </w:pPr>
          </w:p>
        </w:tc>
        <w:tc>
          <w:tcPr>
            <w:tcW w:w="2906" w:type="dxa"/>
          </w:tcPr>
          <w:p w14:paraId="1FF6A053" w14:textId="77777777" w:rsidR="001D7A55" w:rsidRPr="00652429" w:rsidRDefault="001D7A55" w:rsidP="00166644">
            <w:pPr>
              <w:autoSpaceDE w:val="0"/>
              <w:autoSpaceDN w:val="0"/>
              <w:adjustRightInd w:val="0"/>
              <w:rPr>
                <w:rFonts w:ascii="Arial" w:hAnsi="Arial" w:cs="Arial"/>
                <w:sz w:val="20"/>
                <w:szCs w:val="20"/>
              </w:rPr>
            </w:pPr>
          </w:p>
        </w:tc>
      </w:tr>
    </w:tbl>
    <w:p w14:paraId="3BFA00A0"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00F6D012" w14:textId="77777777" w:rsidR="001D7A55" w:rsidRDefault="001D7A55" w:rsidP="001D7A55">
      <w:pPr>
        <w:tabs>
          <w:tab w:val="right" w:leader="dot" w:pos="9000"/>
        </w:tabs>
        <w:autoSpaceDE w:val="0"/>
        <w:autoSpaceDN w:val="0"/>
        <w:adjustRightInd w:val="0"/>
        <w:rPr>
          <w:rFonts w:ascii="Arial" w:hAnsi="Arial" w:cs="Arial"/>
          <w:sz w:val="20"/>
          <w:szCs w:val="20"/>
        </w:rPr>
      </w:pPr>
    </w:p>
    <w:p w14:paraId="17990321"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p>
    <w:p w14:paraId="6419D27E" w14:textId="77777777" w:rsidR="001D7A55" w:rsidRDefault="001D7A55" w:rsidP="001D7A55">
      <w:pPr>
        <w:tabs>
          <w:tab w:val="right" w:leader="dot" w:pos="3600"/>
        </w:tabs>
        <w:autoSpaceDE w:val="0"/>
        <w:autoSpaceDN w:val="0"/>
        <w:adjustRightInd w:val="0"/>
        <w:rPr>
          <w:rFonts w:ascii="Arial" w:hAnsi="Arial" w:cs="Arial"/>
          <w:b/>
          <w:bCs/>
          <w:sz w:val="20"/>
          <w:szCs w:val="20"/>
        </w:rPr>
      </w:pPr>
    </w:p>
    <w:p w14:paraId="4DAD1862" w14:textId="77777777" w:rsidR="00904334" w:rsidRDefault="00904334" w:rsidP="00476061">
      <w:pPr>
        <w:tabs>
          <w:tab w:val="right" w:leader="dot" w:pos="9000"/>
        </w:tabs>
        <w:autoSpaceDE w:val="0"/>
        <w:autoSpaceDN w:val="0"/>
        <w:adjustRightInd w:val="0"/>
        <w:ind w:left="360"/>
        <w:rPr>
          <w:rFonts w:ascii="Arial" w:hAnsi="Arial" w:cs="Arial"/>
          <w:sz w:val="20"/>
          <w:szCs w:val="20"/>
        </w:rPr>
      </w:pPr>
    </w:p>
    <w:sectPr w:rsidR="00904334" w:rsidSect="00E774BD">
      <w:headerReference w:type="first" r:id="rId17"/>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C43C4" w14:textId="77777777" w:rsidR="00A02E61" w:rsidRDefault="00A02E61">
      <w:r>
        <w:separator/>
      </w:r>
    </w:p>
  </w:endnote>
  <w:endnote w:type="continuationSeparator" w:id="0">
    <w:p w14:paraId="64DE1763" w14:textId="77777777" w:rsidR="00A02E61" w:rsidRDefault="00A02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9D64E" w14:textId="77777777" w:rsidR="00A02E61" w:rsidRDefault="00A02E61">
      <w:r>
        <w:separator/>
      </w:r>
    </w:p>
  </w:footnote>
  <w:footnote w:type="continuationSeparator" w:id="0">
    <w:p w14:paraId="709B7F0F" w14:textId="77777777" w:rsidR="00A02E61" w:rsidRDefault="00A02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3"/>
      <w:gridCol w:w="4478"/>
    </w:tblGrid>
    <w:tr w:rsidR="00981A51" w:rsidRPr="00E70218" w14:paraId="40EC7F84" w14:textId="77777777" w:rsidTr="00166644">
      <w:trPr>
        <w:trHeight w:val="368"/>
      </w:trPr>
      <w:tc>
        <w:tcPr>
          <w:tcW w:w="7155" w:type="dxa"/>
          <w:tcBorders>
            <w:top w:val="single" w:sz="4" w:space="0" w:color="auto"/>
            <w:left w:val="single" w:sz="4" w:space="0" w:color="auto"/>
            <w:bottom w:val="single" w:sz="4" w:space="0" w:color="auto"/>
            <w:right w:val="single" w:sz="4" w:space="0" w:color="auto"/>
          </w:tcBorders>
        </w:tcPr>
        <w:p w14:paraId="09D36C88" w14:textId="3BE117F0" w:rsidR="00981A51" w:rsidRPr="00E70218" w:rsidRDefault="00981A51" w:rsidP="00422406">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1B00BC">
            <w:rPr>
              <w:rFonts w:ascii="Arial" w:hAnsi="Arial" w:cs="Arial"/>
              <w:sz w:val="20"/>
              <w:szCs w:val="20"/>
            </w:rPr>
            <w:t>: 20</w:t>
          </w:r>
          <w:r w:rsidR="0071045E">
            <w:rPr>
              <w:rFonts w:ascii="Arial" w:hAnsi="Arial" w:cs="Arial"/>
              <w:sz w:val="20"/>
              <w:szCs w:val="20"/>
            </w:rPr>
            <w:t>20</w:t>
          </w:r>
          <w:r w:rsidR="00422406">
            <w:rPr>
              <w:rFonts w:ascii="Arial" w:hAnsi="Arial" w:cs="Arial"/>
              <w:sz w:val="20"/>
              <w:szCs w:val="20"/>
            </w:rPr>
            <w:t>-0</w:t>
          </w:r>
          <w:r w:rsidR="0071045E">
            <w:rPr>
              <w:rFonts w:ascii="Arial" w:hAnsi="Arial" w:cs="Arial"/>
              <w:sz w:val="20"/>
              <w:szCs w:val="20"/>
            </w:rPr>
            <w:t>3</w:t>
          </w:r>
          <w:r>
            <w:rPr>
              <w:rFonts w:ascii="Arial" w:hAnsi="Arial" w:cs="Arial"/>
              <w:sz w:val="20"/>
              <w:szCs w:val="20"/>
            </w:rPr>
            <w:t>-</w:t>
          </w:r>
          <w:r w:rsidR="0071045E">
            <w:rPr>
              <w:rFonts w:ascii="Arial" w:hAnsi="Arial" w:cs="Arial"/>
              <w:sz w:val="20"/>
              <w:szCs w:val="20"/>
            </w:rPr>
            <w:t>09</w:t>
          </w:r>
        </w:p>
      </w:tc>
      <w:tc>
        <w:tcPr>
          <w:tcW w:w="7155" w:type="dxa"/>
          <w:tcBorders>
            <w:top w:val="single" w:sz="4" w:space="0" w:color="auto"/>
            <w:left w:val="single" w:sz="4" w:space="0" w:color="auto"/>
            <w:bottom w:val="single" w:sz="4" w:space="0" w:color="auto"/>
            <w:right w:val="single" w:sz="4" w:space="0" w:color="auto"/>
          </w:tcBorders>
        </w:tcPr>
        <w:p w14:paraId="0EF75109" w14:textId="54DA0904"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1B00BC">
            <w:rPr>
              <w:rFonts w:ascii="Arial" w:hAnsi="Arial" w:cs="Arial"/>
              <w:sz w:val="20"/>
              <w:szCs w:val="20"/>
            </w:rPr>
            <w:t>: 20</w:t>
          </w:r>
          <w:r w:rsidR="0071045E">
            <w:rPr>
              <w:rFonts w:ascii="Arial" w:hAnsi="Arial" w:cs="Arial"/>
              <w:sz w:val="20"/>
              <w:szCs w:val="20"/>
            </w:rPr>
            <w:t>20</w:t>
          </w:r>
          <w:r>
            <w:rPr>
              <w:rFonts w:ascii="Arial" w:hAnsi="Arial" w:cs="Arial"/>
              <w:sz w:val="20"/>
              <w:szCs w:val="20"/>
            </w:rPr>
            <w:t>-0</w:t>
          </w:r>
          <w:r w:rsidR="0071045E">
            <w:rPr>
              <w:rFonts w:ascii="Arial" w:hAnsi="Arial" w:cs="Arial"/>
              <w:sz w:val="20"/>
              <w:szCs w:val="20"/>
            </w:rPr>
            <w:t>3</w:t>
          </w:r>
          <w:r>
            <w:rPr>
              <w:rFonts w:ascii="Arial" w:hAnsi="Arial" w:cs="Arial"/>
              <w:sz w:val="20"/>
              <w:szCs w:val="20"/>
            </w:rPr>
            <w:t>-</w:t>
          </w:r>
          <w:r w:rsidR="0071045E">
            <w:rPr>
              <w:rFonts w:ascii="Arial" w:hAnsi="Arial" w:cs="Arial"/>
              <w:sz w:val="20"/>
              <w:szCs w:val="20"/>
            </w:rPr>
            <w:t>10</w:t>
          </w:r>
        </w:p>
      </w:tc>
    </w:tr>
  </w:tbl>
  <w:p w14:paraId="4BE4BC1A" w14:textId="77777777"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1E72C46"/>
    <w:multiLevelType w:val="hybridMultilevel"/>
    <w:tmpl w:val="89E48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BF2B18"/>
    <w:multiLevelType w:val="hybridMultilevel"/>
    <w:tmpl w:val="FE42B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5"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6"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47C0B4B"/>
    <w:multiLevelType w:val="hybridMultilevel"/>
    <w:tmpl w:val="C14E8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2"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4"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8"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9"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38F95C80"/>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4"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6"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7"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1"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5CA6B43"/>
    <w:multiLevelType w:val="hybridMultilevel"/>
    <w:tmpl w:val="00C6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5E9E1BBE"/>
    <w:multiLevelType w:val="hybridMultilevel"/>
    <w:tmpl w:val="C3F8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1"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4"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8"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1"/>
  </w:num>
  <w:num w:numId="2">
    <w:abstractNumId w:val="50"/>
  </w:num>
  <w:num w:numId="3">
    <w:abstractNumId w:val="46"/>
  </w:num>
  <w:num w:numId="4">
    <w:abstractNumId w:val="2"/>
  </w:num>
  <w:num w:numId="5">
    <w:abstractNumId w:val="56"/>
  </w:num>
  <w:num w:numId="6">
    <w:abstractNumId w:val="38"/>
  </w:num>
  <w:num w:numId="7">
    <w:abstractNumId w:val="29"/>
  </w:num>
  <w:num w:numId="8">
    <w:abstractNumId w:val="28"/>
  </w:num>
  <w:num w:numId="9">
    <w:abstractNumId w:val="49"/>
  </w:num>
  <w:num w:numId="10">
    <w:abstractNumId w:val="25"/>
  </w:num>
  <w:num w:numId="11">
    <w:abstractNumId w:val="34"/>
  </w:num>
  <w:num w:numId="12">
    <w:abstractNumId w:val="37"/>
  </w:num>
  <w:num w:numId="13">
    <w:abstractNumId w:val="32"/>
  </w:num>
  <w:num w:numId="14">
    <w:abstractNumId w:val="9"/>
  </w:num>
  <w:num w:numId="15">
    <w:abstractNumId w:val="23"/>
  </w:num>
  <w:num w:numId="16">
    <w:abstractNumId w:val="31"/>
  </w:num>
  <w:num w:numId="17">
    <w:abstractNumId w:val="16"/>
  </w:num>
  <w:num w:numId="18">
    <w:abstractNumId w:val="40"/>
  </w:num>
  <w:num w:numId="19">
    <w:abstractNumId w:val="13"/>
  </w:num>
  <w:num w:numId="20">
    <w:abstractNumId w:val="36"/>
  </w:num>
  <w:num w:numId="21">
    <w:abstractNumId w:val="45"/>
  </w:num>
  <w:num w:numId="22">
    <w:abstractNumId w:val="58"/>
  </w:num>
  <w:num w:numId="23">
    <w:abstractNumId w:val="27"/>
  </w:num>
  <w:num w:numId="24">
    <w:abstractNumId w:val="10"/>
  </w:num>
  <w:num w:numId="25">
    <w:abstractNumId w:val="11"/>
  </w:num>
  <w:num w:numId="26">
    <w:abstractNumId w:val="52"/>
  </w:num>
  <w:num w:numId="27">
    <w:abstractNumId w:val="19"/>
  </w:num>
  <w:num w:numId="28">
    <w:abstractNumId w:val="20"/>
  </w:num>
  <w:num w:numId="29">
    <w:abstractNumId w:val="6"/>
  </w:num>
  <w:num w:numId="30">
    <w:abstractNumId w:val="5"/>
  </w:num>
  <w:num w:numId="31">
    <w:abstractNumId w:val="55"/>
  </w:num>
  <w:num w:numId="32">
    <w:abstractNumId w:val="1"/>
  </w:num>
  <w:num w:numId="33">
    <w:abstractNumId w:val="4"/>
  </w:num>
  <w:num w:numId="34">
    <w:abstractNumId w:val="17"/>
  </w:num>
  <w:num w:numId="35">
    <w:abstractNumId w:val="39"/>
  </w:num>
  <w:num w:numId="36">
    <w:abstractNumId w:val="54"/>
  </w:num>
  <w:num w:numId="37">
    <w:abstractNumId w:val="57"/>
  </w:num>
  <w:num w:numId="38">
    <w:abstractNumId w:val="48"/>
  </w:num>
  <w:num w:numId="39">
    <w:abstractNumId w:val="8"/>
  </w:num>
  <w:num w:numId="40">
    <w:abstractNumId w:val="59"/>
  </w:num>
  <w:num w:numId="41">
    <w:abstractNumId w:val="21"/>
  </w:num>
  <w:num w:numId="42">
    <w:abstractNumId w:val="51"/>
  </w:num>
  <w:num w:numId="43">
    <w:abstractNumId w:val="47"/>
  </w:num>
  <w:num w:numId="44">
    <w:abstractNumId w:val="35"/>
  </w:num>
  <w:num w:numId="45">
    <w:abstractNumId w:val="53"/>
  </w:num>
  <w:num w:numId="46">
    <w:abstractNumId w:val="43"/>
  </w:num>
  <w:num w:numId="47">
    <w:abstractNumId w:val="0"/>
  </w:num>
  <w:num w:numId="48">
    <w:abstractNumId w:val="15"/>
  </w:num>
  <w:num w:numId="49">
    <w:abstractNumId w:val="33"/>
  </w:num>
  <w:num w:numId="50">
    <w:abstractNumId w:val="14"/>
  </w:num>
  <w:num w:numId="51">
    <w:abstractNumId w:val="22"/>
  </w:num>
  <w:num w:numId="52">
    <w:abstractNumId w:val="26"/>
  </w:num>
  <w:num w:numId="53">
    <w:abstractNumId w:val="7"/>
  </w:num>
  <w:num w:numId="54">
    <w:abstractNumId w:val="3"/>
  </w:num>
  <w:num w:numId="55">
    <w:abstractNumId w:val="18"/>
  </w:num>
  <w:num w:numId="56">
    <w:abstractNumId w:val="12"/>
  </w:num>
  <w:num w:numId="57">
    <w:abstractNumId w:val="7"/>
    <w:lvlOverride w:ilvl="0">
      <w:lvl w:ilvl="0" w:tplc="0409000F">
        <w:start w:val="1"/>
        <w:numFmt w:val="decimal"/>
        <w:lvlText w:val="%1."/>
        <w:lvlJc w:val="left"/>
        <w:pPr>
          <w:ind w:left="0" w:firstLine="0"/>
        </w:pPr>
        <w:rPr>
          <w:rFonts w:hint="default"/>
        </w:rPr>
      </w:lvl>
    </w:lvlOverride>
    <w:lvlOverride w:ilvl="1">
      <w:lvl w:ilvl="1" w:tplc="04090019">
        <w:start w:val="1"/>
        <w:numFmt w:val="lowerLetter"/>
        <w:lvlText w:val="%2."/>
        <w:lvlJc w:val="left"/>
        <w:pPr>
          <w:ind w:left="0" w:firstLine="0"/>
        </w:pPr>
        <w:rPr>
          <w:rFonts w:hint="default"/>
        </w:rPr>
      </w:lvl>
    </w:lvlOverride>
    <w:lvlOverride w:ilvl="2">
      <w:lvl w:ilvl="2" w:tplc="0409001B">
        <w:start w:val="1"/>
        <w:numFmt w:val="lowerRoman"/>
        <w:lvlText w:val="%3."/>
        <w:lvlJc w:val="right"/>
        <w:pPr>
          <w:ind w:left="0" w:firstLine="0"/>
        </w:pPr>
        <w:rPr>
          <w:rFonts w:hint="default"/>
        </w:rPr>
      </w:lvl>
    </w:lvlOverride>
    <w:lvlOverride w:ilvl="3">
      <w:lvl w:ilvl="3" w:tplc="0409000F">
        <w:start w:val="1"/>
        <w:numFmt w:val="decimal"/>
        <w:lvlText w:val="%4."/>
        <w:lvlJc w:val="left"/>
        <w:pPr>
          <w:ind w:left="0" w:firstLine="0"/>
        </w:pPr>
        <w:rPr>
          <w:rFonts w:hint="default"/>
        </w:rPr>
      </w:lvl>
    </w:lvlOverride>
    <w:lvlOverride w:ilvl="4">
      <w:lvl w:ilvl="4" w:tplc="04090019">
        <w:start w:val="1"/>
        <w:numFmt w:val="lowerLetter"/>
        <w:lvlText w:val="%5."/>
        <w:lvlJc w:val="left"/>
        <w:pPr>
          <w:ind w:left="0" w:firstLine="0"/>
        </w:pPr>
        <w:rPr>
          <w:rFonts w:hint="default"/>
        </w:rPr>
      </w:lvl>
    </w:lvlOverride>
    <w:lvlOverride w:ilvl="5">
      <w:lvl w:ilvl="5" w:tplc="0409001B">
        <w:start w:val="1"/>
        <w:numFmt w:val="lowerRoman"/>
        <w:lvlText w:val="%6."/>
        <w:lvlJc w:val="right"/>
        <w:pPr>
          <w:ind w:left="0" w:firstLine="0"/>
        </w:pPr>
        <w:rPr>
          <w:rFonts w:hint="default"/>
        </w:rPr>
      </w:lvl>
    </w:lvlOverride>
    <w:lvlOverride w:ilvl="6">
      <w:lvl w:ilvl="6" w:tplc="0409000F">
        <w:start w:val="1"/>
        <w:numFmt w:val="decimal"/>
        <w:lvlText w:val="%7."/>
        <w:lvlJc w:val="left"/>
        <w:pPr>
          <w:ind w:left="0" w:firstLine="0"/>
        </w:pPr>
        <w:rPr>
          <w:rFonts w:hint="default"/>
        </w:rPr>
      </w:lvl>
    </w:lvlOverride>
    <w:lvlOverride w:ilvl="7">
      <w:lvl w:ilvl="7" w:tplc="04090019">
        <w:start w:val="1"/>
        <w:numFmt w:val="lowerLetter"/>
        <w:lvlText w:val="%8."/>
        <w:lvlJc w:val="left"/>
        <w:pPr>
          <w:ind w:left="0" w:firstLine="0"/>
        </w:pPr>
        <w:rPr>
          <w:rFonts w:hint="default"/>
        </w:rPr>
      </w:lvl>
    </w:lvlOverride>
    <w:lvlOverride w:ilvl="8">
      <w:lvl w:ilvl="8" w:tplc="0409001B">
        <w:start w:val="1"/>
        <w:numFmt w:val="lowerRoman"/>
        <w:lvlText w:val="%9."/>
        <w:lvlJc w:val="right"/>
        <w:pPr>
          <w:ind w:left="0" w:firstLine="0"/>
        </w:pPr>
        <w:rPr>
          <w:rFonts w:hint="default"/>
        </w:rPr>
      </w:lvl>
    </w:lvlOverride>
  </w:num>
  <w:num w:numId="58">
    <w:abstractNumId w:val="24"/>
  </w:num>
  <w:num w:numId="59">
    <w:abstractNumId w:val="30"/>
  </w:num>
  <w:num w:numId="60">
    <w:abstractNumId w:val="44"/>
  </w:num>
  <w:num w:numId="61">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A1933"/>
    <w:rsid w:val="000A631A"/>
    <w:rsid w:val="000A708C"/>
    <w:rsid w:val="000B1EA0"/>
    <w:rsid w:val="000B2B82"/>
    <w:rsid w:val="000B6330"/>
    <w:rsid w:val="000B752F"/>
    <w:rsid w:val="000B7C32"/>
    <w:rsid w:val="000B7E0B"/>
    <w:rsid w:val="000C0D75"/>
    <w:rsid w:val="000C0E31"/>
    <w:rsid w:val="000C4F2A"/>
    <w:rsid w:val="000D07C9"/>
    <w:rsid w:val="000D1F40"/>
    <w:rsid w:val="000E1353"/>
    <w:rsid w:val="000E1F73"/>
    <w:rsid w:val="000F3EC3"/>
    <w:rsid w:val="000F4963"/>
    <w:rsid w:val="00100E14"/>
    <w:rsid w:val="001056AE"/>
    <w:rsid w:val="00113300"/>
    <w:rsid w:val="00113FB3"/>
    <w:rsid w:val="00117C5F"/>
    <w:rsid w:val="001207E5"/>
    <w:rsid w:val="00121450"/>
    <w:rsid w:val="001272B7"/>
    <w:rsid w:val="00133174"/>
    <w:rsid w:val="00134E92"/>
    <w:rsid w:val="00135631"/>
    <w:rsid w:val="00144EBE"/>
    <w:rsid w:val="0014730D"/>
    <w:rsid w:val="001502DC"/>
    <w:rsid w:val="00164015"/>
    <w:rsid w:val="00165516"/>
    <w:rsid w:val="00165744"/>
    <w:rsid w:val="00170BA4"/>
    <w:rsid w:val="00172583"/>
    <w:rsid w:val="00172CD1"/>
    <w:rsid w:val="00174380"/>
    <w:rsid w:val="00183FFD"/>
    <w:rsid w:val="00184755"/>
    <w:rsid w:val="0019100A"/>
    <w:rsid w:val="001B00BC"/>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29FB"/>
    <w:rsid w:val="002338CE"/>
    <w:rsid w:val="00237436"/>
    <w:rsid w:val="00237E02"/>
    <w:rsid w:val="002457BD"/>
    <w:rsid w:val="002477B8"/>
    <w:rsid w:val="0025235F"/>
    <w:rsid w:val="0025434A"/>
    <w:rsid w:val="00262DAC"/>
    <w:rsid w:val="00262DD1"/>
    <w:rsid w:val="00265981"/>
    <w:rsid w:val="002714B6"/>
    <w:rsid w:val="00271AAE"/>
    <w:rsid w:val="002765B2"/>
    <w:rsid w:val="002809BF"/>
    <w:rsid w:val="00286543"/>
    <w:rsid w:val="00286F99"/>
    <w:rsid w:val="002902DC"/>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E67EB"/>
    <w:rsid w:val="002F4EFE"/>
    <w:rsid w:val="0030471F"/>
    <w:rsid w:val="003107A6"/>
    <w:rsid w:val="00310857"/>
    <w:rsid w:val="00320036"/>
    <w:rsid w:val="0032195B"/>
    <w:rsid w:val="00321F8E"/>
    <w:rsid w:val="00322C20"/>
    <w:rsid w:val="00330EA5"/>
    <w:rsid w:val="003335CB"/>
    <w:rsid w:val="0033382F"/>
    <w:rsid w:val="00336F0F"/>
    <w:rsid w:val="003501B9"/>
    <w:rsid w:val="00351549"/>
    <w:rsid w:val="003549C8"/>
    <w:rsid w:val="0035612D"/>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0378"/>
    <w:rsid w:val="003A1757"/>
    <w:rsid w:val="003A2E88"/>
    <w:rsid w:val="003A611E"/>
    <w:rsid w:val="003B5F69"/>
    <w:rsid w:val="003C0CCD"/>
    <w:rsid w:val="003C409D"/>
    <w:rsid w:val="003C6CB7"/>
    <w:rsid w:val="003D14BD"/>
    <w:rsid w:val="003D22A3"/>
    <w:rsid w:val="003D3FC8"/>
    <w:rsid w:val="003D54F4"/>
    <w:rsid w:val="003D6633"/>
    <w:rsid w:val="003E0429"/>
    <w:rsid w:val="003E3908"/>
    <w:rsid w:val="003E5D03"/>
    <w:rsid w:val="003E7D58"/>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61"/>
    <w:rsid w:val="004760B0"/>
    <w:rsid w:val="004763E1"/>
    <w:rsid w:val="004829F5"/>
    <w:rsid w:val="004861D0"/>
    <w:rsid w:val="00491684"/>
    <w:rsid w:val="004977E5"/>
    <w:rsid w:val="004A16FE"/>
    <w:rsid w:val="004A494A"/>
    <w:rsid w:val="004B1EE8"/>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70EC"/>
    <w:rsid w:val="00507251"/>
    <w:rsid w:val="00507CB4"/>
    <w:rsid w:val="0051043C"/>
    <w:rsid w:val="0051103A"/>
    <w:rsid w:val="00512BAA"/>
    <w:rsid w:val="00516C4C"/>
    <w:rsid w:val="00516C9A"/>
    <w:rsid w:val="0052474F"/>
    <w:rsid w:val="00530888"/>
    <w:rsid w:val="00531F6C"/>
    <w:rsid w:val="00534D58"/>
    <w:rsid w:val="00535750"/>
    <w:rsid w:val="00540417"/>
    <w:rsid w:val="0054230A"/>
    <w:rsid w:val="005446EC"/>
    <w:rsid w:val="00551129"/>
    <w:rsid w:val="005542D7"/>
    <w:rsid w:val="00555EC0"/>
    <w:rsid w:val="00574BCC"/>
    <w:rsid w:val="00583EB1"/>
    <w:rsid w:val="005842F1"/>
    <w:rsid w:val="00584B21"/>
    <w:rsid w:val="00586F07"/>
    <w:rsid w:val="00591BC3"/>
    <w:rsid w:val="00594742"/>
    <w:rsid w:val="005A03B2"/>
    <w:rsid w:val="005A5141"/>
    <w:rsid w:val="005A5372"/>
    <w:rsid w:val="005A7377"/>
    <w:rsid w:val="005B2345"/>
    <w:rsid w:val="005B4A8E"/>
    <w:rsid w:val="005B7D43"/>
    <w:rsid w:val="005D5638"/>
    <w:rsid w:val="005D5E0B"/>
    <w:rsid w:val="005D6F12"/>
    <w:rsid w:val="005E147E"/>
    <w:rsid w:val="005E1E94"/>
    <w:rsid w:val="005E7364"/>
    <w:rsid w:val="0061060B"/>
    <w:rsid w:val="00612692"/>
    <w:rsid w:val="00612B22"/>
    <w:rsid w:val="00612D33"/>
    <w:rsid w:val="00612D8A"/>
    <w:rsid w:val="00613FDD"/>
    <w:rsid w:val="0061471D"/>
    <w:rsid w:val="00616315"/>
    <w:rsid w:val="00616689"/>
    <w:rsid w:val="00625609"/>
    <w:rsid w:val="006279EA"/>
    <w:rsid w:val="006305A2"/>
    <w:rsid w:val="0063457A"/>
    <w:rsid w:val="006360D9"/>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A0F70"/>
    <w:rsid w:val="006A6D3D"/>
    <w:rsid w:val="006A7B4A"/>
    <w:rsid w:val="006B30B4"/>
    <w:rsid w:val="006B3266"/>
    <w:rsid w:val="006B474D"/>
    <w:rsid w:val="006B566C"/>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045E"/>
    <w:rsid w:val="00711142"/>
    <w:rsid w:val="007113B8"/>
    <w:rsid w:val="00713BFB"/>
    <w:rsid w:val="00713C40"/>
    <w:rsid w:val="0071524D"/>
    <w:rsid w:val="00720E1D"/>
    <w:rsid w:val="00723285"/>
    <w:rsid w:val="007265F3"/>
    <w:rsid w:val="007275F1"/>
    <w:rsid w:val="00741BEB"/>
    <w:rsid w:val="00742808"/>
    <w:rsid w:val="007455AA"/>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0B3"/>
    <w:rsid w:val="007C47AD"/>
    <w:rsid w:val="007D13B5"/>
    <w:rsid w:val="007D5564"/>
    <w:rsid w:val="007D5790"/>
    <w:rsid w:val="007D6C8E"/>
    <w:rsid w:val="007D6E10"/>
    <w:rsid w:val="007E0BB9"/>
    <w:rsid w:val="007E3EBA"/>
    <w:rsid w:val="007E4AF0"/>
    <w:rsid w:val="007E64D9"/>
    <w:rsid w:val="007E76DF"/>
    <w:rsid w:val="007F13A1"/>
    <w:rsid w:val="007F28A8"/>
    <w:rsid w:val="007F2F20"/>
    <w:rsid w:val="0080283A"/>
    <w:rsid w:val="00803441"/>
    <w:rsid w:val="008047FE"/>
    <w:rsid w:val="00806004"/>
    <w:rsid w:val="008117C8"/>
    <w:rsid w:val="00817165"/>
    <w:rsid w:val="0081755D"/>
    <w:rsid w:val="00823B72"/>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838B5"/>
    <w:rsid w:val="0089066F"/>
    <w:rsid w:val="00893821"/>
    <w:rsid w:val="0089745E"/>
    <w:rsid w:val="008A2A1D"/>
    <w:rsid w:val="008B48FF"/>
    <w:rsid w:val="008B4D15"/>
    <w:rsid w:val="008C0203"/>
    <w:rsid w:val="008C281E"/>
    <w:rsid w:val="008C4C9B"/>
    <w:rsid w:val="008C6CA3"/>
    <w:rsid w:val="008D0120"/>
    <w:rsid w:val="008D530E"/>
    <w:rsid w:val="008D6D41"/>
    <w:rsid w:val="008D75FE"/>
    <w:rsid w:val="008F7578"/>
    <w:rsid w:val="00901DAA"/>
    <w:rsid w:val="00904334"/>
    <w:rsid w:val="00912F97"/>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915"/>
    <w:rsid w:val="009A7E25"/>
    <w:rsid w:val="009B23EB"/>
    <w:rsid w:val="009C5EEB"/>
    <w:rsid w:val="009D0ED1"/>
    <w:rsid w:val="009D2374"/>
    <w:rsid w:val="009D3F9D"/>
    <w:rsid w:val="009E4A6A"/>
    <w:rsid w:val="009E5700"/>
    <w:rsid w:val="009E6659"/>
    <w:rsid w:val="009E699C"/>
    <w:rsid w:val="009E6FCD"/>
    <w:rsid w:val="009F6BFE"/>
    <w:rsid w:val="009F6EC9"/>
    <w:rsid w:val="00A02E61"/>
    <w:rsid w:val="00A04CF6"/>
    <w:rsid w:val="00A0501F"/>
    <w:rsid w:val="00A06678"/>
    <w:rsid w:val="00A06FD7"/>
    <w:rsid w:val="00A11AC8"/>
    <w:rsid w:val="00A15D69"/>
    <w:rsid w:val="00A171F6"/>
    <w:rsid w:val="00A178F7"/>
    <w:rsid w:val="00A17AC8"/>
    <w:rsid w:val="00A20D4F"/>
    <w:rsid w:val="00A21F44"/>
    <w:rsid w:val="00A22773"/>
    <w:rsid w:val="00A2313D"/>
    <w:rsid w:val="00A315D1"/>
    <w:rsid w:val="00A3368A"/>
    <w:rsid w:val="00A35ECF"/>
    <w:rsid w:val="00A37A78"/>
    <w:rsid w:val="00A40390"/>
    <w:rsid w:val="00A415E4"/>
    <w:rsid w:val="00A45C80"/>
    <w:rsid w:val="00A4747A"/>
    <w:rsid w:val="00A53C87"/>
    <w:rsid w:val="00A5542E"/>
    <w:rsid w:val="00A55BBF"/>
    <w:rsid w:val="00A55E21"/>
    <w:rsid w:val="00A5709E"/>
    <w:rsid w:val="00A6324D"/>
    <w:rsid w:val="00A65619"/>
    <w:rsid w:val="00A70C54"/>
    <w:rsid w:val="00A7457B"/>
    <w:rsid w:val="00A812FD"/>
    <w:rsid w:val="00A84870"/>
    <w:rsid w:val="00A84BF5"/>
    <w:rsid w:val="00A877F4"/>
    <w:rsid w:val="00A90559"/>
    <w:rsid w:val="00A941F8"/>
    <w:rsid w:val="00A94A7D"/>
    <w:rsid w:val="00A97C24"/>
    <w:rsid w:val="00AA06DE"/>
    <w:rsid w:val="00AA424C"/>
    <w:rsid w:val="00AA48A2"/>
    <w:rsid w:val="00AA4A92"/>
    <w:rsid w:val="00AA77BE"/>
    <w:rsid w:val="00AB045A"/>
    <w:rsid w:val="00AB1DDF"/>
    <w:rsid w:val="00AB2010"/>
    <w:rsid w:val="00AB4B6A"/>
    <w:rsid w:val="00AC3941"/>
    <w:rsid w:val="00AC7A65"/>
    <w:rsid w:val="00AD3A75"/>
    <w:rsid w:val="00AD6210"/>
    <w:rsid w:val="00AD68F6"/>
    <w:rsid w:val="00AD696E"/>
    <w:rsid w:val="00AE25AA"/>
    <w:rsid w:val="00AE3EDF"/>
    <w:rsid w:val="00AF5C99"/>
    <w:rsid w:val="00AF61A3"/>
    <w:rsid w:val="00B01068"/>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2257"/>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59AD"/>
    <w:rsid w:val="00CB53EF"/>
    <w:rsid w:val="00CB585B"/>
    <w:rsid w:val="00CC0273"/>
    <w:rsid w:val="00CC5C45"/>
    <w:rsid w:val="00CD4B4E"/>
    <w:rsid w:val="00CD4DBA"/>
    <w:rsid w:val="00CE5DDA"/>
    <w:rsid w:val="00CE6944"/>
    <w:rsid w:val="00CF0479"/>
    <w:rsid w:val="00CF0C70"/>
    <w:rsid w:val="00CF0E6A"/>
    <w:rsid w:val="00CF1EC4"/>
    <w:rsid w:val="00CF3FFB"/>
    <w:rsid w:val="00CF7A06"/>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64E0"/>
    <w:rsid w:val="00DC0273"/>
    <w:rsid w:val="00DC08CA"/>
    <w:rsid w:val="00DC19BA"/>
    <w:rsid w:val="00DD4D88"/>
    <w:rsid w:val="00DD756A"/>
    <w:rsid w:val="00DE1463"/>
    <w:rsid w:val="00DE4CC1"/>
    <w:rsid w:val="00DE66D1"/>
    <w:rsid w:val="00DF2772"/>
    <w:rsid w:val="00DF37B4"/>
    <w:rsid w:val="00DF4FE2"/>
    <w:rsid w:val="00E00A3B"/>
    <w:rsid w:val="00E14B8C"/>
    <w:rsid w:val="00E16E23"/>
    <w:rsid w:val="00E242B5"/>
    <w:rsid w:val="00E33645"/>
    <w:rsid w:val="00E358DD"/>
    <w:rsid w:val="00E369C8"/>
    <w:rsid w:val="00E3709B"/>
    <w:rsid w:val="00E40B8D"/>
    <w:rsid w:val="00E43151"/>
    <w:rsid w:val="00E44699"/>
    <w:rsid w:val="00E452A1"/>
    <w:rsid w:val="00E477AC"/>
    <w:rsid w:val="00E50228"/>
    <w:rsid w:val="00E53416"/>
    <w:rsid w:val="00E54404"/>
    <w:rsid w:val="00E5638E"/>
    <w:rsid w:val="00E66676"/>
    <w:rsid w:val="00E679A7"/>
    <w:rsid w:val="00E67F33"/>
    <w:rsid w:val="00E70218"/>
    <w:rsid w:val="00E74403"/>
    <w:rsid w:val="00E774BD"/>
    <w:rsid w:val="00E80A94"/>
    <w:rsid w:val="00E910C9"/>
    <w:rsid w:val="00E92036"/>
    <w:rsid w:val="00EA0DEB"/>
    <w:rsid w:val="00EA36CB"/>
    <w:rsid w:val="00EA47CB"/>
    <w:rsid w:val="00EA55B6"/>
    <w:rsid w:val="00EA6BAD"/>
    <w:rsid w:val="00EB0FC5"/>
    <w:rsid w:val="00EB1B8B"/>
    <w:rsid w:val="00EB2419"/>
    <w:rsid w:val="00EB56F9"/>
    <w:rsid w:val="00EC0C0B"/>
    <w:rsid w:val="00ED0AE9"/>
    <w:rsid w:val="00ED2C1E"/>
    <w:rsid w:val="00ED5C52"/>
    <w:rsid w:val="00ED61A0"/>
    <w:rsid w:val="00EE47D3"/>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44C8D"/>
    <w:rsid w:val="00F5011A"/>
    <w:rsid w:val="00F50DFE"/>
    <w:rsid w:val="00F5354D"/>
    <w:rsid w:val="00F654C5"/>
    <w:rsid w:val="00F71A4F"/>
    <w:rsid w:val="00F7374A"/>
    <w:rsid w:val="00F73767"/>
    <w:rsid w:val="00F858A8"/>
    <w:rsid w:val="00F909F5"/>
    <w:rsid w:val="00F944E5"/>
    <w:rsid w:val="00F95FC8"/>
    <w:rsid w:val="00FA0EAF"/>
    <w:rsid w:val="00FB0B10"/>
    <w:rsid w:val="00FB5A3C"/>
    <w:rsid w:val="00FB5D95"/>
    <w:rsid w:val="00FB6878"/>
    <w:rsid w:val="00FB7575"/>
    <w:rsid w:val="00FC1577"/>
    <w:rsid w:val="00FC365E"/>
    <w:rsid w:val="00FC7A84"/>
    <w:rsid w:val="00FD344C"/>
    <w:rsid w:val="00FD6FDB"/>
    <w:rsid w:val="00FE13AF"/>
    <w:rsid w:val="00FE2331"/>
    <w:rsid w:val="00FE5702"/>
    <w:rsid w:val="00FE71CA"/>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50EA0"/>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 w:type="character" w:styleId="UnresolvedMention">
    <w:name w:val="Unresolved Mention"/>
    <w:basedOn w:val="DefaultParagraphFont"/>
    <w:uiPriority w:val="99"/>
    <w:semiHidden/>
    <w:unhideWhenUsed/>
    <w:rsid w:val="003C4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052">
      <w:bodyDiv w:val="1"/>
      <w:marLeft w:val="0"/>
      <w:marRight w:val="0"/>
      <w:marTop w:val="0"/>
      <w:marBottom w:val="0"/>
      <w:divBdr>
        <w:top w:val="none" w:sz="0" w:space="0" w:color="auto"/>
        <w:left w:val="none" w:sz="0" w:space="0" w:color="auto"/>
        <w:bottom w:val="none" w:sz="0" w:space="0" w:color="auto"/>
        <w:right w:val="none" w:sz="0" w:space="0" w:color="auto"/>
      </w:divBdr>
    </w:div>
    <w:div w:id="43868116">
      <w:bodyDiv w:val="1"/>
      <w:marLeft w:val="0"/>
      <w:marRight w:val="0"/>
      <w:marTop w:val="0"/>
      <w:marBottom w:val="0"/>
      <w:divBdr>
        <w:top w:val="none" w:sz="0" w:space="0" w:color="auto"/>
        <w:left w:val="none" w:sz="0" w:space="0" w:color="auto"/>
        <w:bottom w:val="none" w:sz="0" w:space="0" w:color="auto"/>
        <w:right w:val="none" w:sz="0" w:space="0" w:color="auto"/>
      </w:divBdr>
    </w:div>
    <w:div w:id="125050956">
      <w:bodyDiv w:val="1"/>
      <w:marLeft w:val="0"/>
      <w:marRight w:val="0"/>
      <w:marTop w:val="0"/>
      <w:marBottom w:val="0"/>
      <w:divBdr>
        <w:top w:val="none" w:sz="0" w:space="0" w:color="auto"/>
        <w:left w:val="none" w:sz="0" w:space="0" w:color="auto"/>
        <w:bottom w:val="none" w:sz="0" w:space="0" w:color="auto"/>
        <w:right w:val="none" w:sz="0" w:space="0" w:color="auto"/>
      </w:divBdr>
    </w:div>
    <w:div w:id="152265010">
      <w:bodyDiv w:val="1"/>
      <w:marLeft w:val="0"/>
      <w:marRight w:val="0"/>
      <w:marTop w:val="0"/>
      <w:marBottom w:val="0"/>
      <w:divBdr>
        <w:top w:val="none" w:sz="0" w:space="0" w:color="auto"/>
        <w:left w:val="none" w:sz="0" w:space="0" w:color="auto"/>
        <w:bottom w:val="none" w:sz="0" w:space="0" w:color="auto"/>
        <w:right w:val="none" w:sz="0" w:space="0" w:color="auto"/>
      </w:divBdr>
    </w:div>
    <w:div w:id="173619986">
      <w:bodyDiv w:val="1"/>
      <w:marLeft w:val="0"/>
      <w:marRight w:val="0"/>
      <w:marTop w:val="0"/>
      <w:marBottom w:val="0"/>
      <w:divBdr>
        <w:top w:val="none" w:sz="0" w:space="0" w:color="auto"/>
        <w:left w:val="none" w:sz="0" w:space="0" w:color="auto"/>
        <w:bottom w:val="none" w:sz="0" w:space="0" w:color="auto"/>
        <w:right w:val="none" w:sz="0" w:space="0" w:color="auto"/>
      </w:divBdr>
    </w:div>
    <w:div w:id="183132594">
      <w:bodyDiv w:val="1"/>
      <w:marLeft w:val="0"/>
      <w:marRight w:val="0"/>
      <w:marTop w:val="0"/>
      <w:marBottom w:val="0"/>
      <w:divBdr>
        <w:top w:val="none" w:sz="0" w:space="0" w:color="auto"/>
        <w:left w:val="none" w:sz="0" w:space="0" w:color="auto"/>
        <w:bottom w:val="none" w:sz="0" w:space="0" w:color="auto"/>
        <w:right w:val="none" w:sz="0" w:space="0" w:color="auto"/>
      </w:divBdr>
    </w:div>
    <w:div w:id="201555605">
      <w:bodyDiv w:val="1"/>
      <w:marLeft w:val="0"/>
      <w:marRight w:val="0"/>
      <w:marTop w:val="0"/>
      <w:marBottom w:val="0"/>
      <w:divBdr>
        <w:top w:val="none" w:sz="0" w:space="0" w:color="auto"/>
        <w:left w:val="none" w:sz="0" w:space="0" w:color="auto"/>
        <w:bottom w:val="none" w:sz="0" w:space="0" w:color="auto"/>
        <w:right w:val="none" w:sz="0" w:space="0" w:color="auto"/>
      </w:divBdr>
    </w:div>
    <w:div w:id="265357813">
      <w:bodyDiv w:val="1"/>
      <w:marLeft w:val="0"/>
      <w:marRight w:val="0"/>
      <w:marTop w:val="0"/>
      <w:marBottom w:val="0"/>
      <w:divBdr>
        <w:top w:val="none" w:sz="0" w:space="0" w:color="auto"/>
        <w:left w:val="none" w:sz="0" w:space="0" w:color="auto"/>
        <w:bottom w:val="none" w:sz="0" w:space="0" w:color="auto"/>
        <w:right w:val="none" w:sz="0" w:space="0" w:color="auto"/>
      </w:divBdr>
    </w:div>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357202102">
      <w:bodyDiv w:val="1"/>
      <w:marLeft w:val="0"/>
      <w:marRight w:val="0"/>
      <w:marTop w:val="0"/>
      <w:marBottom w:val="0"/>
      <w:divBdr>
        <w:top w:val="none" w:sz="0" w:space="0" w:color="auto"/>
        <w:left w:val="none" w:sz="0" w:space="0" w:color="auto"/>
        <w:bottom w:val="none" w:sz="0" w:space="0" w:color="auto"/>
        <w:right w:val="none" w:sz="0" w:space="0" w:color="auto"/>
      </w:divBdr>
    </w:div>
    <w:div w:id="367881212">
      <w:bodyDiv w:val="1"/>
      <w:marLeft w:val="0"/>
      <w:marRight w:val="0"/>
      <w:marTop w:val="0"/>
      <w:marBottom w:val="0"/>
      <w:divBdr>
        <w:top w:val="none" w:sz="0" w:space="0" w:color="auto"/>
        <w:left w:val="none" w:sz="0" w:space="0" w:color="auto"/>
        <w:bottom w:val="none" w:sz="0" w:space="0" w:color="auto"/>
        <w:right w:val="none" w:sz="0" w:space="0" w:color="auto"/>
      </w:divBdr>
    </w:div>
    <w:div w:id="561911890">
      <w:bodyDiv w:val="1"/>
      <w:marLeft w:val="0"/>
      <w:marRight w:val="0"/>
      <w:marTop w:val="0"/>
      <w:marBottom w:val="0"/>
      <w:divBdr>
        <w:top w:val="none" w:sz="0" w:space="0" w:color="auto"/>
        <w:left w:val="none" w:sz="0" w:space="0" w:color="auto"/>
        <w:bottom w:val="none" w:sz="0" w:space="0" w:color="auto"/>
        <w:right w:val="none" w:sz="0" w:space="0" w:color="auto"/>
      </w:divBdr>
    </w:div>
    <w:div w:id="611204045">
      <w:bodyDiv w:val="1"/>
      <w:marLeft w:val="0"/>
      <w:marRight w:val="0"/>
      <w:marTop w:val="0"/>
      <w:marBottom w:val="0"/>
      <w:divBdr>
        <w:top w:val="none" w:sz="0" w:space="0" w:color="auto"/>
        <w:left w:val="none" w:sz="0" w:space="0" w:color="auto"/>
        <w:bottom w:val="none" w:sz="0" w:space="0" w:color="auto"/>
        <w:right w:val="none" w:sz="0" w:space="0" w:color="auto"/>
      </w:divBdr>
    </w:div>
    <w:div w:id="620112143">
      <w:bodyDiv w:val="1"/>
      <w:marLeft w:val="0"/>
      <w:marRight w:val="0"/>
      <w:marTop w:val="0"/>
      <w:marBottom w:val="0"/>
      <w:divBdr>
        <w:top w:val="none" w:sz="0" w:space="0" w:color="auto"/>
        <w:left w:val="none" w:sz="0" w:space="0" w:color="auto"/>
        <w:bottom w:val="none" w:sz="0" w:space="0" w:color="auto"/>
        <w:right w:val="none" w:sz="0" w:space="0" w:color="auto"/>
      </w:divBdr>
    </w:div>
    <w:div w:id="632564318">
      <w:bodyDiv w:val="1"/>
      <w:marLeft w:val="0"/>
      <w:marRight w:val="0"/>
      <w:marTop w:val="0"/>
      <w:marBottom w:val="0"/>
      <w:divBdr>
        <w:top w:val="none" w:sz="0" w:space="0" w:color="auto"/>
        <w:left w:val="none" w:sz="0" w:space="0" w:color="auto"/>
        <w:bottom w:val="none" w:sz="0" w:space="0" w:color="auto"/>
        <w:right w:val="none" w:sz="0" w:space="0" w:color="auto"/>
      </w:divBdr>
    </w:div>
    <w:div w:id="861168227">
      <w:bodyDiv w:val="1"/>
      <w:marLeft w:val="0"/>
      <w:marRight w:val="0"/>
      <w:marTop w:val="0"/>
      <w:marBottom w:val="0"/>
      <w:divBdr>
        <w:top w:val="none" w:sz="0" w:space="0" w:color="auto"/>
        <w:left w:val="none" w:sz="0" w:space="0" w:color="auto"/>
        <w:bottom w:val="none" w:sz="0" w:space="0" w:color="auto"/>
        <w:right w:val="none" w:sz="0" w:space="0" w:color="auto"/>
      </w:divBdr>
    </w:div>
    <w:div w:id="891964698">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910190309">
      <w:bodyDiv w:val="1"/>
      <w:marLeft w:val="0"/>
      <w:marRight w:val="0"/>
      <w:marTop w:val="0"/>
      <w:marBottom w:val="0"/>
      <w:divBdr>
        <w:top w:val="none" w:sz="0" w:space="0" w:color="auto"/>
        <w:left w:val="none" w:sz="0" w:space="0" w:color="auto"/>
        <w:bottom w:val="none" w:sz="0" w:space="0" w:color="auto"/>
        <w:right w:val="none" w:sz="0" w:space="0" w:color="auto"/>
      </w:divBdr>
    </w:div>
    <w:div w:id="920454349">
      <w:bodyDiv w:val="1"/>
      <w:marLeft w:val="0"/>
      <w:marRight w:val="0"/>
      <w:marTop w:val="0"/>
      <w:marBottom w:val="0"/>
      <w:divBdr>
        <w:top w:val="none" w:sz="0" w:space="0" w:color="auto"/>
        <w:left w:val="none" w:sz="0" w:space="0" w:color="auto"/>
        <w:bottom w:val="none" w:sz="0" w:space="0" w:color="auto"/>
        <w:right w:val="none" w:sz="0" w:space="0" w:color="auto"/>
      </w:divBdr>
      <w:divsChild>
        <w:div w:id="1797943140">
          <w:marLeft w:val="0"/>
          <w:marRight w:val="0"/>
          <w:marTop w:val="150"/>
          <w:marBottom w:val="150"/>
          <w:divBdr>
            <w:top w:val="none" w:sz="0" w:space="0" w:color="auto"/>
            <w:left w:val="none" w:sz="0" w:space="0" w:color="auto"/>
            <w:bottom w:val="none" w:sz="0" w:space="0" w:color="auto"/>
            <w:right w:val="none" w:sz="0" w:space="0" w:color="auto"/>
          </w:divBdr>
        </w:div>
        <w:div w:id="1878154181">
          <w:marLeft w:val="0"/>
          <w:marRight w:val="0"/>
          <w:marTop w:val="150"/>
          <w:marBottom w:val="150"/>
          <w:divBdr>
            <w:top w:val="none" w:sz="0" w:space="0" w:color="auto"/>
            <w:left w:val="none" w:sz="0" w:space="0" w:color="auto"/>
            <w:bottom w:val="none" w:sz="0" w:space="0" w:color="auto"/>
            <w:right w:val="none" w:sz="0" w:space="0" w:color="auto"/>
          </w:divBdr>
        </w:div>
      </w:divsChild>
    </w:div>
    <w:div w:id="935558927">
      <w:bodyDiv w:val="1"/>
      <w:marLeft w:val="0"/>
      <w:marRight w:val="0"/>
      <w:marTop w:val="0"/>
      <w:marBottom w:val="0"/>
      <w:divBdr>
        <w:top w:val="none" w:sz="0" w:space="0" w:color="auto"/>
        <w:left w:val="none" w:sz="0" w:space="0" w:color="auto"/>
        <w:bottom w:val="none" w:sz="0" w:space="0" w:color="auto"/>
        <w:right w:val="none" w:sz="0" w:space="0" w:color="auto"/>
      </w:divBdr>
    </w:div>
    <w:div w:id="962342822">
      <w:bodyDiv w:val="1"/>
      <w:marLeft w:val="0"/>
      <w:marRight w:val="0"/>
      <w:marTop w:val="0"/>
      <w:marBottom w:val="0"/>
      <w:divBdr>
        <w:top w:val="none" w:sz="0" w:space="0" w:color="auto"/>
        <w:left w:val="none" w:sz="0" w:space="0" w:color="auto"/>
        <w:bottom w:val="none" w:sz="0" w:space="0" w:color="auto"/>
        <w:right w:val="none" w:sz="0" w:space="0" w:color="auto"/>
      </w:divBdr>
    </w:div>
    <w:div w:id="977420248">
      <w:bodyDiv w:val="1"/>
      <w:marLeft w:val="0"/>
      <w:marRight w:val="0"/>
      <w:marTop w:val="0"/>
      <w:marBottom w:val="0"/>
      <w:divBdr>
        <w:top w:val="none" w:sz="0" w:space="0" w:color="auto"/>
        <w:left w:val="none" w:sz="0" w:space="0" w:color="auto"/>
        <w:bottom w:val="none" w:sz="0" w:space="0" w:color="auto"/>
        <w:right w:val="none" w:sz="0" w:space="0" w:color="auto"/>
      </w:divBdr>
    </w:div>
    <w:div w:id="999969533">
      <w:bodyDiv w:val="1"/>
      <w:marLeft w:val="0"/>
      <w:marRight w:val="0"/>
      <w:marTop w:val="0"/>
      <w:marBottom w:val="0"/>
      <w:divBdr>
        <w:top w:val="none" w:sz="0" w:space="0" w:color="auto"/>
        <w:left w:val="none" w:sz="0" w:space="0" w:color="auto"/>
        <w:bottom w:val="none" w:sz="0" w:space="0" w:color="auto"/>
        <w:right w:val="none" w:sz="0" w:space="0" w:color="auto"/>
      </w:divBdr>
    </w:div>
    <w:div w:id="1040014397">
      <w:bodyDiv w:val="1"/>
      <w:marLeft w:val="0"/>
      <w:marRight w:val="0"/>
      <w:marTop w:val="0"/>
      <w:marBottom w:val="0"/>
      <w:divBdr>
        <w:top w:val="none" w:sz="0" w:space="0" w:color="auto"/>
        <w:left w:val="none" w:sz="0" w:space="0" w:color="auto"/>
        <w:bottom w:val="none" w:sz="0" w:space="0" w:color="auto"/>
        <w:right w:val="none" w:sz="0" w:space="0" w:color="auto"/>
      </w:divBdr>
    </w:div>
    <w:div w:id="1072393801">
      <w:bodyDiv w:val="1"/>
      <w:marLeft w:val="0"/>
      <w:marRight w:val="0"/>
      <w:marTop w:val="0"/>
      <w:marBottom w:val="0"/>
      <w:divBdr>
        <w:top w:val="none" w:sz="0" w:space="0" w:color="auto"/>
        <w:left w:val="none" w:sz="0" w:space="0" w:color="auto"/>
        <w:bottom w:val="none" w:sz="0" w:space="0" w:color="auto"/>
        <w:right w:val="none" w:sz="0" w:space="0" w:color="auto"/>
      </w:divBdr>
    </w:div>
    <w:div w:id="1095370131">
      <w:bodyDiv w:val="1"/>
      <w:marLeft w:val="0"/>
      <w:marRight w:val="0"/>
      <w:marTop w:val="0"/>
      <w:marBottom w:val="0"/>
      <w:divBdr>
        <w:top w:val="none" w:sz="0" w:space="0" w:color="auto"/>
        <w:left w:val="none" w:sz="0" w:space="0" w:color="auto"/>
        <w:bottom w:val="none" w:sz="0" w:space="0" w:color="auto"/>
        <w:right w:val="none" w:sz="0" w:space="0" w:color="auto"/>
      </w:divBdr>
    </w:div>
    <w:div w:id="1129663119">
      <w:bodyDiv w:val="1"/>
      <w:marLeft w:val="0"/>
      <w:marRight w:val="0"/>
      <w:marTop w:val="0"/>
      <w:marBottom w:val="0"/>
      <w:divBdr>
        <w:top w:val="none" w:sz="0" w:space="0" w:color="auto"/>
        <w:left w:val="none" w:sz="0" w:space="0" w:color="auto"/>
        <w:bottom w:val="none" w:sz="0" w:space="0" w:color="auto"/>
        <w:right w:val="none" w:sz="0" w:space="0" w:color="auto"/>
      </w:divBdr>
    </w:div>
    <w:div w:id="1141386653">
      <w:bodyDiv w:val="1"/>
      <w:marLeft w:val="0"/>
      <w:marRight w:val="0"/>
      <w:marTop w:val="0"/>
      <w:marBottom w:val="0"/>
      <w:divBdr>
        <w:top w:val="none" w:sz="0" w:space="0" w:color="auto"/>
        <w:left w:val="none" w:sz="0" w:space="0" w:color="auto"/>
        <w:bottom w:val="none" w:sz="0" w:space="0" w:color="auto"/>
        <w:right w:val="none" w:sz="0" w:space="0" w:color="auto"/>
      </w:divBdr>
    </w:div>
    <w:div w:id="1159492374">
      <w:bodyDiv w:val="1"/>
      <w:marLeft w:val="0"/>
      <w:marRight w:val="0"/>
      <w:marTop w:val="0"/>
      <w:marBottom w:val="0"/>
      <w:divBdr>
        <w:top w:val="none" w:sz="0" w:space="0" w:color="auto"/>
        <w:left w:val="none" w:sz="0" w:space="0" w:color="auto"/>
        <w:bottom w:val="none" w:sz="0" w:space="0" w:color="auto"/>
        <w:right w:val="none" w:sz="0" w:space="0" w:color="auto"/>
      </w:divBdr>
    </w:div>
    <w:div w:id="117553609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5502954">
      <w:bodyDiv w:val="1"/>
      <w:marLeft w:val="0"/>
      <w:marRight w:val="0"/>
      <w:marTop w:val="0"/>
      <w:marBottom w:val="0"/>
      <w:divBdr>
        <w:top w:val="none" w:sz="0" w:space="0" w:color="auto"/>
        <w:left w:val="none" w:sz="0" w:space="0" w:color="auto"/>
        <w:bottom w:val="none" w:sz="0" w:space="0" w:color="auto"/>
        <w:right w:val="none" w:sz="0" w:space="0" w:color="auto"/>
      </w:divBdr>
    </w:div>
    <w:div w:id="1324699952">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67872935">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413501911">
      <w:bodyDiv w:val="1"/>
      <w:marLeft w:val="0"/>
      <w:marRight w:val="0"/>
      <w:marTop w:val="0"/>
      <w:marBottom w:val="0"/>
      <w:divBdr>
        <w:top w:val="none" w:sz="0" w:space="0" w:color="auto"/>
        <w:left w:val="none" w:sz="0" w:space="0" w:color="auto"/>
        <w:bottom w:val="none" w:sz="0" w:space="0" w:color="auto"/>
        <w:right w:val="none" w:sz="0" w:space="0" w:color="auto"/>
      </w:divBdr>
    </w:div>
    <w:div w:id="1443263753">
      <w:bodyDiv w:val="1"/>
      <w:marLeft w:val="0"/>
      <w:marRight w:val="0"/>
      <w:marTop w:val="0"/>
      <w:marBottom w:val="0"/>
      <w:divBdr>
        <w:top w:val="none" w:sz="0" w:space="0" w:color="auto"/>
        <w:left w:val="none" w:sz="0" w:space="0" w:color="auto"/>
        <w:bottom w:val="none" w:sz="0" w:space="0" w:color="auto"/>
        <w:right w:val="none" w:sz="0" w:space="0" w:color="auto"/>
      </w:divBdr>
    </w:div>
    <w:div w:id="1464736866">
      <w:bodyDiv w:val="1"/>
      <w:marLeft w:val="0"/>
      <w:marRight w:val="0"/>
      <w:marTop w:val="0"/>
      <w:marBottom w:val="0"/>
      <w:divBdr>
        <w:top w:val="none" w:sz="0" w:space="0" w:color="auto"/>
        <w:left w:val="none" w:sz="0" w:space="0" w:color="auto"/>
        <w:bottom w:val="none" w:sz="0" w:space="0" w:color="auto"/>
        <w:right w:val="none" w:sz="0" w:space="0" w:color="auto"/>
      </w:divBdr>
    </w:div>
    <w:div w:id="1485201130">
      <w:bodyDiv w:val="1"/>
      <w:marLeft w:val="0"/>
      <w:marRight w:val="0"/>
      <w:marTop w:val="0"/>
      <w:marBottom w:val="0"/>
      <w:divBdr>
        <w:top w:val="none" w:sz="0" w:space="0" w:color="auto"/>
        <w:left w:val="none" w:sz="0" w:space="0" w:color="auto"/>
        <w:bottom w:val="none" w:sz="0" w:space="0" w:color="auto"/>
        <w:right w:val="none" w:sz="0" w:space="0" w:color="auto"/>
      </w:divBdr>
    </w:div>
    <w:div w:id="1598244367">
      <w:bodyDiv w:val="1"/>
      <w:marLeft w:val="0"/>
      <w:marRight w:val="0"/>
      <w:marTop w:val="0"/>
      <w:marBottom w:val="0"/>
      <w:divBdr>
        <w:top w:val="none" w:sz="0" w:space="0" w:color="auto"/>
        <w:left w:val="none" w:sz="0" w:space="0" w:color="auto"/>
        <w:bottom w:val="none" w:sz="0" w:space="0" w:color="auto"/>
        <w:right w:val="none" w:sz="0" w:space="0" w:color="auto"/>
      </w:divBdr>
    </w:div>
    <w:div w:id="1656178472">
      <w:bodyDiv w:val="1"/>
      <w:marLeft w:val="0"/>
      <w:marRight w:val="0"/>
      <w:marTop w:val="0"/>
      <w:marBottom w:val="0"/>
      <w:divBdr>
        <w:top w:val="none" w:sz="0" w:space="0" w:color="auto"/>
        <w:left w:val="none" w:sz="0" w:space="0" w:color="auto"/>
        <w:bottom w:val="none" w:sz="0" w:space="0" w:color="auto"/>
        <w:right w:val="none" w:sz="0" w:space="0" w:color="auto"/>
      </w:divBdr>
    </w:div>
    <w:div w:id="1703558674">
      <w:bodyDiv w:val="1"/>
      <w:marLeft w:val="0"/>
      <w:marRight w:val="0"/>
      <w:marTop w:val="0"/>
      <w:marBottom w:val="0"/>
      <w:divBdr>
        <w:top w:val="none" w:sz="0" w:space="0" w:color="auto"/>
        <w:left w:val="none" w:sz="0" w:space="0" w:color="auto"/>
        <w:bottom w:val="none" w:sz="0" w:space="0" w:color="auto"/>
        <w:right w:val="none" w:sz="0" w:space="0" w:color="auto"/>
      </w:divBdr>
    </w:div>
    <w:div w:id="1800491592">
      <w:bodyDiv w:val="1"/>
      <w:marLeft w:val="0"/>
      <w:marRight w:val="0"/>
      <w:marTop w:val="0"/>
      <w:marBottom w:val="0"/>
      <w:divBdr>
        <w:top w:val="none" w:sz="0" w:space="0" w:color="auto"/>
        <w:left w:val="none" w:sz="0" w:space="0" w:color="auto"/>
        <w:bottom w:val="none" w:sz="0" w:space="0" w:color="auto"/>
        <w:right w:val="none" w:sz="0" w:space="0" w:color="auto"/>
      </w:divBdr>
    </w:div>
    <w:div w:id="1822581020">
      <w:bodyDiv w:val="1"/>
      <w:marLeft w:val="0"/>
      <w:marRight w:val="0"/>
      <w:marTop w:val="0"/>
      <w:marBottom w:val="0"/>
      <w:divBdr>
        <w:top w:val="none" w:sz="0" w:space="0" w:color="auto"/>
        <w:left w:val="none" w:sz="0" w:space="0" w:color="auto"/>
        <w:bottom w:val="none" w:sz="0" w:space="0" w:color="auto"/>
        <w:right w:val="none" w:sz="0" w:space="0" w:color="auto"/>
      </w:divBdr>
    </w:div>
    <w:div w:id="1917129261">
      <w:bodyDiv w:val="1"/>
      <w:marLeft w:val="0"/>
      <w:marRight w:val="0"/>
      <w:marTop w:val="0"/>
      <w:marBottom w:val="0"/>
      <w:divBdr>
        <w:top w:val="none" w:sz="0" w:space="0" w:color="auto"/>
        <w:left w:val="none" w:sz="0" w:space="0" w:color="auto"/>
        <w:bottom w:val="none" w:sz="0" w:space="0" w:color="auto"/>
        <w:right w:val="none" w:sz="0" w:space="0" w:color="auto"/>
      </w:divBdr>
    </w:div>
    <w:div w:id="1930037808">
      <w:bodyDiv w:val="1"/>
      <w:marLeft w:val="0"/>
      <w:marRight w:val="0"/>
      <w:marTop w:val="0"/>
      <w:marBottom w:val="0"/>
      <w:divBdr>
        <w:top w:val="none" w:sz="0" w:space="0" w:color="auto"/>
        <w:left w:val="none" w:sz="0" w:space="0" w:color="auto"/>
        <w:bottom w:val="none" w:sz="0" w:space="0" w:color="auto"/>
        <w:right w:val="none" w:sz="0" w:space="0" w:color="auto"/>
      </w:divBdr>
    </w:div>
    <w:div w:id="1942182681">
      <w:bodyDiv w:val="1"/>
      <w:marLeft w:val="0"/>
      <w:marRight w:val="0"/>
      <w:marTop w:val="0"/>
      <w:marBottom w:val="0"/>
      <w:divBdr>
        <w:top w:val="none" w:sz="0" w:space="0" w:color="auto"/>
        <w:left w:val="none" w:sz="0" w:space="0" w:color="auto"/>
        <w:bottom w:val="none" w:sz="0" w:space="0" w:color="auto"/>
        <w:right w:val="none" w:sz="0" w:space="0" w:color="auto"/>
      </w:divBdr>
    </w:div>
    <w:div w:id="20830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ublication/1266" TargetMode="External"/><Relationship Id="rId13" Type="http://schemas.openxmlformats.org/officeDocument/2006/relationships/hyperlink" Target="https://webstore.iec.ch/publication/608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ec.ch/publication/2849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ore.iec.ch/publication/637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ublication/1268" TargetMode="External"/><Relationship Id="rId5" Type="http://schemas.openxmlformats.org/officeDocument/2006/relationships/webSettings" Target="webSettings.xml"/><Relationship Id="rId15" Type="http://schemas.openxmlformats.org/officeDocument/2006/relationships/hyperlink" Target="https://webstore.iec.ch/publication/1280" TargetMode="External"/><Relationship Id="rId10" Type="http://schemas.openxmlformats.org/officeDocument/2006/relationships/hyperlink" Target="https://webstore.iec.ch/publication/126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store.iec.ch/publication/22254" TargetMode="External"/><Relationship Id="rId14" Type="http://schemas.openxmlformats.org/officeDocument/2006/relationships/hyperlink" Target="https://webstore.iec.ch/publication/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56178-D67E-483F-B2C8-7BECBDB2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Robert Njoroge</cp:lastModifiedBy>
  <cp:revision>51</cp:revision>
  <cp:lastPrinted>2008-07-11T13:15:00Z</cp:lastPrinted>
  <dcterms:created xsi:type="dcterms:W3CDTF">2019-04-20T08:00:00Z</dcterms:created>
  <dcterms:modified xsi:type="dcterms:W3CDTF">2020-03-09T13:51:00Z</dcterms:modified>
</cp:coreProperties>
</file>