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8144FC">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8144FC">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8144FC">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8144FC">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8144FC">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8144FC">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8144FC">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8144FC" w:rsidRDefault="000F6635" w:rsidP="008144FC">
            <w:pPr>
              <w:tabs>
                <w:tab w:val="center" w:pos="4320"/>
                <w:tab w:val="right" w:pos="8640"/>
              </w:tabs>
              <w:rPr>
                <w:rFonts w:ascii="Arial Narrow" w:hAnsi="Arial Narrow"/>
                <w:b/>
              </w:rPr>
            </w:pPr>
            <w:r w:rsidRPr="008144FC">
              <w:rPr>
                <w:rFonts w:ascii="Arial Narrow" w:hAnsi="Arial Narrow"/>
                <w:b/>
              </w:rPr>
              <w:t>22 December 2021</w:t>
            </w:r>
          </w:p>
        </w:tc>
        <w:tc>
          <w:tcPr>
            <w:tcW w:w="2970" w:type="dxa"/>
            <w:tcBorders>
              <w:top w:val="single" w:sz="4" w:space="0" w:color="auto"/>
              <w:left w:val="single" w:sz="4" w:space="0" w:color="auto"/>
              <w:bottom w:val="single" w:sz="4" w:space="0" w:color="auto"/>
              <w:right w:val="single" w:sz="4" w:space="0" w:color="auto"/>
            </w:tcBorders>
          </w:tcPr>
          <w:p w:rsidR="007D7BDE" w:rsidRPr="008144FC" w:rsidRDefault="000F6635" w:rsidP="008144FC">
            <w:pPr>
              <w:tabs>
                <w:tab w:val="center" w:pos="4320"/>
                <w:tab w:val="right" w:pos="8640"/>
              </w:tabs>
              <w:rPr>
                <w:rFonts w:ascii="Arial Narrow" w:hAnsi="Arial Narrow"/>
                <w:b/>
              </w:rPr>
            </w:pPr>
            <w:r w:rsidRPr="008144FC">
              <w:rPr>
                <w:rFonts w:ascii="Arial Narrow" w:hAnsi="Arial Narrow"/>
                <w:b/>
              </w:rPr>
              <w:t>29</w:t>
            </w:r>
            <w:r w:rsidRPr="008144FC">
              <w:rPr>
                <w:rFonts w:ascii="Arial Narrow" w:hAnsi="Arial Narrow"/>
                <w:b/>
                <w:vertAlign w:val="superscript"/>
              </w:rPr>
              <w:t>th</w:t>
            </w:r>
            <w:r w:rsidRPr="008144FC">
              <w:rPr>
                <w:rFonts w:ascii="Arial Narrow" w:hAnsi="Arial Narrow"/>
                <w:b/>
              </w:rPr>
              <w:t xml:space="preserve"> January 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8144FC">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8144FC">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0F6635">
              <w:rPr>
                <w:rFonts w:ascii="Arial Narrow" w:hAnsi="Arial Narrow" w:cs="Arial"/>
                <w:b/>
                <w:bCs/>
              </w:rPr>
              <w:t xml:space="preserve">tandards for the attention of Jacob Mutungi </w:t>
            </w:r>
            <w:hyperlink r:id="rId7" w:history="1">
              <w:r w:rsidR="000F6635" w:rsidRPr="00624BAB">
                <w:rPr>
                  <w:rStyle w:val="Hyperlink"/>
                  <w:rFonts w:ascii="Arial Narrow" w:hAnsi="Arial Narrow" w:cs="Arial"/>
                  <w:b/>
                  <w:bCs/>
                </w:rPr>
                <w:t>mutungij@kebs.org</w:t>
              </w:r>
            </w:hyperlink>
            <w:r w:rsidR="000F6635">
              <w:rPr>
                <w:rFonts w:ascii="Arial Narrow" w:hAnsi="Arial Narrow" w:cs="Arial"/>
                <w:b/>
                <w:bCs/>
              </w:rPr>
              <w:t xml:space="preserve">  </w:t>
            </w:r>
          </w:p>
        </w:tc>
      </w:tr>
    </w:tbl>
    <w:p w:rsidR="007D7BDE" w:rsidRPr="00556197" w:rsidRDefault="007D7BDE" w:rsidP="008144FC">
      <w:pPr>
        <w:autoSpaceDE w:val="0"/>
        <w:autoSpaceDN w:val="0"/>
        <w:adjustRightInd w:val="0"/>
        <w:spacing w:before="240" w:after="240"/>
        <w:rPr>
          <w:rFonts w:ascii="Arial Narrow" w:hAnsi="Arial Narrow" w:cs="Arial"/>
        </w:rPr>
      </w:pPr>
      <w:r w:rsidRPr="00556197">
        <w:rPr>
          <w:rFonts w:ascii="Arial Narrow" w:hAnsi="Arial Narrow" w:cs="Arial"/>
        </w:rPr>
        <w:t xml:space="preserve">The Kenya Bureau of Standards intends to adopt the International Standards as detailed here </w:t>
      </w:r>
      <w:proofErr w:type="gramStart"/>
      <w:r w:rsidRPr="00556197">
        <w:rPr>
          <w:rFonts w:ascii="Arial Narrow" w:hAnsi="Arial Narrow" w:cs="Arial"/>
        </w:rPr>
        <w:t>below .</w:t>
      </w:r>
      <w:proofErr w:type="gramEnd"/>
    </w:p>
    <w:p w:rsidR="007D7BDE" w:rsidRPr="008144FC" w:rsidRDefault="000F6635" w:rsidP="008144FC">
      <w:pPr>
        <w:pStyle w:val="ListParagraph"/>
        <w:numPr>
          <w:ilvl w:val="0"/>
          <w:numId w:val="5"/>
        </w:numPr>
        <w:autoSpaceDE w:val="0"/>
        <w:autoSpaceDN w:val="0"/>
        <w:adjustRightInd w:val="0"/>
        <w:spacing w:before="240" w:after="240"/>
        <w:jc w:val="both"/>
        <w:rPr>
          <w:rFonts w:ascii="Arial Narrow" w:hAnsi="Arial Narrow" w:cs="Arial"/>
        </w:rPr>
      </w:pPr>
      <w:r w:rsidRPr="008144FC">
        <w:rPr>
          <w:rFonts w:ascii="Arial Narrow" w:hAnsi="Arial Narrow" w:cs="Arial"/>
        </w:rPr>
        <w:t xml:space="preserve">Number: </w:t>
      </w:r>
      <w:r w:rsidRPr="008144FC">
        <w:rPr>
          <w:rFonts w:ascii="Arial Narrow" w:hAnsi="Arial Narrow" w:cs="Arial"/>
          <w:b/>
        </w:rPr>
        <w:t>ISO 30415</w:t>
      </w:r>
    </w:p>
    <w:p w:rsidR="007D7BDE" w:rsidRPr="00556197" w:rsidRDefault="000F6635" w:rsidP="008144FC">
      <w:pPr>
        <w:autoSpaceDE w:val="0"/>
        <w:autoSpaceDN w:val="0"/>
        <w:adjustRightInd w:val="0"/>
        <w:spacing w:before="240" w:after="240"/>
        <w:ind w:left="360"/>
        <w:rPr>
          <w:rFonts w:ascii="Arial Narrow" w:hAnsi="Arial Narrow" w:cs="Arial"/>
        </w:rPr>
      </w:pPr>
      <w:r w:rsidRPr="00556197">
        <w:rPr>
          <w:rFonts w:ascii="Arial Narrow" w:hAnsi="Arial Narrow" w:cs="Arial"/>
        </w:rPr>
        <w:t>Title</w:t>
      </w:r>
      <w:r>
        <w:rPr>
          <w:rFonts w:ascii="Arial Narrow" w:hAnsi="Arial Narrow" w:cs="Arial"/>
        </w:rPr>
        <w:t xml:space="preserve">: Human resource management — </w:t>
      </w:r>
      <w:r w:rsidRPr="000F6635">
        <w:rPr>
          <w:rFonts w:ascii="Arial Narrow" w:hAnsi="Arial Narrow" w:cs="Arial"/>
        </w:rPr>
        <w:t>Diversity and inclusion</w:t>
      </w:r>
      <w:bookmarkStart w:id="21" w:name="_GoBack"/>
      <w:bookmarkEnd w:id="21"/>
      <w:r>
        <w:rPr>
          <w:rFonts w:ascii="Arial Narrow" w:hAnsi="Arial Narrow" w:cs="Arial"/>
        </w:rPr>
        <w:t>.</w:t>
      </w:r>
    </w:p>
    <w:p w:rsidR="000F6635" w:rsidRPr="000F6635" w:rsidRDefault="000F6635" w:rsidP="008144FC">
      <w:pPr>
        <w:autoSpaceDE w:val="0"/>
        <w:autoSpaceDN w:val="0"/>
        <w:adjustRightInd w:val="0"/>
        <w:spacing w:before="240" w:after="240"/>
        <w:ind w:left="360"/>
        <w:jc w:val="both"/>
        <w:rPr>
          <w:rFonts w:ascii="Arial Narrow" w:hAnsi="Arial Narrow" w:cs="Arial"/>
        </w:rPr>
      </w:pPr>
      <w:r>
        <w:rPr>
          <w:rFonts w:ascii="Arial Narrow" w:hAnsi="Arial Narrow" w:cs="Arial"/>
        </w:rPr>
        <w:t>Scope:</w:t>
      </w:r>
    </w:p>
    <w:p w:rsidR="000F6635" w:rsidRPr="000F6635" w:rsidRDefault="000F6635" w:rsidP="008144FC">
      <w:pPr>
        <w:autoSpaceDE w:val="0"/>
        <w:autoSpaceDN w:val="0"/>
        <w:adjustRightInd w:val="0"/>
        <w:spacing w:before="240" w:after="240"/>
        <w:ind w:left="360"/>
        <w:jc w:val="both"/>
        <w:rPr>
          <w:rFonts w:ascii="Arial Narrow" w:hAnsi="Arial Narrow" w:cs="Arial"/>
        </w:rPr>
      </w:pPr>
      <w:r w:rsidRPr="000F6635">
        <w:rPr>
          <w:rFonts w:ascii="Arial Narrow" w:hAnsi="Arial Narrow" w:cs="Arial"/>
        </w:rPr>
        <w:t>This document provides guidance on D&amp;I for organizations, including their governance body, leaders, workforce and recognized representatives, and other stakeholders. It is intended to be scalable to the needs of all types of organizations in different sectors, whether in public, private, government or non-governmental organizations (NGO), regardless of size, type, activity, industry or sector, growth phase, external influences and country-specific requirements.</w:t>
      </w:r>
    </w:p>
    <w:p w:rsidR="000F6635" w:rsidRPr="000F6635" w:rsidRDefault="000F6635" w:rsidP="008144FC">
      <w:pPr>
        <w:autoSpaceDE w:val="0"/>
        <w:autoSpaceDN w:val="0"/>
        <w:adjustRightInd w:val="0"/>
        <w:spacing w:before="240" w:after="240"/>
        <w:ind w:left="360"/>
        <w:jc w:val="both"/>
        <w:rPr>
          <w:rFonts w:ascii="Arial Narrow" w:hAnsi="Arial Narrow" w:cs="Arial"/>
        </w:rPr>
      </w:pPr>
      <w:r w:rsidRPr="000F6635">
        <w:rPr>
          <w:rFonts w:ascii="Arial Narrow" w:hAnsi="Arial Narrow" w:cs="Arial"/>
        </w:rPr>
        <w:t>This document presents fundamental prerequisites for D&amp;I, associated accountabilities and responsibilities, recommended actions, suggested measures and potential outcomes. It recognizes that each organization is different and that decision makers need to determine the most appropriate approach to embedding D&amp;I in their organization, based on the organization’s context and any disruptive challenges that emerge.</w:t>
      </w:r>
    </w:p>
    <w:p w:rsid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 xml:space="preserve">This document does not address the specific aspects of relations with </w:t>
      </w:r>
      <w:proofErr w:type="spellStart"/>
      <w:r w:rsidRPr="000F6635">
        <w:rPr>
          <w:rFonts w:ascii="Arial Narrow" w:hAnsi="Arial Narrow" w:cs="Arial"/>
        </w:rPr>
        <w:t>labour</w:t>
      </w:r>
      <w:proofErr w:type="spellEnd"/>
      <w:r w:rsidRPr="000F6635">
        <w:rPr>
          <w:rFonts w:ascii="Arial Narrow" w:hAnsi="Arial Narrow" w:cs="Arial"/>
        </w:rPr>
        <w:t xml:space="preserve"> unions or work councils, or country-specific co</w:t>
      </w:r>
      <w:r>
        <w:rPr>
          <w:rFonts w:ascii="Arial Narrow" w:hAnsi="Arial Narrow" w:cs="Arial"/>
        </w:rPr>
        <w:t xml:space="preserve">mpliance, legal requirements or </w:t>
      </w:r>
      <w:r w:rsidRPr="000F6635">
        <w:rPr>
          <w:rFonts w:ascii="Arial Narrow" w:hAnsi="Arial Narrow" w:cs="Arial"/>
        </w:rPr>
        <w:t>litigation</w:t>
      </w:r>
      <w:r>
        <w:rPr>
          <w:rFonts w:ascii="Arial Narrow" w:hAnsi="Arial Narrow" w:cs="Arial"/>
        </w:rPr>
        <w:t>.</w:t>
      </w:r>
    </w:p>
    <w:p w:rsidR="000F6635" w:rsidRPr="008144FC" w:rsidRDefault="000F6635" w:rsidP="008144FC">
      <w:pPr>
        <w:pStyle w:val="ListParagraph"/>
        <w:numPr>
          <w:ilvl w:val="0"/>
          <w:numId w:val="5"/>
        </w:numPr>
        <w:autoSpaceDE w:val="0"/>
        <w:autoSpaceDN w:val="0"/>
        <w:adjustRightInd w:val="0"/>
        <w:spacing w:before="240" w:after="240"/>
        <w:rPr>
          <w:rFonts w:ascii="Arial Narrow" w:hAnsi="Arial Narrow" w:cs="Arial"/>
        </w:rPr>
      </w:pPr>
      <w:r w:rsidRPr="008144FC">
        <w:rPr>
          <w:rFonts w:ascii="Arial Narrow" w:hAnsi="Arial Narrow" w:cs="Arial"/>
        </w:rPr>
        <w:t xml:space="preserve">Number: </w:t>
      </w:r>
      <w:r w:rsidRPr="008144FC">
        <w:rPr>
          <w:rFonts w:ascii="Arial Narrow" w:hAnsi="Arial Narrow" w:cs="Arial"/>
          <w:b/>
        </w:rPr>
        <w:t>ISO 30421</w:t>
      </w:r>
    </w:p>
    <w:p w:rsidR="000F6635" w:rsidRP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Title: Human resource management — Turnover and retention metrics.</w:t>
      </w:r>
    </w:p>
    <w:p w:rsidR="000F6635" w:rsidRP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Scope:</w:t>
      </w:r>
    </w:p>
    <w:p w:rsidR="000F6635" w:rsidRP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This document describes the elements of workforce turnover and retention and provides comparable measures for internal and external reporting.</w:t>
      </w:r>
    </w:p>
    <w:p w:rsid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This document also highlights issues that need to be considered when interpreting the turnover and retention data, especially when deciding on the appropriate intervention internally and when reporting this to external stakeholders (e.g. regulators, investors).</w:t>
      </w:r>
    </w:p>
    <w:p w:rsidR="000F6635" w:rsidRPr="008144FC" w:rsidRDefault="000F6635" w:rsidP="008144FC">
      <w:pPr>
        <w:pStyle w:val="ListParagraph"/>
        <w:numPr>
          <w:ilvl w:val="0"/>
          <w:numId w:val="5"/>
        </w:numPr>
        <w:autoSpaceDE w:val="0"/>
        <w:autoSpaceDN w:val="0"/>
        <w:adjustRightInd w:val="0"/>
        <w:spacing w:before="240" w:after="240"/>
        <w:rPr>
          <w:rFonts w:ascii="Arial Narrow" w:hAnsi="Arial Narrow" w:cs="Arial"/>
        </w:rPr>
      </w:pPr>
      <w:r w:rsidRPr="008144FC">
        <w:rPr>
          <w:rFonts w:ascii="Arial Narrow" w:hAnsi="Arial Narrow" w:cs="Arial"/>
        </w:rPr>
        <w:t xml:space="preserve">Number: </w:t>
      </w:r>
      <w:r w:rsidRPr="008144FC">
        <w:rPr>
          <w:rFonts w:ascii="Arial Narrow" w:hAnsi="Arial Narrow" w:cs="Arial"/>
          <w:b/>
        </w:rPr>
        <w:t>ISO 30428</w:t>
      </w:r>
    </w:p>
    <w:p w:rsidR="000F6635" w:rsidRP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Title: Human resource management — Skills and capabilities metrics cluster</w:t>
      </w:r>
    </w:p>
    <w:p w:rsidR="000F6635" w:rsidRPr="000F6635" w:rsidRDefault="000F6635"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Scope:</w:t>
      </w:r>
    </w:p>
    <w:p w:rsidR="008144FC" w:rsidRPr="008144FC" w:rsidRDefault="008144FC" w:rsidP="008144FC">
      <w:pPr>
        <w:autoSpaceDE w:val="0"/>
        <w:autoSpaceDN w:val="0"/>
        <w:adjustRightInd w:val="0"/>
        <w:spacing w:before="240" w:after="240"/>
        <w:ind w:left="360"/>
        <w:rPr>
          <w:rFonts w:ascii="Arial Narrow" w:hAnsi="Arial Narrow" w:cs="Arial"/>
        </w:rPr>
      </w:pPr>
      <w:r w:rsidRPr="008144FC">
        <w:rPr>
          <w:rFonts w:ascii="Arial Narrow" w:hAnsi="Arial Narrow" w:cs="Arial"/>
        </w:rPr>
        <w:t>This document describes and defines the five metrics of skills and capabilities. This document also provides the formula for each metric and describes the common metrics which employ the five metrics.</w:t>
      </w:r>
    </w:p>
    <w:p w:rsidR="000F6635" w:rsidRDefault="008144FC" w:rsidP="008144FC">
      <w:pPr>
        <w:autoSpaceDE w:val="0"/>
        <w:autoSpaceDN w:val="0"/>
        <w:adjustRightInd w:val="0"/>
        <w:spacing w:before="240" w:after="240"/>
        <w:ind w:left="360"/>
        <w:rPr>
          <w:rFonts w:ascii="Arial Narrow" w:hAnsi="Arial Narrow" w:cs="Arial"/>
        </w:rPr>
      </w:pPr>
      <w:r w:rsidRPr="008144FC">
        <w:rPr>
          <w:rFonts w:ascii="Arial Narrow" w:hAnsi="Arial Narrow" w:cs="Arial"/>
        </w:rPr>
        <w:t>This document also highlights issues that need to be considered when interpreting the skills and capabilities data, especially when deciding on the appropriate intervention internally and when reporting these to external stakeholders (e.g. regulators, investors).</w:t>
      </w:r>
    </w:p>
    <w:p w:rsidR="008144FC" w:rsidRPr="008144FC" w:rsidRDefault="008144FC" w:rsidP="008144FC">
      <w:pPr>
        <w:pStyle w:val="ListParagraph"/>
        <w:numPr>
          <w:ilvl w:val="0"/>
          <w:numId w:val="5"/>
        </w:numPr>
        <w:autoSpaceDE w:val="0"/>
        <w:autoSpaceDN w:val="0"/>
        <w:adjustRightInd w:val="0"/>
        <w:spacing w:before="240" w:after="240"/>
        <w:rPr>
          <w:rFonts w:ascii="Arial Narrow" w:hAnsi="Arial Narrow" w:cs="Arial"/>
        </w:rPr>
      </w:pPr>
      <w:r w:rsidRPr="008144FC">
        <w:rPr>
          <w:rFonts w:ascii="Arial Narrow" w:hAnsi="Arial Narrow" w:cs="Arial"/>
        </w:rPr>
        <w:lastRenderedPageBreak/>
        <w:t xml:space="preserve">Number: </w:t>
      </w:r>
      <w:r w:rsidRPr="008144FC">
        <w:rPr>
          <w:rFonts w:ascii="Arial Narrow" w:hAnsi="Arial Narrow" w:cs="Arial"/>
          <w:b/>
        </w:rPr>
        <w:t>ISO 30430</w:t>
      </w:r>
    </w:p>
    <w:p w:rsidR="008144FC" w:rsidRDefault="008144FC"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 xml:space="preserve">Title: </w:t>
      </w:r>
      <w:r w:rsidRPr="008144FC">
        <w:rPr>
          <w:rFonts w:ascii="Arial Narrow" w:hAnsi="Arial Narrow" w:cs="Arial"/>
        </w:rPr>
        <w:t>Human resource management — Recruitment metrics cluster</w:t>
      </w:r>
    </w:p>
    <w:p w:rsidR="008144FC" w:rsidRPr="000F6635" w:rsidRDefault="008144FC" w:rsidP="008144FC">
      <w:pPr>
        <w:autoSpaceDE w:val="0"/>
        <w:autoSpaceDN w:val="0"/>
        <w:adjustRightInd w:val="0"/>
        <w:spacing w:before="240" w:after="240"/>
        <w:ind w:left="360"/>
        <w:rPr>
          <w:rFonts w:ascii="Arial Narrow" w:hAnsi="Arial Narrow" w:cs="Arial"/>
        </w:rPr>
      </w:pPr>
      <w:r w:rsidRPr="000F6635">
        <w:rPr>
          <w:rFonts w:ascii="Arial Narrow" w:hAnsi="Arial Narrow" w:cs="Arial"/>
        </w:rPr>
        <w:t>Scope:</w:t>
      </w:r>
    </w:p>
    <w:p w:rsidR="008144FC" w:rsidRPr="008144FC" w:rsidRDefault="008144FC" w:rsidP="008144FC">
      <w:pPr>
        <w:autoSpaceDE w:val="0"/>
        <w:autoSpaceDN w:val="0"/>
        <w:adjustRightInd w:val="0"/>
        <w:spacing w:before="240" w:after="240"/>
        <w:ind w:left="360"/>
        <w:rPr>
          <w:rFonts w:ascii="Arial Narrow" w:hAnsi="Arial Narrow" w:cs="Arial"/>
        </w:rPr>
      </w:pPr>
      <w:r w:rsidRPr="008144FC">
        <w:rPr>
          <w:rFonts w:ascii="Arial Narrow" w:hAnsi="Arial Narrow" w:cs="Arial"/>
        </w:rPr>
        <w:t>This document describes the elements of recruitment in the recruitment, mobility and turnover cluster. This document provides the formulae for comparable measures for internal and external reporting.</w:t>
      </w:r>
    </w:p>
    <w:p w:rsidR="008144FC" w:rsidRDefault="008144FC" w:rsidP="008144FC">
      <w:pPr>
        <w:autoSpaceDE w:val="0"/>
        <w:autoSpaceDN w:val="0"/>
        <w:adjustRightInd w:val="0"/>
        <w:spacing w:before="240" w:after="240"/>
        <w:ind w:left="360"/>
        <w:rPr>
          <w:rFonts w:ascii="Arial Narrow" w:hAnsi="Arial Narrow" w:cs="Arial"/>
        </w:rPr>
      </w:pPr>
      <w:r w:rsidRPr="008144FC">
        <w:rPr>
          <w:rFonts w:ascii="Arial Narrow" w:hAnsi="Arial Narrow" w:cs="Arial"/>
        </w:rPr>
        <w:t>This document also highlights issues that need to be considered when interpreting the recruitment data, especially when deciding on the appropriate intervention internally and when reporting these to external stakeholders, such as regulators and investors.</w:t>
      </w:r>
    </w:p>
    <w:p w:rsidR="008144FC" w:rsidRPr="008144FC" w:rsidRDefault="008144FC" w:rsidP="008144FC">
      <w:pPr>
        <w:pStyle w:val="ListParagraph"/>
        <w:numPr>
          <w:ilvl w:val="0"/>
          <w:numId w:val="5"/>
        </w:numPr>
        <w:autoSpaceDE w:val="0"/>
        <w:autoSpaceDN w:val="0"/>
        <w:adjustRightInd w:val="0"/>
        <w:spacing w:before="240" w:after="240"/>
        <w:jc w:val="both"/>
        <w:rPr>
          <w:rFonts w:ascii="Arial Narrow" w:hAnsi="Arial Narrow" w:cs="Arial"/>
        </w:rPr>
      </w:pPr>
      <w:r w:rsidRPr="008144FC">
        <w:rPr>
          <w:rFonts w:ascii="Arial Narrow" w:hAnsi="Arial Narrow" w:cs="Arial"/>
        </w:rPr>
        <w:t xml:space="preserve">Number: </w:t>
      </w:r>
      <w:r w:rsidRPr="008144FC">
        <w:rPr>
          <w:rFonts w:ascii="Arial Narrow" w:hAnsi="Arial Narrow" w:cs="Arial"/>
          <w:b/>
        </w:rPr>
        <w:t>ISO 30433</w:t>
      </w:r>
    </w:p>
    <w:p w:rsidR="008144FC" w:rsidRPr="008144FC" w:rsidRDefault="008144FC" w:rsidP="008144FC">
      <w:pPr>
        <w:autoSpaceDE w:val="0"/>
        <w:autoSpaceDN w:val="0"/>
        <w:adjustRightInd w:val="0"/>
        <w:spacing w:before="240" w:after="240"/>
        <w:ind w:left="360"/>
        <w:jc w:val="both"/>
        <w:rPr>
          <w:rFonts w:ascii="Arial Narrow" w:hAnsi="Arial Narrow" w:cs="Arial"/>
        </w:rPr>
      </w:pPr>
      <w:r w:rsidRPr="008144FC">
        <w:rPr>
          <w:rFonts w:ascii="Arial Narrow" w:hAnsi="Arial Narrow" w:cs="Arial"/>
        </w:rPr>
        <w:t>Title: Human resource management — Succession planning metrics cluster</w:t>
      </w:r>
    </w:p>
    <w:p w:rsidR="008144FC" w:rsidRPr="008144FC" w:rsidRDefault="008144FC" w:rsidP="008144FC">
      <w:pPr>
        <w:autoSpaceDE w:val="0"/>
        <w:autoSpaceDN w:val="0"/>
        <w:adjustRightInd w:val="0"/>
        <w:spacing w:before="240" w:after="240"/>
        <w:ind w:left="360"/>
        <w:jc w:val="both"/>
        <w:rPr>
          <w:rFonts w:ascii="Arial Narrow" w:hAnsi="Arial Narrow" w:cs="Arial"/>
        </w:rPr>
      </w:pPr>
      <w:r w:rsidRPr="008144FC">
        <w:rPr>
          <w:rFonts w:ascii="Arial Narrow" w:hAnsi="Arial Narrow" w:cs="Arial"/>
        </w:rPr>
        <w:t>Scope:</w:t>
      </w:r>
    </w:p>
    <w:p w:rsidR="008144FC" w:rsidRPr="008144FC" w:rsidRDefault="008144FC" w:rsidP="008144FC">
      <w:pPr>
        <w:autoSpaceDE w:val="0"/>
        <w:autoSpaceDN w:val="0"/>
        <w:adjustRightInd w:val="0"/>
        <w:spacing w:before="240" w:after="240"/>
        <w:ind w:left="360"/>
        <w:jc w:val="both"/>
        <w:rPr>
          <w:rFonts w:ascii="Arial Narrow" w:hAnsi="Arial Narrow" w:cs="Arial"/>
        </w:rPr>
      </w:pPr>
      <w:r w:rsidRPr="008144FC">
        <w:rPr>
          <w:rFonts w:ascii="Arial Narrow" w:hAnsi="Arial Narrow" w:cs="Arial"/>
        </w:rPr>
        <w:t>This document specifies the elements of succession planning metrics and provides comparable measures for internal and external reporting.</w:t>
      </w:r>
    </w:p>
    <w:p w:rsidR="008144FC" w:rsidRPr="00556197" w:rsidRDefault="008144FC" w:rsidP="008144FC">
      <w:pPr>
        <w:autoSpaceDE w:val="0"/>
        <w:autoSpaceDN w:val="0"/>
        <w:adjustRightInd w:val="0"/>
        <w:spacing w:before="240" w:after="240"/>
        <w:ind w:left="360"/>
        <w:jc w:val="both"/>
        <w:rPr>
          <w:rFonts w:ascii="Arial Narrow" w:hAnsi="Arial Narrow" w:cs="Arial"/>
        </w:rPr>
      </w:pPr>
      <w:r w:rsidRPr="008144FC">
        <w:rPr>
          <w:rFonts w:ascii="Arial Narrow" w:hAnsi="Arial Narrow" w:cs="Arial"/>
        </w:rPr>
        <w:t>The document also highlights issues that need to be considered when interpreting the succession planning data, especially when deciding on the appropriate intervention internally and when reporting this to external stakeholders such as regulators or investors.</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w:t>
      </w:r>
    </w:p>
    <w:p w:rsidR="007D7BDE" w:rsidRPr="00556197" w:rsidRDefault="008144FC" w:rsidP="008144FC">
      <w:pPr>
        <w:autoSpaceDE w:val="0"/>
        <w:autoSpaceDN w:val="0"/>
        <w:adjustRightInd w:val="0"/>
        <w:spacing w:before="240" w:after="240"/>
        <w:jc w:val="both"/>
        <w:rPr>
          <w:rFonts w:ascii="Arial Narrow" w:hAnsi="Arial Narrow" w:cs="Arial"/>
        </w:rPr>
      </w:pPr>
      <w:r>
        <w:rPr>
          <w:rFonts w:ascii="Arial Narrow" w:hAnsi="Arial Narrow" w:cs="Arial"/>
        </w:rPr>
        <w:tab/>
      </w:r>
      <w:r w:rsidR="007D7BDE" w:rsidRPr="00556197">
        <w:rPr>
          <w:rFonts w:ascii="Arial Narrow" w:hAnsi="Arial Narrow" w:cs="Arial"/>
        </w:rPr>
        <w:t>Our Recommendations are as follows</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ab/>
        <w:t>...............................................................................................................................</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Position (of respondent): .....................................</w:t>
      </w:r>
    </w:p>
    <w:p w:rsidR="007D7BDE" w:rsidRPr="00556197"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On behalf of ......................................................................................... (Name of organization)</w:t>
      </w:r>
    </w:p>
    <w:p w:rsidR="007D7BDE" w:rsidRPr="008144FC" w:rsidRDefault="007D7BDE" w:rsidP="008144FC">
      <w:pPr>
        <w:autoSpaceDE w:val="0"/>
        <w:autoSpaceDN w:val="0"/>
        <w:adjustRightInd w:val="0"/>
        <w:spacing w:before="240" w:after="24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02B" w:rsidRDefault="0064002B" w:rsidP="007D7BDE">
      <w:r>
        <w:separator/>
      </w:r>
    </w:p>
  </w:endnote>
  <w:endnote w:type="continuationSeparator" w:id="0">
    <w:p w:rsidR="0064002B" w:rsidRDefault="0064002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0264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0264A">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0264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0264A">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02B" w:rsidRDefault="0064002B" w:rsidP="007D7BDE">
      <w:r>
        <w:separator/>
      </w:r>
    </w:p>
  </w:footnote>
  <w:footnote w:type="continuationSeparator" w:id="0">
    <w:p w:rsidR="0064002B" w:rsidRDefault="0064002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5B5FB4"/>
    <w:multiLevelType w:val="hybridMultilevel"/>
    <w:tmpl w:val="585E8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F6635"/>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C43F7"/>
    <w:rsid w:val="005D3E09"/>
    <w:rsid w:val="005E2F92"/>
    <w:rsid w:val="00624301"/>
    <w:rsid w:val="0064002B"/>
    <w:rsid w:val="00680852"/>
    <w:rsid w:val="00697642"/>
    <w:rsid w:val="00703562"/>
    <w:rsid w:val="00703CB1"/>
    <w:rsid w:val="007244A4"/>
    <w:rsid w:val="00756E07"/>
    <w:rsid w:val="00766B20"/>
    <w:rsid w:val="007D5546"/>
    <w:rsid w:val="007D7BDE"/>
    <w:rsid w:val="00810E69"/>
    <w:rsid w:val="008144FC"/>
    <w:rsid w:val="008572A5"/>
    <w:rsid w:val="00877DFF"/>
    <w:rsid w:val="00893D7E"/>
    <w:rsid w:val="008B3FDD"/>
    <w:rsid w:val="00A15AB7"/>
    <w:rsid w:val="00A87B44"/>
    <w:rsid w:val="00AB16F3"/>
    <w:rsid w:val="00AE2EBA"/>
    <w:rsid w:val="00B04B5B"/>
    <w:rsid w:val="00BA0183"/>
    <w:rsid w:val="00BF6EDE"/>
    <w:rsid w:val="00C23675"/>
    <w:rsid w:val="00C734AC"/>
    <w:rsid w:val="00D57FB3"/>
    <w:rsid w:val="00D711C5"/>
    <w:rsid w:val="00DC7D31"/>
    <w:rsid w:val="00E00478"/>
    <w:rsid w:val="00E0264A"/>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4FC"/>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utungij@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Mutungi Jacob</cp:lastModifiedBy>
  <cp:revision>4</cp:revision>
  <dcterms:created xsi:type="dcterms:W3CDTF">2021-12-21T07:07:00Z</dcterms:created>
  <dcterms:modified xsi:type="dcterms:W3CDTF">2021-12-21T11:08:00Z</dcterms:modified>
</cp:coreProperties>
</file>