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493930" w:rsidP="0049393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10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720042">
              <w:t>1</w:t>
            </w:r>
            <w:r>
              <w:t>2</w:t>
            </w:r>
            <w:r w:rsidR="00D32C15">
              <w:t>-1</w:t>
            </w: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493930" w:rsidP="0049393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12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01</w:t>
            </w:r>
            <w:r w:rsidR="00D32C15">
              <w:t>-20</w:t>
            </w:r>
            <w:r>
              <w:t>20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bookmarkStart w:id="0" w:name="_GoBack"/>
        <w:r w:rsidR="0072004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3248</w:t>
        </w:r>
        <w:bookmarkEnd w:id="0"/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72004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F236F8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752DCA" w:rsidRPr="00752DCA">
        <w:rPr>
          <w:rFonts w:ascii="Arial" w:hAnsi="Arial" w:cs="Arial"/>
          <w:sz w:val="20"/>
          <w:szCs w:val="20"/>
        </w:rPr>
        <w:t>Paints and varnishes -- Determination of the effect of heat</w:t>
      </w:r>
    </w:p>
    <w:p w:rsidR="00720042" w:rsidRPr="00720042" w:rsidRDefault="003D2C3A" w:rsidP="00720042">
      <w:pPr>
        <w:rPr>
          <w:rFonts w:ascii="Arial" w:hAnsi="Arial" w:cs="Arial"/>
          <w:b/>
          <w:sz w:val="20"/>
          <w:szCs w:val="20"/>
          <w:lang w:val="en-GB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720042" w:rsidRPr="00720042">
        <w:rPr>
          <w:rFonts w:ascii="Arial" w:hAnsi="Arial" w:cs="Arial"/>
          <w:sz w:val="20"/>
          <w:szCs w:val="20"/>
          <w:lang w:val="en-GB"/>
        </w:rPr>
        <w:t>This International Standard specifies a method for determining the resistance of single coatings or multi-coat systems of paints, varnishes or related products to changes in gloss and/or colour, blistering, cracking and/or detachment from the substrate under conditions of a specified temperature.</w:t>
      </w:r>
    </w:p>
    <w:p w:rsidR="001B427A" w:rsidRDefault="001B427A" w:rsidP="0072004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7AE" w:rsidRDefault="005357AE">
      <w:r>
        <w:separator/>
      </w:r>
    </w:p>
  </w:endnote>
  <w:endnote w:type="continuationSeparator" w:id="0">
    <w:p w:rsidR="005357AE" w:rsidRDefault="0053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7AE" w:rsidRDefault="005357AE">
      <w:r>
        <w:separator/>
      </w:r>
    </w:p>
  </w:footnote>
  <w:footnote w:type="continuationSeparator" w:id="0">
    <w:p w:rsidR="005357AE" w:rsidRDefault="0053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3F"/>
    <w:rsid w:val="00001C4C"/>
    <w:rsid w:val="0000353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02E8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93930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357AE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042"/>
    <w:rsid w:val="00720E1D"/>
    <w:rsid w:val="00723285"/>
    <w:rsid w:val="007265F3"/>
    <w:rsid w:val="007275F1"/>
    <w:rsid w:val="00741BEB"/>
    <w:rsid w:val="00746368"/>
    <w:rsid w:val="007503EA"/>
    <w:rsid w:val="00752DC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0DDE6"/>
  <w15:docId w15:val="{AAEC6943-2AC8-4F62-A307-E748BB2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8AD28-72E9-48DA-9872-9229695A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1326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7</cp:revision>
  <cp:lastPrinted>2008-07-11T13:15:00Z</cp:lastPrinted>
  <dcterms:created xsi:type="dcterms:W3CDTF">2017-04-18T08:47:00Z</dcterms:created>
  <dcterms:modified xsi:type="dcterms:W3CDTF">2019-12-10T07:53:00Z</dcterms:modified>
</cp:coreProperties>
</file>