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4050"/>
        <w:gridCol w:w="2970"/>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527429" w:rsidP="00B958AB">
            <w:pPr>
              <w:tabs>
                <w:tab w:val="center" w:pos="4320"/>
                <w:tab w:val="right" w:pos="8640"/>
              </w:tabs>
            </w:pPr>
            <w:r>
              <w:t>17/09/2018</w:t>
            </w:r>
          </w:p>
        </w:tc>
        <w:tc>
          <w:tcPr>
            <w:tcW w:w="2970" w:type="dxa"/>
            <w:tcBorders>
              <w:top w:val="single" w:sz="4" w:space="0" w:color="auto"/>
              <w:left w:val="single" w:sz="4" w:space="0" w:color="auto"/>
              <w:bottom w:val="single" w:sz="4" w:space="0" w:color="auto"/>
              <w:right w:val="single" w:sz="4" w:space="0" w:color="auto"/>
            </w:tcBorders>
          </w:tcPr>
          <w:p w:rsidR="00B958AB" w:rsidRDefault="00527429" w:rsidP="00B958AB">
            <w:pPr>
              <w:tabs>
                <w:tab w:val="center" w:pos="4320"/>
                <w:tab w:val="right" w:pos="8640"/>
              </w:tabs>
            </w:pPr>
            <w:r>
              <w:t>17/10/2018</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1D4B35">
              <w:rPr>
                <w:rFonts w:ascii="Arial" w:hAnsi="Arial" w:cs="Arial"/>
                <w:b/>
                <w:bCs/>
                <w:sz w:val="20"/>
                <w:szCs w:val="20"/>
              </w:rPr>
              <w:t xml:space="preserve"> Allan Kimitei (kimiteia@kebs.org)</w:t>
            </w:r>
          </w:p>
        </w:tc>
      </w:tr>
    </w:tbl>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317B3C" w:rsidRPr="00317B3C" w:rsidRDefault="00101DF3" w:rsidP="00317B3C">
      <w:pPr>
        <w:shd w:val="clear" w:color="auto" w:fill="FFFFFF"/>
        <w:textAlignment w:val="baseline"/>
        <w:outlineLvl w:val="0"/>
        <w:rPr>
          <w:rFonts w:ascii="Arial" w:hAnsi="Arial" w:cs="Arial"/>
          <w:b/>
          <w:sz w:val="20"/>
          <w:szCs w:val="20"/>
        </w:rPr>
      </w:pPr>
      <w:r w:rsidRPr="00744043">
        <w:rPr>
          <w:rFonts w:ascii="Arial Narrow" w:hAnsi="Arial Narrow" w:cs="Arial"/>
        </w:rPr>
        <w:t>Number .</w:t>
      </w:r>
      <w:r w:rsidR="00744043" w:rsidRPr="00744043">
        <w:rPr>
          <w:rFonts w:ascii="Arial Narrow" w:hAnsi="Arial Narrow" w:cs="Arial"/>
        </w:rPr>
        <w:t xml:space="preserve"> </w:t>
      </w:r>
      <w:r w:rsidR="00101AF7" w:rsidRPr="00744043">
        <w:rPr>
          <w:rFonts w:ascii="Arial Narrow" w:hAnsi="Arial Narrow"/>
          <w:b/>
          <w:bCs/>
          <w:color w:val="404040"/>
          <w:kern w:val="36"/>
        </w:rPr>
        <w:t xml:space="preserve"> </w:t>
      </w:r>
      <w:r w:rsidR="00926DEA" w:rsidRPr="00926DEA">
        <w:rPr>
          <w:rFonts w:ascii="Arial" w:hAnsi="Arial" w:cs="Arial"/>
          <w:b/>
          <w:sz w:val="20"/>
          <w:szCs w:val="20"/>
        </w:rPr>
        <w:t>ISO/TS 12812-2:2017</w:t>
      </w:r>
    </w:p>
    <w:p w:rsidR="001B427A" w:rsidRDefault="001B427A">
      <w:pPr>
        <w:autoSpaceDE w:val="0"/>
        <w:autoSpaceDN w:val="0"/>
        <w:adjustRightInd w:val="0"/>
        <w:jc w:val="both"/>
        <w:rPr>
          <w:rFonts w:ascii="Arial" w:hAnsi="Arial" w:cs="Arial"/>
          <w:sz w:val="20"/>
          <w:szCs w:val="20"/>
        </w:rPr>
      </w:pPr>
    </w:p>
    <w:p w:rsidR="00926DEA" w:rsidRPr="00926DEA" w:rsidRDefault="001B427A" w:rsidP="00926DEA">
      <w:pPr>
        <w:autoSpaceDE w:val="0"/>
        <w:autoSpaceDN w:val="0"/>
        <w:adjustRightInd w:val="0"/>
        <w:rPr>
          <w:i/>
        </w:rPr>
      </w:pPr>
      <w:r w:rsidRPr="00101DF3">
        <w:rPr>
          <w:rFonts w:ascii="Arial" w:hAnsi="Arial" w:cs="Arial"/>
          <w:b/>
          <w:sz w:val="20"/>
          <w:szCs w:val="20"/>
        </w:rPr>
        <w:t>Title</w:t>
      </w:r>
      <w:r w:rsidR="00FF183E">
        <w:rPr>
          <w:rFonts w:ascii="Arial" w:hAnsi="Arial" w:cs="Arial"/>
          <w:b/>
          <w:sz w:val="20"/>
          <w:szCs w:val="20"/>
        </w:rPr>
        <w:t xml:space="preserve"> </w:t>
      </w:r>
      <w:r w:rsidR="00101AF7">
        <w:rPr>
          <w:rFonts w:ascii="Helvetica" w:hAnsi="Helvetica"/>
          <w:color w:val="404040"/>
          <w:sz w:val="22"/>
          <w:szCs w:val="22"/>
          <w:shd w:val="clear" w:color="auto" w:fill="FFFFFF"/>
        </w:rPr>
        <w:t xml:space="preserve">. </w:t>
      </w:r>
      <w:r w:rsidR="00926DEA" w:rsidRPr="00926DEA">
        <w:rPr>
          <w:i/>
        </w:rPr>
        <w:t xml:space="preserve">Core banking -- Mobile financial services -- Part 2: Security and data protection for </w:t>
      </w:r>
      <w:r w:rsidR="00926DEA">
        <w:rPr>
          <w:i/>
        </w:rPr>
        <w:t xml:space="preserve">    </w:t>
      </w:r>
      <w:r w:rsidR="00926DEA">
        <w:rPr>
          <w:i/>
        </w:rPr>
        <w:tab/>
      </w:r>
      <w:r w:rsidR="00926DEA" w:rsidRPr="00926DEA">
        <w:rPr>
          <w:i/>
        </w:rPr>
        <w:t>mobile financial services</w:t>
      </w:r>
    </w:p>
    <w:p w:rsidR="001B427A" w:rsidRDefault="001B427A">
      <w:pPr>
        <w:autoSpaceDE w:val="0"/>
        <w:autoSpaceDN w:val="0"/>
        <w:adjustRightInd w:val="0"/>
        <w:jc w:val="both"/>
        <w:rPr>
          <w:rFonts w:ascii="Arial" w:hAnsi="Arial" w:cs="Arial"/>
          <w:sz w:val="20"/>
          <w:szCs w:val="20"/>
        </w:rPr>
      </w:pPr>
    </w:p>
    <w:p w:rsidR="00101AF7"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926DEA" w:rsidRPr="00926DEA" w:rsidRDefault="00926DEA" w:rsidP="00926DEA">
      <w:pPr>
        <w:autoSpaceDE w:val="0"/>
        <w:autoSpaceDN w:val="0"/>
        <w:adjustRightInd w:val="0"/>
        <w:jc w:val="both"/>
        <w:rPr>
          <w:rFonts w:ascii="Arial" w:hAnsi="Arial" w:cs="Arial"/>
          <w:sz w:val="20"/>
          <w:szCs w:val="20"/>
        </w:rPr>
      </w:pPr>
      <w:r w:rsidRPr="00926DEA">
        <w:rPr>
          <w:rFonts w:ascii="Arial" w:hAnsi="Arial" w:cs="Arial"/>
          <w:sz w:val="20"/>
          <w:szCs w:val="20"/>
        </w:rPr>
        <w:t>This document describes and specifies a framework for the management of the security of MFS. It includes</w:t>
      </w:r>
      <w:r>
        <w:rPr>
          <w:rFonts w:ascii="Arial" w:hAnsi="Arial" w:cs="Arial"/>
          <w:sz w:val="20"/>
          <w:szCs w:val="20"/>
        </w:rPr>
        <w:t xml:space="preserve"> ;</w:t>
      </w:r>
    </w:p>
    <w:p w:rsidR="00926DEA" w:rsidRPr="00926DEA" w:rsidRDefault="00926DEA" w:rsidP="00926DEA">
      <w:pPr>
        <w:autoSpaceDE w:val="0"/>
        <w:autoSpaceDN w:val="0"/>
        <w:adjustRightInd w:val="0"/>
        <w:ind w:left="720"/>
        <w:jc w:val="both"/>
        <w:rPr>
          <w:rFonts w:ascii="Arial" w:hAnsi="Arial" w:cs="Arial"/>
          <w:sz w:val="20"/>
          <w:szCs w:val="20"/>
        </w:rPr>
      </w:pPr>
      <w:r w:rsidRPr="00926DEA">
        <w:rPr>
          <w:rFonts w:ascii="Arial" w:hAnsi="Arial" w:cs="Arial"/>
          <w:sz w:val="20"/>
          <w:szCs w:val="20"/>
        </w:rPr>
        <w:t>— a generic model for the design of the security policy,</w:t>
      </w:r>
    </w:p>
    <w:p w:rsidR="00926DEA" w:rsidRPr="00926DEA" w:rsidRDefault="00926DEA" w:rsidP="00926DEA">
      <w:pPr>
        <w:autoSpaceDE w:val="0"/>
        <w:autoSpaceDN w:val="0"/>
        <w:adjustRightInd w:val="0"/>
        <w:ind w:left="720"/>
        <w:jc w:val="both"/>
        <w:rPr>
          <w:rFonts w:ascii="Arial" w:hAnsi="Arial" w:cs="Arial"/>
          <w:sz w:val="20"/>
          <w:szCs w:val="20"/>
        </w:rPr>
      </w:pPr>
      <w:r w:rsidRPr="00926DEA">
        <w:rPr>
          <w:rFonts w:ascii="Arial" w:hAnsi="Arial" w:cs="Arial"/>
          <w:sz w:val="20"/>
          <w:szCs w:val="20"/>
        </w:rPr>
        <w:t>— a minimum set of security requirements,</w:t>
      </w:r>
    </w:p>
    <w:p w:rsidR="00926DEA" w:rsidRPr="00926DEA" w:rsidRDefault="00926DEA" w:rsidP="00926DEA">
      <w:pPr>
        <w:autoSpaceDE w:val="0"/>
        <w:autoSpaceDN w:val="0"/>
        <w:adjustRightInd w:val="0"/>
        <w:ind w:left="720"/>
        <w:jc w:val="both"/>
        <w:rPr>
          <w:rFonts w:ascii="Arial" w:hAnsi="Arial" w:cs="Arial"/>
          <w:sz w:val="20"/>
          <w:szCs w:val="20"/>
        </w:rPr>
      </w:pPr>
      <w:r w:rsidRPr="00926DEA">
        <w:rPr>
          <w:rFonts w:ascii="Arial" w:hAnsi="Arial" w:cs="Arial"/>
          <w:sz w:val="20"/>
          <w:szCs w:val="20"/>
        </w:rPr>
        <w:t>— recommended cryptographic protocols and mechanisms for mobile device authentication, financial message secure exchange and external authentication, including the following:</w:t>
      </w:r>
    </w:p>
    <w:p w:rsidR="00926DEA" w:rsidRPr="00926DEA" w:rsidRDefault="00926DEA" w:rsidP="00926DEA">
      <w:pPr>
        <w:autoSpaceDE w:val="0"/>
        <w:autoSpaceDN w:val="0"/>
        <w:adjustRightInd w:val="0"/>
        <w:ind w:left="1440"/>
        <w:jc w:val="both"/>
        <w:rPr>
          <w:rFonts w:ascii="Arial" w:hAnsi="Arial" w:cs="Arial"/>
          <w:sz w:val="20"/>
          <w:szCs w:val="20"/>
        </w:rPr>
      </w:pPr>
      <w:r w:rsidRPr="00926DEA">
        <w:rPr>
          <w:rFonts w:ascii="Arial" w:hAnsi="Arial" w:cs="Arial"/>
          <w:sz w:val="20"/>
          <w:szCs w:val="20"/>
        </w:rPr>
        <w:t>a) point-to-point aspects to consider for MFS;</w:t>
      </w:r>
    </w:p>
    <w:p w:rsidR="00926DEA" w:rsidRPr="00926DEA" w:rsidRDefault="00926DEA" w:rsidP="00926DEA">
      <w:pPr>
        <w:autoSpaceDE w:val="0"/>
        <w:autoSpaceDN w:val="0"/>
        <w:adjustRightInd w:val="0"/>
        <w:ind w:left="1440"/>
        <w:jc w:val="both"/>
        <w:rPr>
          <w:rFonts w:ascii="Arial" w:hAnsi="Arial" w:cs="Arial"/>
          <w:sz w:val="20"/>
          <w:szCs w:val="20"/>
        </w:rPr>
      </w:pPr>
      <w:r w:rsidRPr="00926DEA">
        <w:rPr>
          <w:rFonts w:ascii="Arial" w:hAnsi="Arial" w:cs="Arial"/>
          <w:sz w:val="20"/>
          <w:szCs w:val="20"/>
        </w:rPr>
        <w:t>b) end-to-end aspects to consider;</w:t>
      </w:r>
    </w:p>
    <w:p w:rsidR="00926DEA" w:rsidRPr="00926DEA" w:rsidRDefault="00926DEA" w:rsidP="00926DEA">
      <w:pPr>
        <w:autoSpaceDE w:val="0"/>
        <w:autoSpaceDN w:val="0"/>
        <w:adjustRightInd w:val="0"/>
        <w:ind w:left="1440"/>
        <w:jc w:val="both"/>
        <w:rPr>
          <w:rFonts w:ascii="Arial" w:hAnsi="Arial" w:cs="Arial"/>
          <w:sz w:val="20"/>
          <w:szCs w:val="20"/>
        </w:rPr>
      </w:pPr>
      <w:r w:rsidRPr="00926DEA">
        <w:rPr>
          <w:rFonts w:ascii="Arial" w:hAnsi="Arial" w:cs="Arial"/>
          <w:sz w:val="20"/>
          <w:szCs w:val="20"/>
        </w:rPr>
        <w:t>c) security certification aspects;</w:t>
      </w:r>
    </w:p>
    <w:p w:rsidR="00926DEA" w:rsidRPr="00926DEA" w:rsidRDefault="00926DEA" w:rsidP="00926DEA">
      <w:pPr>
        <w:autoSpaceDE w:val="0"/>
        <w:autoSpaceDN w:val="0"/>
        <w:adjustRightInd w:val="0"/>
        <w:ind w:left="1440"/>
        <w:jc w:val="both"/>
        <w:rPr>
          <w:rFonts w:ascii="Arial" w:hAnsi="Arial" w:cs="Arial"/>
          <w:sz w:val="20"/>
          <w:szCs w:val="20"/>
        </w:rPr>
      </w:pPr>
      <w:r w:rsidRPr="00926DEA">
        <w:rPr>
          <w:rFonts w:ascii="Arial" w:hAnsi="Arial" w:cs="Arial"/>
          <w:sz w:val="20"/>
          <w:szCs w:val="20"/>
        </w:rPr>
        <w:t>d) generation of mobile digital signatures;</w:t>
      </w:r>
    </w:p>
    <w:p w:rsidR="00926DEA" w:rsidRPr="00926DEA" w:rsidRDefault="00926DEA" w:rsidP="00926DEA">
      <w:pPr>
        <w:autoSpaceDE w:val="0"/>
        <w:autoSpaceDN w:val="0"/>
        <w:adjustRightInd w:val="0"/>
        <w:ind w:left="720"/>
        <w:jc w:val="both"/>
        <w:rPr>
          <w:rFonts w:ascii="Arial" w:hAnsi="Arial" w:cs="Arial"/>
          <w:sz w:val="20"/>
          <w:szCs w:val="20"/>
        </w:rPr>
      </w:pPr>
      <w:r w:rsidRPr="00926DEA">
        <w:rPr>
          <w:rFonts w:ascii="Arial" w:hAnsi="Arial" w:cs="Arial"/>
          <w:sz w:val="20"/>
          <w:szCs w:val="20"/>
        </w:rPr>
        <w:t>— interoperability issues for the secure certification of MFS,</w:t>
      </w:r>
    </w:p>
    <w:p w:rsidR="00926DEA" w:rsidRPr="00926DEA" w:rsidRDefault="00926DEA" w:rsidP="00926DEA">
      <w:pPr>
        <w:autoSpaceDE w:val="0"/>
        <w:autoSpaceDN w:val="0"/>
        <w:adjustRightInd w:val="0"/>
        <w:ind w:left="720"/>
        <w:jc w:val="both"/>
        <w:rPr>
          <w:rFonts w:ascii="Arial" w:hAnsi="Arial" w:cs="Arial"/>
          <w:sz w:val="20"/>
          <w:szCs w:val="20"/>
        </w:rPr>
      </w:pPr>
      <w:r w:rsidRPr="00926DEA">
        <w:rPr>
          <w:rFonts w:ascii="Arial" w:hAnsi="Arial" w:cs="Arial"/>
          <w:sz w:val="20"/>
          <w:szCs w:val="20"/>
        </w:rPr>
        <w:t>— recommendations for the protection of sensitive data,</w:t>
      </w:r>
    </w:p>
    <w:p w:rsidR="00926DEA" w:rsidRPr="00926DEA" w:rsidRDefault="00926DEA" w:rsidP="00926DEA">
      <w:pPr>
        <w:autoSpaceDE w:val="0"/>
        <w:autoSpaceDN w:val="0"/>
        <w:adjustRightInd w:val="0"/>
        <w:ind w:left="720"/>
        <w:jc w:val="both"/>
        <w:rPr>
          <w:rFonts w:ascii="Arial" w:hAnsi="Arial" w:cs="Arial"/>
          <w:sz w:val="20"/>
          <w:szCs w:val="20"/>
        </w:rPr>
      </w:pPr>
      <w:r w:rsidRPr="00926DEA">
        <w:rPr>
          <w:rFonts w:ascii="Arial" w:hAnsi="Arial" w:cs="Arial"/>
          <w:sz w:val="20"/>
          <w:szCs w:val="20"/>
        </w:rPr>
        <w:t>— guidelines for the implementation of national laws and regulations (e.g. anti-money laundering and combating the funding of terrorism (AML/CFT), and</w:t>
      </w:r>
    </w:p>
    <w:p w:rsidR="00527429" w:rsidRDefault="00926DEA" w:rsidP="00926DEA">
      <w:pPr>
        <w:autoSpaceDE w:val="0"/>
        <w:autoSpaceDN w:val="0"/>
        <w:adjustRightInd w:val="0"/>
        <w:ind w:left="720"/>
        <w:jc w:val="both"/>
        <w:rPr>
          <w:rFonts w:ascii="Arial" w:hAnsi="Arial" w:cs="Arial"/>
          <w:sz w:val="20"/>
          <w:szCs w:val="20"/>
        </w:rPr>
      </w:pPr>
      <w:r w:rsidRPr="00926DEA">
        <w:rPr>
          <w:rFonts w:ascii="Arial" w:hAnsi="Arial" w:cs="Arial"/>
          <w:sz w:val="20"/>
          <w:szCs w:val="20"/>
        </w:rPr>
        <w:t>— security management considerations.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Pr="00926DE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E1A" w:rsidRDefault="00F54E1A">
      <w:r>
        <w:separator/>
      </w:r>
    </w:p>
  </w:endnote>
  <w:endnote w:type="continuationSeparator" w:id="0">
    <w:p w:rsidR="00F54E1A" w:rsidRDefault="00F54E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E1A" w:rsidRDefault="00F54E1A">
      <w:r>
        <w:separator/>
      </w:r>
    </w:p>
  </w:footnote>
  <w:footnote w:type="continuationSeparator" w:id="0">
    <w:p w:rsidR="00F54E1A" w:rsidRDefault="00F54E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nsid w:val="341259B5"/>
    <w:multiLevelType w:val="singleLevel"/>
    <w:tmpl w:val="0C090011"/>
    <w:lvl w:ilvl="0">
      <w:start w:val="1"/>
      <w:numFmt w:val="decimal"/>
      <w:lvlText w:val="%1)"/>
      <w:lvlJc w:val="left"/>
      <w:pPr>
        <w:tabs>
          <w:tab w:val="num" w:pos="360"/>
        </w:tabs>
        <w:ind w:left="360" w:hanging="360"/>
      </w:pPr>
    </w:lvl>
  </w:abstractNum>
  <w:abstractNum w:abstractNumId="26">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nsid w:val="4467624C"/>
    <w:multiLevelType w:val="multilevel"/>
    <w:tmpl w:val="9386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9"/>
  </w:num>
  <w:num w:numId="3">
    <w:abstractNumId w:val="43"/>
  </w:num>
  <w:num w:numId="4">
    <w:abstractNumId w:val="2"/>
  </w:num>
  <w:num w:numId="5">
    <w:abstractNumId w:val="55"/>
  </w:num>
  <w:num w:numId="6">
    <w:abstractNumId w:val="35"/>
  </w:num>
  <w:num w:numId="7">
    <w:abstractNumId w:val="26"/>
  </w:num>
  <w:num w:numId="8">
    <w:abstractNumId w:val="25"/>
  </w:num>
  <w:num w:numId="9">
    <w:abstractNumId w:val="47"/>
  </w:num>
  <w:num w:numId="10">
    <w:abstractNumId w:val="22"/>
  </w:num>
  <w:num w:numId="11">
    <w:abstractNumId w:val="31"/>
  </w:num>
  <w:num w:numId="12">
    <w:abstractNumId w:val="34"/>
  </w:num>
  <w:num w:numId="13">
    <w:abstractNumId w:val="28"/>
  </w:num>
  <w:num w:numId="14">
    <w:abstractNumId w:val="7"/>
  </w:num>
  <w:num w:numId="15">
    <w:abstractNumId w:val="21"/>
  </w:num>
  <w:num w:numId="16">
    <w:abstractNumId w:val="27"/>
  </w:num>
  <w:num w:numId="17">
    <w:abstractNumId w:val="14"/>
  </w:num>
  <w:num w:numId="18">
    <w:abstractNumId w:val="37"/>
  </w:num>
  <w:num w:numId="19">
    <w:abstractNumId w:val="11"/>
  </w:num>
  <w:num w:numId="20">
    <w:abstractNumId w:val="33"/>
  </w:num>
  <w:num w:numId="21">
    <w:abstractNumId w:val="42"/>
  </w:num>
  <w:num w:numId="22">
    <w:abstractNumId w:val="57"/>
  </w:num>
  <w:num w:numId="23">
    <w:abstractNumId w:val="24"/>
  </w:num>
  <w:num w:numId="24">
    <w:abstractNumId w:val="8"/>
  </w:num>
  <w:num w:numId="25">
    <w:abstractNumId w:val="9"/>
  </w:num>
  <w:num w:numId="26">
    <w:abstractNumId w:val="51"/>
  </w:num>
  <w:num w:numId="27">
    <w:abstractNumId w:val="16"/>
  </w:num>
  <w:num w:numId="28">
    <w:abstractNumId w:val="18"/>
  </w:num>
  <w:num w:numId="29">
    <w:abstractNumId w:val="5"/>
  </w:num>
  <w:num w:numId="30">
    <w:abstractNumId w:val="4"/>
  </w:num>
  <w:num w:numId="31">
    <w:abstractNumId w:val="54"/>
  </w:num>
  <w:num w:numId="32">
    <w:abstractNumId w:val="1"/>
  </w:num>
  <w:num w:numId="33">
    <w:abstractNumId w:val="3"/>
  </w:num>
  <w:num w:numId="34">
    <w:abstractNumId w:val="15"/>
  </w:num>
  <w:num w:numId="35">
    <w:abstractNumId w:val="36"/>
  </w:num>
  <w:num w:numId="36">
    <w:abstractNumId w:val="53"/>
  </w:num>
  <w:num w:numId="37">
    <w:abstractNumId w:val="56"/>
  </w:num>
  <w:num w:numId="38">
    <w:abstractNumId w:val="45"/>
  </w:num>
  <w:num w:numId="39">
    <w:abstractNumId w:val="6"/>
  </w:num>
  <w:num w:numId="40">
    <w:abstractNumId w:val="58"/>
  </w:num>
  <w:num w:numId="41">
    <w:abstractNumId w:val="19"/>
  </w:num>
  <w:num w:numId="42">
    <w:abstractNumId w:val="50"/>
  </w:num>
  <w:num w:numId="43">
    <w:abstractNumId w:val="44"/>
  </w:num>
  <w:num w:numId="44">
    <w:abstractNumId w:val="32"/>
  </w:num>
  <w:num w:numId="45">
    <w:abstractNumId w:val="52"/>
  </w:num>
  <w:num w:numId="46">
    <w:abstractNumId w:val="41"/>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40"/>
  </w:num>
  <w:num w:numId="54">
    <w:abstractNumId w:val="10"/>
  </w:num>
  <w:num w:numId="55">
    <w:abstractNumId w:val="17"/>
  </w:num>
  <w:num w:numId="56">
    <w:abstractNumId w:val="48"/>
  </w:num>
  <w:num w:numId="57">
    <w:abstractNumId w:val="38"/>
  </w:num>
  <w:num w:numId="58">
    <w:abstractNumId w:val="46"/>
  </w:num>
  <w:num w:numId="59">
    <w:abstractNumId w:val="3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1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482"/>
  </w:hdrShapeDefaults>
  <w:footnotePr>
    <w:footnote w:id="-1"/>
    <w:footnote w:id="0"/>
  </w:footnotePr>
  <w:endnotePr>
    <w:endnote w:id="-1"/>
    <w:endnote w:id="0"/>
  </w:endnotePr>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26C13"/>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8ED"/>
    <w:rsid w:val="00414967"/>
    <w:rsid w:val="00420A22"/>
    <w:rsid w:val="00421376"/>
    <w:rsid w:val="00421B38"/>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61290"/>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26DEA"/>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3BF0"/>
    <w:rsid w:val="00A45C80"/>
    <w:rsid w:val="00A4747A"/>
    <w:rsid w:val="00A51196"/>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4AC1"/>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72A5"/>
    <w:rsid w:val="00DA7B6D"/>
    <w:rsid w:val="00DB2839"/>
    <w:rsid w:val="00DB406D"/>
    <w:rsid w:val="00DB64E0"/>
    <w:rsid w:val="00DC0273"/>
    <w:rsid w:val="00DC19BA"/>
    <w:rsid w:val="00DC4E20"/>
    <w:rsid w:val="00DD5E5D"/>
    <w:rsid w:val="00DD756A"/>
    <w:rsid w:val="00DD7CBC"/>
    <w:rsid w:val="00DE1463"/>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E76EA"/>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54E1A"/>
    <w:rsid w:val="00F639D8"/>
    <w:rsid w:val="00F654C5"/>
    <w:rsid w:val="00F71A4F"/>
    <w:rsid w:val="00F7374A"/>
    <w:rsid w:val="00F909F5"/>
    <w:rsid w:val="00F944E5"/>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922374698">
      <w:bodyDiv w:val="1"/>
      <w:marLeft w:val="0"/>
      <w:marRight w:val="0"/>
      <w:marTop w:val="0"/>
      <w:marBottom w:val="0"/>
      <w:divBdr>
        <w:top w:val="none" w:sz="0" w:space="0" w:color="auto"/>
        <w:left w:val="none" w:sz="0" w:space="0" w:color="auto"/>
        <w:bottom w:val="none" w:sz="0" w:space="0" w:color="auto"/>
        <w:right w:val="none" w:sz="0" w:space="0" w:color="auto"/>
      </w:divBdr>
      <w:divsChild>
        <w:div w:id="2024743657">
          <w:marLeft w:val="0"/>
          <w:marRight w:val="0"/>
          <w:marTop w:val="136"/>
          <w:marBottom w:val="136"/>
          <w:divBdr>
            <w:top w:val="none" w:sz="0" w:space="0" w:color="auto"/>
            <w:left w:val="none" w:sz="0" w:space="0" w:color="auto"/>
            <w:bottom w:val="none" w:sz="0" w:space="0" w:color="auto"/>
            <w:right w:val="none" w:sz="0" w:space="0" w:color="auto"/>
          </w:divBdr>
        </w:div>
        <w:div w:id="1121068136">
          <w:marLeft w:val="0"/>
          <w:marRight w:val="0"/>
          <w:marTop w:val="136"/>
          <w:marBottom w:val="136"/>
          <w:divBdr>
            <w:top w:val="none" w:sz="0" w:space="0" w:color="auto"/>
            <w:left w:val="none" w:sz="0" w:space="0" w:color="auto"/>
            <w:bottom w:val="none" w:sz="0" w:space="0" w:color="auto"/>
            <w:right w:val="none" w:sz="0" w:space="0" w:color="auto"/>
          </w:divBdr>
        </w:div>
        <w:div w:id="1063522714">
          <w:marLeft w:val="0"/>
          <w:marRight w:val="0"/>
          <w:marTop w:val="136"/>
          <w:marBottom w:val="136"/>
          <w:divBdr>
            <w:top w:val="none" w:sz="0" w:space="0" w:color="auto"/>
            <w:left w:val="none" w:sz="0" w:space="0" w:color="auto"/>
            <w:bottom w:val="none" w:sz="0" w:space="0" w:color="auto"/>
            <w:right w:val="none" w:sz="0" w:space="0" w:color="auto"/>
          </w:divBdr>
        </w:div>
        <w:div w:id="1063680811">
          <w:marLeft w:val="0"/>
          <w:marRight w:val="0"/>
          <w:marTop w:val="136"/>
          <w:marBottom w:val="136"/>
          <w:divBdr>
            <w:top w:val="none" w:sz="0" w:space="0" w:color="auto"/>
            <w:left w:val="none" w:sz="0" w:space="0" w:color="auto"/>
            <w:bottom w:val="none" w:sz="0" w:space="0" w:color="auto"/>
            <w:right w:val="none" w:sz="0" w:space="0" w:color="auto"/>
          </w:divBdr>
        </w:div>
        <w:div w:id="567691900">
          <w:marLeft w:val="0"/>
          <w:marRight w:val="0"/>
          <w:marTop w:val="0"/>
          <w:marBottom w:val="0"/>
          <w:divBdr>
            <w:top w:val="none" w:sz="0" w:space="0" w:color="auto"/>
            <w:left w:val="none" w:sz="0" w:space="0" w:color="auto"/>
            <w:bottom w:val="none" w:sz="0" w:space="0" w:color="auto"/>
            <w:right w:val="none" w:sz="0" w:space="0" w:color="auto"/>
          </w:divBdr>
          <w:divsChild>
            <w:div w:id="1263147756">
              <w:marLeft w:val="0"/>
              <w:marRight w:val="0"/>
              <w:marTop w:val="136"/>
              <w:marBottom w:val="136"/>
              <w:divBdr>
                <w:top w:val="none" w:sz="0" w:space="0" w:color="auto"/>
                <w:left w:val="none" w:sz="0" w:space="0" w:color="auto"/>
                <w:bottom w:val="none" w:sz="0" w:space="0" w:color="auto"/>
                <w:right w:val="none" w:sz="0" w:space="0" w:color="auto"/>
              </w:divBdr>
            </w:div>
            <w:div w:id="1836191063">
              <w:marLeft w:val="0"/>
              <w:marRight w:val="0"/>
              <w:marTop w:val="136"/>
              <w:marBottom w:val="136"/>
              <w:divBdr>
                <w:top w:val="none" w:sz="0" w:space="0" w:color="auto"/>
                <w:left w:val="none" w:sz="0" w:space="0" w:color="auto"/>
                <w:bottom w:val="none" w:sz="0" w:space="0" w:color="auto"/>
                <w:right w:val="none" w:sz="0" w:space="0" w:color="auto"/>
              </w:divBdr>
            </w:div>
            <w:div w:id="1430539573">
              <w:marLeft w:val="0"/>
              <w:marRight w:val="0"/>
              <w:marTop w:val="136"/>
              <w:marBottom w:val="136"/>
              <w:divBdr>
                <w:top w:val="none" w:sz="0" w:space="0" w:color="auto"/>
                <w:left w:val="none" w:sz="0" w:space="0" w:color="auto"/>
                <w:bottom w:val="none" w:sz="0" w:space="0" w:color="auto"/>
                <w:right w:val="none" w:sz="0" w:space="0" w:color="auto"/>
              </w:divBdr>
            </w:div>
            <w:div w:id="2133935013">
              <w:marLeft w:val="0"/>
              <w:marRight w:val="0"/>
              <w:marTop w:val="136"/>
              <w:marBottom w:val="136"/>
              <w:divBdr>
                <w:top w:val="none" w:sz="0" w:space="0" w:color="auto"/>
                <w:left w:val="none" w:sz="0" w:space="0" w:color="auto"/>
                <w:bottom w:val="none" w:sz="0" w:space="0" w:color="auto"/>
                <w:right w:val="none" w:sz="0" w:space="0" w:color="auto"/>
              </w:divBdr>
            </w:div>
          </w:divsChild>
        </w:div>
        <w:div w:id="451555512">
          <w:marLeft w:val="0"/>
          <w:marRight w:val="0"/>
          <w:marTop w:val="136"/>
          <w:marBottom w:val="136"/>
          <w:divBdr>
            <w:top w:val="none" w:sz="0" w:space="0" w:color="auto"/>
            <w:left w:val="none" w:sz="0" w:space="0" w:color="auto"/>
            <w:bottom w:val="none" w:sz="0" w:space="0" w:color="auto"/>
            <w:right w:val="none" w:sz="0" w:space="0" w:color="auto"/>
          </w:divBdr>
        </w:div>
        <w:div w:id="148863909">
          <w:marLeft w:val="0"/>
          <w:marRight w:val="0"/>
          <w:marTop w:val="136"/>
          <w:marBottom w:val="136"/>
          <w:divBdr>
            <w:top w:val="none" w:sz="0" w:space="0" w:color="auto"/>
            <w:left w:val="none" w:sz="0" w:space="0" w:color="auto"/>
            <w:bottom w:val="none" w:sz="0" w:space="0" w:color="auto"/>
            <w:right w:val="none" w:sz="0" w:space="0" w:color="auto"/>
          </w:divBdr>
        </w:div>
        <w:div w:id="265577258">
          <w:marLeft w:val="0"/>
          <w:marRight w:val="0"/>
          <w:marTop w:val="136"/>
          <w:marBottom w:val="136"/>
          <w:divBdr>
            <w:top w:val="none" w:sz="0" w:space="0" w:color="auto"/>
            <w:left w:val="none" w:sz="0" w:space="0" w:color="auto"/>
            <w:bottom w:val="none" w:sz="0" w:space="0" w:color="auto"/>
            <w:right w:val="none" w:sz="0" w:space="0" w:color="auto"/>
          </w:divBdr>
        </w:div>
        <w:div w:id="1483738084">
          <w:marLeft w:val="0"/>
          <w:marRight w:val="0"/>
          <w:marTop w:val="136"/>
          <w:marBottom w:val="136"/>
          <w:divBdr>
            <w:top w:val="none" w:sz="0" w:space="0" w:color="auto"/>
            <w:left w:val="none" w:sz="0" w:space="0" w:color="auto"/>
            <w:bottom w:val="none" w:sz="0" w:space="0" w:color="auto"/>
            <w:right w:val="none" w:sz="0" w:space="0" w:color="auto"/>
          </w:divBdr>
        </w:div>
      </w:divsChild>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003044487">
      <w:bodyDiv w:val="1"/>
      <w:marLeft w:val="0"/>
      <w:marRight w:val="0"/>
      <w:marTop w:val="0"/>
      <w:marBottom w:val="0"/>
      <w:divBdr>
        <w:top w:val="none" w:sz="0" w:space="0" w:color="auto"/>
        <w:left w:val="none" w:sz="0" w:space="0" w:color="auto"/>
        <w:bottom w:val="none" w:sz="0" w:space="0" w:color="auto"/>
        <w:right w:val="none" w:sz="0" w:space="0" w:color="auto"/>
      </w:divBdr>
      <w:divsChild>
        <w:div w:id="423381847">
          <w:marLeft w:val="0"/>
          <w:marRight w:val="0"/>
          <w:marTop w:val="136"/>
          <w:marBottom w:val="136"/>
          <w:divBdr>
            <w:top w:val="none" w:sz="0" w:space="0" w:color="auto"/>
            <w:left w:val="none" w:sz="0" w:space="0" w:color="auto"/>
            <w:bottom w:val="none" w:sz="0" w:space="0" w:color="auto"/>
            <w:right w:val="none" w:sz="0" w:space="0" w:color="auto"/>
          </w:divBdr>
        </w:div>
        <w:div w:id="1884947422">
          <w:marLeft w:val="0"/>
          <w:marRight w:val="0"/>
          <w:marTop w:val="136"/>
          <w:marBottom w:val="136"/>
          <w:divBdr>
            <w:top w:val="none" w:sz="0" w:space="0" w:color="auto"/>
            <w:left w:val="none" w:sz="0" w:space="0" w:color="auto"/>
            <w:bottom w:val="none" w:sz="0" w:space="0" w:color="auto"/>
            <w:right w:val="none" w:sz="0" w:space="0" w:color="auto"/>
          </w:divBdr>
        </w:div>
        <w:div w:id="1852838147">
          <w:marLeft w:val="0"/>
          <w:marRight w:val="0"/>
          <w:marTop w:val="136"/>
          <w:marBottom w:val="136"/>
          <w:divBdr>
            <w:top w:val="none" w:sz="0" w:space="0" w:color="auto"/>
            <w:left w:val="none" w:sz="0" w:space="0" w:color="auto"/>
            <w:bottom w:val="none" w:sz="0" w:space="0" w:color="auto"/>
            <w:right w:val="none" w:sz="0" w:space="0" w:color="auto"/>
          </w:divBdr>
        </w:div>
        <w:div w:id="577836196">
          <w:marLeft w:val="0"/>
          <w:marRight w:val="0"/>
          <w:marTop w:val="136"/>
          <w:marBottom w:val="136"/>
          <w:divBdr>
            <w:top w:val="none" w:sz="0" w:space="0" w:color="auto"/>
            <w:left w:val="none" w:sz="0" w:space="0" w:color="auto"/>
            <w:bottom w:val="none" w:sz="0" w:space="0" w:color="auto"/>
            <w:right w:val="none" w:sz="0" w:space="0" w:color="auto"/>
          </w:divBdr>
        </w:div>
        <w:div w:id="1825585731">
          <w:marLeft w:val="0"/>
          <w:marRight w:val="0"/>
          <w:marTop w:val="0"/>
          <w:marBottom w:val="0"/>
          <w:divBdr>
            <w:top w:val="none" w:sz="0" w:space="0" w:color="auto"/>
            <w:left w:val="none" w:sz="0" w:space="0" w:color="auto"/>
            <w:bottom w:val="none" w:sz="0" w:space="0" w:color="auto"/>
            <w:right w:val="none" w:sz="0" w:space="0" w:color="auto"/>
          </w:divBdr>
          <w:divsChild>
            <w:div w:id="1535313788">
              <w:marLeft w:val="0"/>
              <w:marRight w:val="0"/>
              <w:marTop w:val="136"/>
              <w:marBottom w:val="136"/>
              <w:divBdr>
                <w:top w:val="none" w:sz="0" w:space="0" w:color="auto"/>
                <w:left w:val="none" w:sz="0" w:space="0" w:color="auto"/>
                <w:bottom w:val="none" w:sz="0" w:space="0" w:color="auto"/>
                <w:right w:val="none" w:sz="0" w:space="0" w:color="auto"/>
              </w:divBdr>
            </w:div>
            <w:div w:id="740951366">
              <w:marLeft w:val="0"/>
              <w:marRight w:val="0"/>
              <w:marTop w:val="136"/>
              <w:marBottom w:val="136"/>
              <w:divBdr>
                <w:top w:val="none" w:sz="0" w:space="0" w:color="auto"/>
                <w:left w:val="none" w:sz="0" w:space="0" w:color="auto"/>
                <w:bottom w:val="none" w:sz="0" w:space="0" w:color="auto"/>
                <w:right w:val="none" w:sz="0" w:space="0" w:color="auto"/>
              </w:divBdr>
            </w:div>
            <w:div w:id="1460680202">
              <w:marLeft w:val="0"/>
              <w:marRight w:val="0"/>
              <w:marTop w:val="136"/>
              <w:marBottom w:val="136"/>
              <w:divBdr>
                <w:top w:val="none" w:sz="0" w:space="0" w:color="auto"/>
                <w:left w:val="none" w:sz="0" w:space="0" w:color="auto"/>
                <w:bottom w:val="none" w:sz="0" w:space="0" w:color="auto"/>
                <w:right w:val="none" w:sz="0" w:space="0" w:color="auto"/>
              </w:divBdr>
            </w:div>
            <w:div w:id="1113860752">
              <w:marLeft w:val="0"/>
              <w:marRight w:val="0"/>
              <w:marTop w:val="136"/>
              <w:marBottom w:val="136"/>
              <w:divBdr>
                <w:top w:val="none" w:sz="0" w:space="0" w:color="auto"/>
                <w:left w:val="none" w:sz="0" w:space="0" w:color="auto"/>
                <w:bottom w:val="none" w:sz="0" w:space="0" w:color="auto"/>
                <w:right w:val="none" w:sz="0" w:space="0" w:color="auto"/>
              </w:divBdr>
            </w:div>
          </w:divsChild>
        </w:div>
        <w:div w:id="1021780026">
          <w:marLeft w:val="0"/>
          <w:marRight w:val="0"/>
          <w:marTop w:val="136"/>
          <w:marBottom w:val="136"/>
          <w:divBdr>
            <w:top w:val="none" w:sz="0" w:space="0" w:color="auto"/>
            <w:left w:val="none" w:sz="0" w:space="0" w:color="auto"/>
            <w:bottom w:val="none" w:sz="0" w:space="0" w:color="auto"/>
            <w:right w:val="none" w:sz="0" w:space="0" w:color="auto"/>
          </w:divBdr>
        </w:div>
        <w:div w:id="1818493588">
          <w:marLeft w:val="0"/>
          <w:marRight w:val="0"/>
          <w:marTop w:val="136"/>
          <w:marBottom w:val="136"/>
          <w:divBdr>
            <w:top w:val="none" w:sz="0" w:space="0" w:color="auto"/>
            <w:left w:val="none" w:sz="0" w:space="0" w:color="auto"/>
            <w:bottom w:val="none" w:sz="0" w:space="0" w:color="auto"/>
            <w:right w:val="none" w:sz="0" w:space="0" w:color="auto"/>
          </w:divBdr>
        </w:div>
        <w:div w:id="1644890986">
          <w:marLeft w:val="0"/>
          <w:marRight w:val="0"/>
          <w:marTop w:val="136"/>
          <w:marBottom w:val="136"/>
          <w:divBdr>
            <w:top w:val="none" w:sz="0" w:space="0" w:color="auto"/>
            <w:left w:val="none" w:sz="0" w:space="0" w:color="auto"/>
            <w:bottom w:val="none" w:sz="0" w:space="0" w:color="auto"/>
            <w:right w:val="none" w:sz="0" w:space="0" w:color="auto"/>
          </w:divBdr>
        </w:div>
        <w:div w:id="2113817970">
          <w:marLeft w:val="0"/>
          <w:marRight w:val="0"/>
          <w:marTop w:val="136"/>
          <w:marBottom w:val="136"/>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1938904982">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 w:id="2125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486</Words>
  <Characters>2773</Characters>
  <Application>Microsoft Office Word</Application>
  <DocSecurity>2</DocSecurity>
  <Lines>23</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3253</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kimiteia</cp:lastModifiedBy>
  <cp:revision>2</cp:revision>
  <cp:lastPrinted>2011-05-19T08:42:00Z</cp:lastPrinted>
  <dcterms:created xsi:type="dcterms:W3CDTF">2018-09-17T06:12:00Z</dcterms:created>
  <dcterms:modified xsi:type="dcterms:W3CDTF">2018-09-17T06:12:00Z</dcterms:modified>
</cp:coreProperties>
</file>