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317B3C" w:rsidRDefault="00101DF3" w:rsidP="00317B3C">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417775" w:rsidRPr="00417775">
        <w:rPr>
          <w:rFonts w:ascii="Arial" w:hAnsi="Arial" w:cs="Arial"/>
          <w:b/>
          <w:sz w:val="20"/>
          <w:szCs w:val="20"/>
        </w:rPr>
        <w:t>ISO 21188:2018</w:t>
      </w:r>
    </w:p>
    <w:p w:rsidR="001B427A" w:rsidRDefault="001B427A">
      <w:pPr>
        <w:autoSpaceDE w:val="0"/>
        <w:autoSpaceDN w:val="0"/>
        <w:adjustRightInd w:val="0"/>
        <w:jc w:val="both"/>
        <w:rPr>
          <w:rFonts w:ascii="Arial" w:hAnsi="Arial" w:cs="Arial"/>
          <w:sz w:val="20"/>
          <w:szCs w:val="20"/>
        </w:rPr>
      </w:pPr>
    </w:p>
    <w:p w:rsidR="00417775" w:rsidRPr="00417775" w:rsidRDefault="001B427A" w:rsidP="00417775">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417775" w:rsidRPr="00417775">
        <w:rPr>
          <w:i/>
        </w:rPr>
        <w:t>Public key infrastructure for financial services - Practices and policy framework.</w:t>
      </w:r>
    </w:p>
    <w:p w:rsidR="00824971" w:rsidRPr="00824971" w:rsidRDefault="00824971" w:rsidP="00824971">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0E4A2E" w:rsidRDefault="00417775">
      <w:pPr>
        <w:autoSpaceDE w:val="0"/>
        <w:autoSpaceDN w:val="0"/>
        <w:adjustRightInd w:val="0"/>
        <w:jc w:val="both"/>
        <w:rPr>
          <w:rFonts w:ascii="Arial" w:hAnsi="Arial" w:cs="Arial"/>
          <w:sz w:val="20"/>
          <w:szCs w:val="20"/>
        </w:rPr>
      </w:pPr>
      <w:r w:rsidRPr="00417775">
        <w:rPr>
          <w:rFonts w:ascii="Arial" w:hAnsi="Arial" w:cs="Arial"/>
          <w:sz w:val="20"/>
          <w:szCs w:val="20"/>
        </w:rPr>
        <w:t>This document sets out a framework of requirements to manage a PKI through certificate policies and certification practice statements and to enable the use of public key certificates in the financial services industry. It also defines control objectives and supporting procedures to manage risks. While this document addresses the generation of public key certificates that might be used for digital signatures or key establishment, it does not address authentication methods, non-repudiation requirements or key management protocols.</w:t>
      </w:r>
    </w:p>
    <w:p w:rsidR="00417775" w:rsidRDefault="00417775">
      <w:pPr>
        <w:autoSpaceDE w:val="0"/>
        <w:autoSpaceDN w:val="0"/>
        <w:adjustRightInd w:val="0"/>
        <w:jc w:val="both"/>
        <w:rPr>
          <w:rFonts w:ascii="Arial" w:hAnsi="Arial" w:cs="Arial"/>
          <w:sz w:val="20"/>
          <w:szCs w:val="20"/>
        </w:rPr>
      </w:pPr>
      <w:r w:rsidRPr="00417775">
        <w:rPr>
          <w:rFonts w:ascii="Arial" w:hAnsi="Arial" w:cs="Arial"/>
          <w:sz w:val="20"/>
          <w:szCs w:val="20"/>
        </w:rPr>
        <w:t> It further defines the operational practices relative to financial-services-industry-accepted information systems control objectives. This document is intended to help implementers to define PKI practices that can support multiple certificate policies that include the use of digital signature, remote authentication, key exchange and data encryption.</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A46" w:rsidRDefault="009C0A46">
      <w:r>
        <w:separator/>
      </w:r>
    </w:p>
  </w:endnote>
  <w:endnote w:type="continuationSeparator" w:id="0">
    <w:p w:rsidR="009C0A46" w:rsidRDefault="009C0A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A46" w:rsidRDefault="009C0A46">
      <w:r>
        <w:separator/>
      </w:r>
    </w:p>
  </w:footnote>
  <w:footnote w:type="continuationSeparator" w:id="0">
    <w:p w:rsidR="009C0A46" w:rsidRDefault="009C0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17775"/>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0A46"/>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57512341">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29478090">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486</Words>
  <Characters>2773</Characters>
  <Application>Microsoft Office Word</Application>
  <DocSecurity>2</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3253</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2018-09-17T06:30:00Z</dcterms:created>
  <dcterms:modified xsi:type="dcterms:W3CDTF">2018-09-17T06:30:00Z</dcterms:modified>
</cp:coreProperties>
</file>