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E811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974BAC2" w14:textId="77777777" w:rsidR="007D7BDE" w:rsidRPr="00556197" w:rsidRDefault="007D7BDE" w:rsidP="007D7BDE"/>
    <w:p w14:paraId="5E2D4B23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0AA8736E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B610425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3E900B1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14:paraId="0EE4EE8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6CE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C0C4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786425E3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7EC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4CD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480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BDEAD71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6B2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4FA" w14:textId="73F9F6FA" w:rsidR="007D7BDE" w:rsidRPr="00556197" w:rsidRDefault="00B6728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E2C1E">
              <w:rPr>
                <w:rFonts w:ascii="Arial" w:hAnsi="Arial" w:cs="Arial"/>
              </w:rPr>
              <w:t>7</w:t>
            </w:r>
            <w:r w:rsidR="006078AD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6078AD">
              <w:rPr>
                <w:rFonts w:ascii="Arial" w:hAnsi="Arial" w:cs="Arial"/>
              </w:rPr>
              <w:t>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64F" w14:textId="59386852" w:rsidR="007D7BDE" w:rsidRPr="00556197" w:rsidRDefault="00B6728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E2C1E">
              <w:rPr>
                <w:rFonts w:ascii="Arial" w:hAnsi="Arial" w:cs="Arial"/>
              </w:rPr>
              <w:t>7</w:t>
            </w:r>
            <w:r w:rsidR="006078AD">
              <w:rPr>
                <w:rFonts w:ascii="Arial" w:hAnsi="Arial" w:cs="Arial"/>
              </w:rPr>
              <w:t>/0</w:t>
            </w:r>
            <w:r w:rsidR="002905D8">
              <w:rPr>
                <w:rFonts w:ascii="Arial" w:hAnsi="Arial" w:cs="Arial"/>
              </w:rPr>
              <w:t>3</w:t>
            </w:r>
            <w:r w:rsidR="006078AD">
              <w:rPr>
                <w:rFonts w:ascii="Arial" w:hAnsi="Arial" w:cs="Arial"/>
              </w:rPr>
              <w:t>/2022</w:t>
            </w:r>
          </w:p>
        </w:tc>
      </w:tr>
      <w:tr w:rsidR="007D7BDE" w:rsidRPr="00556197" w14:paraId="67020D1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B4EC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98A6" w14:textId="2154C8E2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6078AD" w:rsidRPr="006078AD">
              <w:rPr>
                <w:rFonts w:ascii="Arial" w:hAnsi="Arial" w:cs="Arial"/>
                <w:b/>
                <w:bCs/>
              </w:rPr>
              <w:t>Mary Ngotho (ngothom@kebs.org)</w:t>
            </w:r>
          </w:p>
        </w:tc>
      </w:tr>
    </w:tbl>
    <w:p w14:paraId="54BE18A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BC3C570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07A1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5F30EF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78913AF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68F385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6F72620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228D9A8" w14:textId="1559FBC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381CB18C" w14:textId="77777777" w:rsidR="00ED7777" w:rsidRDefault="00ED7777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A089F73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1182:1994-Specification for butyl alcohol (Butonal for industrial use).</w:t>
      </w:r>
    </w:p>
    <w:p w14:paraId="27D9C669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2272:2011-Nitric acid – Specification</w:t>
      </w:r>
    </w:p>
    <w:p w14:paraId="689D767F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242:1980-Specification for sulphuric acid for use in lead-acid batteries.</w:t>
      </w:r>
    </w:p>
    <w:p w14:paraId="7BD7C37E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2692-1:2017-Alcohol denaturants - Specification.</w:t>
      </w:r>
    </w:p>
    <w:p w14:paraId="1F73C56B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591:2011-Denatured spirits Specification</w:t>
      </w:r>
    </w:p>
    <w:p w14:paraId="37694B1A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666:2011-Specification for white spirit (mineral turpentine).</w:t>
      </w:r>
    </w:p>
    <w:p w14:paraId="5D72E4E2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EAS 213:2007-Liquid chemical products for industrial use - Determination of absolute density at 20 degree centigrade</w:t>
      </w:r>
    </w:p>
    <w:p w14:paraId="1BC39409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EAS 214:2007-Volatile organic liquids for industrial use . Determination of dry residue after evaporation on a water bath . General method.</w:t>
      </w:r>
    </w:p>
    <w:p w14:paraId="3912E042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KS ISO 1388-1:1981 ETHANOL FOR INDUSTRIAL USE — METHODS OF TEST — PART 1: GENERAL</w:t>
      </w:r>
    </w:p>
    <w:p w14:paraId="2432064A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1388-10:1981 ETHANOL FOR INDUSTRIAL USE — METHODS OF TEST — PART 10: ESTIMATION OF HYDROCARBONS CONTENT — DISTILLATION METHOD</w:t>
      </w:r>
    </w:p>
    <w:p w14:paraId="2E281535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1388-11:1981 ETHANOL FOR INDUSTRIAL USE — METHODS OF TEST — PART 11: TEST FOR DETECTION OF FURFURAL</w:t>
      </w:r>
    </w:p>
    <w:p w14:paraId="52C2614D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1388-12:1981 ETHANOL FOR INDUSTRIAL USE — METHODS OF TEST — PART 12: DETERMINATION OF PERMANGANATE TIME</w:t>
      </w:r>
    </w:p>
    <w:p w14:paraId="061BB904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1388-2:1981 ETHANOL FOR INDUSTRIAL USE — METHODS OF TEST — PART 2: DETECTION OF ALKALINITY OR DETERMINATION OF ACIDITY TO PHENOLPHTHALEIN</w:t>
      </w:r>
    </w:p>
    <w:p w14:paraId="70959376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1388-3:1981 ETHANOL FOR INDUSTRIAL USE — METHODS OF TEST — PART 3: ESTIMATION OF CONTENT OF CARBONYL COMPOUNDS PRESENT IN SMALL AMOUNTS — PHOTOMETRIC METHOD</w:t>
      </w:r>
    </w:p>
    <w:p w14:paraId="3546FADF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1388-4:1981 ETHANOL FOR INDUSTRIAL USE — METHODS OF TEST — PART 4: ESTIMATION OF CONTENT OF CARBONYL COMPOUNDS PRESENT IN MODERATE AMOUNTS — TITRIMETRIC METHOD</w:t>
      </w:r>
    </w:p>
    <w:p w14:paraId="7F131127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1388-5:1981 ETHANOL FOR INDUSTRIAL USE — METHODS OF TEST — PART 5: DETERMINATION OF ALDEHYDES CONTENT — VISUAL COLORIMETRIC METHOD</w:t>
      </w:r>
    </w:p>
    <w:p w14:paraId="198604B3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lastRenderedPageBreak/>
        <w:t>ISO 1388-6:1981 ETHANOL FOR INDUSTRIAL USE — METHODS OF TEST — PART 6: TEST FOR MISCIBILITY WITH WATER</w:t>
      </w:r>
    </w:p>
    <w:p w14:paraId="456F007F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1388-7:1981 ETHANOL FOR INDUSTRIAL USE — METHODS OF TEST — PART 7: DETERMINATION OF METHANOL CONTENT (METHANOL CONTENTS BETWEEN 0,01 AND 0,20 % (V/V)) — PHOTOMETRIC METHOD</w:t>
      </w:r>
    </w:p>
    <w:p w14:paraId="4E72EE30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1388-8:1981 ETHANOL FOR INDUSTRIAL USE — METHODS OF TEST — PART 8: DETERMINATION OF METHANOL CONTENT (METHANOL CONTENTS BETWEEN 0,10 AND 1,50 % (V/V)) — VISUAL COLORIMETRIC METHOD</w:t>
      </w:r>
    </w:p>
    <w:p w14:paraId="2A28906A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1388-9:1981 ETHANOL FOR INDUSTRIAL USE — METHODS OF TEST — PART 9: DETERMINATION OF ESTERS CONTENT — TITRIMETRIC METHOD AFTER SAPONIFICATION</w:t>
      </w:r>
    </w:p>
    <w:p w14:paraId="7138F857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2482:1973 SODIUM CHLORIDE FOR INDUSTRIAL USE — DETERMINATION OF CALCIUM AND MAGNESIUM CONTENTS — EDTA COMPLEXOMETRIC METHODS</w:t>
      </w:r>
    </w:p>
    <w:p w14:paraId="319C0689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2483:1973 SODIUM CHLORIDE FOR INDUSTRIAL USE — DETERMINATION OF THE LOSS OF MASS AT 110 DEGREES C</w:t>
      </w:r>
    </w:p>
    <w:p w14:paraId="49B38305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6353-3:1987 REAGENTS FOR CHEMICAL ANALYSIS — PART 3: SPECIFICATIONS — SECOND SERIES</w:t>
      </w:r>
    </w:p>
    <w:p w14:paraId="06B63B13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4626:1980 VOLATILE ORGANIC LIQUIDS — DETERMINATION OF BOILING RANGE OF ORGANIC SOLVENTS USED AS RAW MATERIALS- withdrawn without replacement.</w:t>
      </w:r>
    </w:p>
    <w:p w14:paraId="1804FCBB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6685:1982 CHEMICAL PRODUCTS FOR INDUSTRIAL USE — GENERAL METHOD FOR DETERMINATION OF IRON CONTENT — 1,10-PHENANTHROLINE SPECTROPHOTOMETRIC METHOD- withdrawn without replacent.</w:t>
      </w:r>
    </w:p>
    <w:p w14:paraId="12604796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758:1976 LIQUID CHEMICAL PRODUCTS FOR INDUSTRIAL USE — DETERMINATION OF DENSITY AT 20 DEGREES C</w:t>
      </w:r>
    </w:p>
    <w:p w14:paraId="12A6FB12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759:1981 VOLATILE ORGANIC LIQUIDS FOR INDUSTRIAL USE — DETERMINATION OF DRY RESIDUE AFTER EVAPORATION ON WATER BATH — GENERAL METHOD</w:t>
      </w:r>
    </w:p>
    <w:p w14:paraId="2AFA9025" w14:textId="77777777" w:rsidR="001A70A3" w:rsidRPr="001A70A3" w:rsidRDefault="001A70A3" w:rsidP="001A70A3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</w:rPr>
      </w:pPr>
      <w:r w:rsidRPr="001A70A3">
        <w:rPr>
          <w:rFonts w:ascii="Arial" w:hAnsi="Arial" w:cs="Arial"/>
        </w:rPr>
        <w:t>ISO 918:1983 VOLATILE ORGANIC LIQUIDS FOR INDUSTRIAL USE — DETERMINATION OF DISTILLATION CHARACTERISTICS</w:t>
      </w:r>
    </w:p>
    <w:p w14:paraId="18021BA4" w14:textId="77777777" w:rsidR="00D548EE" w:rsidRPr="00D548EE" w:rsidRDefault="00D548EE" w:rsidP="00D548EE">
      <w:pPr>
        <w:autoSpaceDE w:val="0"/>
        <w:autoSpaceDN w:val="0"/>
        <w:adjustRightInd w:val="0"/>
        <w:ind w:left="786"/>
        <w:rPr>
          <w:rFonts w:ascii="Arial" w:hAnsi="Arial" w:cs="Arial"/>
        </w:rPr>
      </w:pPr>
    </w:p>
    <w:p w14:paraId="67339BD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1EF5DC1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6EC813E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D62A4">
        <w:rPr>
          <w:rFonts w:ascii="Arial" w:hAnsi="Arial" w:cs="Arial"/>
        </w:rPr>
      </w:r>
      <w:r w:rsidR="008D62A4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A26EFFC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12D13C77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D62A4">
        <w:rPr>
          <w:rFonts w:ascii="Arial" w:hAnsi="Arial" w:cs="Arial"/>
        </w:rPr>
      </w:r>
      <w:r w:rsidR="008D62A4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0095144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007F3B61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D62A4">
        <w:rPr>
          <w:rFonts w:ascii="Arial" w:hAnsi="Arial" w:cs="Arial"/>
        </w:rPr>
      </w:r>
      <w:r w:rsidR="008D62A4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C15A905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601EF7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8D62A4">
        <w:rPr>
          <w:rFonts w:ascii="Arial" w:hAnsi="Arial" w:cs="Arial"/>
        </w:rPr>
      </w:r>
      <w:r w:rsidR="008D62A4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34C712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469E8B5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B5440B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A43FB4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1D0BDF9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B8D3CA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5CD79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18C79EB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D1F8FD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7EDD228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481D06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032517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0FB9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1025592B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3DA88C9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D3B3" w14:textId="77777777" w:rsidR="008D62A4" w:rsidRDefault="008D62A4" w:rsidP="007D7BDE">
      <w:r>
        <w:separator/>
      </w:r>
    </w:p>
  </w:endnote>
  <w:endnote w:type="continuationSeparator" w:id="0">
    <w:p w14:paraId="10F4B8B9" w14:textId="77777777" w:rsidR="008D62A4" w:rsidRDefault="008D62A4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183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7F5CEC37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B9E2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3453F02A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A7D38" w14:textId="77777777" w:rsidR="008D62A4" w:rsidRDefault="008D62A4" w:rsidP="007D7BDE">
      <w:r>
        <w:separator/>
      </w:r>
    </w:p>
  </w:footnote>
  <w:footnote w:type="continuationSeparator" w:id="0">
    <w:p w14:paraId="0F450607" w14:textId="77777777" w:rsidR="008D62A4" w:rsidRDefault="008D62A4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E8765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1619D07" wp14:editId="68D1E351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93878BB"/>
    <w:multiLevelType w:val="hybridMultilevel"/>
    <w:tmpl w:val="B1A0E11E"/>
    <w:lvl w:ilvl="0" w:tplc="3D5660EC">
      <w:start w:val="1"/>
      <w:numFmt w:val="decimal"/>
      <w:lvlText w:val="%1."/>
      <w:lvlJc w:val="left"/>
      <w:pPr>
        <w:ind w:left="786" w:hanging="360"/>
      </w:pPr>
      <w:rPr>
        <w:rFonts w:ascii="Tahoma" w:hAnsi="Tahoma" w:cs="Tahoma" w:hint="default"/>
        <w:b/>
        <w:color w:val="215DC6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 w15:restartNumberingAfterBreak="0">
    <w:nsid w:val="7F733A43"/>
    <w:multiLevelType w:val="hybridMultilevel"/>
    <w:tmpl w:val="00341D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A70A3"/>
    <w:rsid w:val="001D112C"/>
    <w:rsid w:val="001D2735"/>
    <w:rsid w:val="002236B8"/>
    <w:rsid w:val="00226FF2"/>
    <w:rsid w:val="00241E4B"/>
    <w:rsid w:val="00242755"/>
    <w:rsid w:val="00267C84"/>
    <w:rsid w:val="00282D9D"/>
    <w:rsid w:val="002905D8"/>
    <w:rsid w:val="00297C50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944B7"/>
    <w:rsid w:val="00506AFA"/>
    <w:rsid w:val="005965CF"/>
    <w:rsid w:val="005D3E09"/>
    <w:rsid w:val="005E2F92"/>
    <w:rsid w:val="00603DD8"/>
    <w:rsid w:val="006078AD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7E2C1E"/>
    <w:rsid w:val="00810E69"/>
    <w:rsid w:val="008572A5"/>
    <w:rsid w:val="00877DFF"/>
    <w:rsid w:val="00893D7E"/>
    <w:rsid w:val="008B3FDD"/>
    <w:rsid w:val="008D62A4"/>
    <w:rsid w:val="00A0374F"/>
    <w:rsid w:val="00A15AB7"/>
    <w:rsid w:val="00A87B44"/>
    <w:rsid w:val="00AB16F3"/>
    <w:rsid w:val="00B04B5B"/>
    <w:rsid w:val="00B67284"/>
    <w:rsid w:val="00BA0183"/>
    <w:rsid w:val="00BF6EDE"/>
    <w:rsid w:val="00C23675"/>
    <w:rsid w:val="00C734AC"/>
    <w:rsid w:val="00D42516"/>
    <w:rsid w:val="00D548EE"/>
    <w:rsid w:val="00D711C5"/>
    <w:rsid w:val="00DC7D31"/>
    <w:rsid w:val="00DE4B09"/>
    <w:rsid w:val="00E00478"/>
    <w:rsid w:val="00E1291B"/>
    <w:rsid w:val="00E41A20"/>
    <w:rsid w:val="00E6139E"/>
    <w:rsid w:val="00E67378"/>
    <w:rsid w:val="00EB7875"/>
    <w:rsid w:val="00ED7777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426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Mary Ngotho</cp:lastModifiedBy>
  <cp:revision>3</cp:revision>
  <dcterms:created xsi:type="dcterms:W3CDTF">2022-02-07T11:02:00Z</dcterms:created>
  <dcterms:modified xsi:type="dcterms:W3CDTF">2022-02-07T13:36:00Z</dcterms:modified>
</cp:coreProperties>
</file>