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164" w:rsidRPr="00F9645B" w:rsidRDefault="00020164" w:rsidP="00020164">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020164" w:rsidRDefault="00020164" w:rsidP="00020164">
      <w:pPr>
        <w:pStyle w:val="ListParagraph"/>
        <w:rPr>
          <w:rFonts w:ascii="Arial" w:hAnsi="Arial" w:cs="Arial"/>
          <w:sz w:val="22"/>
          <w:szCs w:val="22"/>
        </w:rPr>
      </w:pPr>
    </w:p>
    <w:p w:rsidR="00020164" w:rsidRDefault="00020164" w:rsidP="00020164">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pPr w:leftFromText="180" w:rightFromText="180" w:vertAnchor="text" w:horzAnchor="margin" w:tblpXSpec="center" w:tblpY="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856B1" w:rsidRPr="00A748E4" w:rsidTr="007856B1">
        <w:tc>
          <w:tcPr>
            <w:tcW w:w="2178"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856B1" w:rsidRPr="00A748E4" w:rsidRDefault="007856B1" w:rsidP="007856B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7856B1" w:rsidRPr="00A748E4" w:rsidTr="007856B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7856B1" w:rsidRPr="00A748E4" w:rsidTr="007856B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7856B1" w:rsidRPr="00A748E4" w:rsidRDefault="007856B1" w:rsidP="007856B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7856B1" w:rsidRPr="00A748E4" w:rsidRDefault="00C175F0" w:rsidP="00864E95">
            <w:pPr>
              <w:tabs>
                <w:tab w:val="center" w:pos="4320"/>
                <w:tab w:val="right" w:pos="8640"/>
              </w:tabs>
              <w:rPr>
                <w:rFonts w:ascii="Arial" w:hAnsi="Arial" w:cs="Arial"/>
                <w:sz w:val="20"/>
                <w:szCs w:val="20"/>
              </w:rPr>
            </w:pPr>
            <w:r>
              <w:rPr>
                <w:rFonts w:ascii="Arial" w:hAnsi="Arial" w:cs="Arial"/>
                <w:sz w:val="20"/>
                <w:szCs w:val="20"/>
              </w:rPr>
              <w:t>15/10</w:t>
            </w:r>
            <w:r w:rsidR="00864E95">
              <w:rPr>
                <w:rFonts w:ascii="Arial" w:hAnsi="Arial" w:cs="Arial"/>
                <w:sz w:val="20"/>
                <w:szCs w:val="20"/>
              </w:rPr>
              <w:t>/2018</w:t>
            </w:r>
          </w:p>
        </w:tc>
        <w:tc>
          <w:tcPr>
            <w:tcW w:w="2970" w:type="dxa"/>
            <w:tcBorders>
              <w:top w:val="single" w:sz="4" w:space="0" w:color="auto"/>
              <w:left w:val="single" w:sz="4" w:space="0" w:color="auto"/>
              <w:bottom w:val="single" w:sz="4" w:space="0" w:color="auto"/>
              <w:right w:val="single" w:sz="4" w:space="0" w:color="auto"/>
            </w:tcBorders>
          </w:tcPr>
          <w:p w:rsidR="007856B1" w:rsidRPr="00A748E4" w:rsidRDefault="00C175F0" w:rsidP="00272BC8">
            <w:pPr>
              <w:tabs>
                <w:tab w:val="center" w:pos="4320"/>
                <w:tab w:val="right" w:pos="8640"/>
              </w:tabs>
              <w:rPr>
                <w:rFonts w:ascii="Arial" w:hAnsi="Arial" w:cs="Arial"/>
                <w:sz w:val="20"/>
                <w:szCs w:val="20"/>
              </w:rPr>
            </w:pPr>
            <w:r>
              <w:rPr>
                <w:rFonts w:ascii="Arial" w:hAnsi="Arial" w:cs="Arial"/>
                <w:sz w:val="20"/>
                <w:szCs w:val="20"/>
              </w:rPr>
              <w:t>15/11</w:t>
            </w:r>
            <w:r w:rsidR="00864E95">
              <w:rPr>
                <w:rFonts w:ascii="Arial" w:hAnsi="Arial" w:cs="Arial"/>
                <w:sz w:val="20"/>
                <w:szCs w:val="20"/>
              </w:rPr>
              <w:t>/2018</w:t>
            </w:r>
          </w:p>
        </w:tc>
      </w:tr>
      <w:tr w:rsidR="007856B1" w:rsidRPr="00A748E4" w:rsidTr="007856B1">
        <w:tc>
          <w:tcPr>
            <w:tcW w:w="2178"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856B1" w:rsidRPr="00A748E4" w:rsidRDefault="007856B1" w:rsidP="000407FE">
            <w:pPr>
              <w:tabs>
                <w:tab w:val="center" w:pos="4320"/>
                <w:tab w:val="right" w:pos="8640"/>
              </w:tabs>
              <w:rPr>
                <w:rFonts w:ascii="Arial" w:hAnsi="Arial" w:cs="Arial"/>
                <w:sz w:val="20"/>
                <w:szCs w:val="20"/>
              </w:rPr>
            </w:pPr>
            <w:r w:rsidRPr="00A748E4">
              <w:rPr>
                <w:rFonts w:ascii="Arial" w:hAnsi="Arial" w:cs="Arial"/>
                <w:b/>
                <w:bCs/>
                <w:sz w:val="20"/>
                <w:szCs w:val="20"/>
              </w:rPr>
              <w:t>This form shall be filled, signed and returned to Kenya Bureau of Standards for the attention of</w:t>
            </w:r>
            <w:r>
              <w:rPr>
                <w:rFonts w:ascii="Arial" w:hAnsi="Arial" w:cs="Arial"/>
                <w:b/>
                <w:bCs/>
                <w:sz w:val="20"/>
                <w:szCs w:val="20"/>
              </w:rPr>
              <w:t xml:space="preserve"> </w:t>
            </w:r>
            <w:r w:rsidR="000407FE">
              <w:rPr>
                <w:rFonts w:ascii="Arial" w:hAnsi="Arial" w:cs="Arial"/>
                <w:b/>
                <w:bCs/>
                <w:sz w:val="20"/>
                <w:szCs w:val="20"/>
              </w:rPr>
              <w:t xml:space="preserve">Kiminza George </w:t>
            </w:r>
            <w:hyperlink r:id="rId8" w:history="1">
              <w:r w:rsidR="000407FE" w:rsidRPr="00254F86">
                <w:rPr>
                  <w:rStyle w:val="Hyperlink"/>
                  <w:rFonts w:ascii="Arial" w:hAnsi="Arial" w:cs="Arial"/>
                  <w:b/>
                  <w:bCs/>
                  <w:sz w:val="20"/>
                  <w:szCs w:val="20"/>
                </w:rPr>
                <w:t>kiminzag@kebs.org</w:t>
              </w:r>
            </w:hyperlink>
            <w:r w:rsidR="000407FE">
              <w:rPr>
                <w:rFonts w:ascii="Arial" w:hAnsi="Arial" w:cs="Arial"/>
                <w:b/>
                <w:bCs/>
                <w:sz w:val="20"/>
                <w:szCs w:val="20"/>
              </w:rPr>
              <w:t xml:space="preserve"> </w:t>
            </w:r>
          </w:p>
        </w:tc>
      </w:tr>
    </w:tbl>
    <w:p w:rsidR="007856B1" w:rsidRDefault="007856B1" w:rsidP="00020164">
      <w:pPr>
        <w:autoSpaceDE w:val="0"/>
        <w:autoSpaceDN w:val="0"/>
        <w:adjustRightInd w:val="0"/>
        <w:jc w:val="center"/>
        <w:rPr>
          <w:rFonts w:ascii="Arial" w:hAnsi="Arial" w:cs="Arial"/>
          <w:b/>
          <w:bCs/>
          <w:color w:val="000000"/>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68589C" w:rsidRDefault="0068589C"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sidRPr="00DA624E">
        <w:rPr>
          <w:rFonts w:ascii="Arial" w:hAnsi="Arial" w:cs="Arial"/>
          <w:b/>
          <w:sz w:val="20"/>
          <w:szCs w:val="20"/>
        </w:rPr>
        <w:t>The Standards are available at the Kenya Bureau of Standards Information Resource Centre.  Please tick (mark) and fill your preference of the listed option.  (If the spaces provided are not enough, please attach a separate sheet of paper)</w:t>
      </w:r>
      <w:r>
        <w:rPr>
          <w:rFonts w:ascii="Arial" w:hAnsi="Arial" w:cs="Arial"/>
          <w:sz w:val="20"/>
          <w:szCs w:val="20"/>
        </w:rPr>
        <w:t>.</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KS Number(s) of Standard(s) </w:t>
      </w:r>
    </w:p>
    <w:p w:rsidR="00020164" w:rsidRDefault="00020164" w:rsidP="00020164">
      <w:pPr>
        <w:autoSpaceDE w:val="0"/>
        <w:autoSpaceDN w:val="0"/>
        <w:adjustRightInd w:val="0"/>
        <w:rPr>
          <w:rFonts w:ascii="Arial" w:hAnsi="Arial" w:cs="Arial"/>
          <w:sz w:val="20"/>
          <w:szCs w:val="20"/>
        </w:rPr>
      </w:pPr>
      <w:proofErr w:type="gramStart"/>
      <w:r>
        <w:rPr>
          <w:rFonts w:ascii="Arial" w:hAnsi="Arial" w:cs="Arial"/>
          <w:sz w:val="20"/>
          <w:szCs w:val="20"/>
        </w:rPr>
        <w:t>( Fill</w:t>
      </w:r>
      <w:proofErr w:type="gramEnd"/>
      <w:r>
        <w:rPr>
          <w:rFonts w:ascii="Arial" w:hAnsi="Arial" w:cs="Arial"/>
          <w:sz w:val="20"/>
          <w:szCs w:val="20"/>
        </w:rPr>
        <w:t xml:space="preserve"> in for each standard separately in case you have objections, otherwise use the same form)</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accept the proposal to confirm the Kenya Standard(s)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1777DF">
        <w:rPr>
          <w:rFonts w:ascii="Arial" w:hAnsi="Arial" w:cs="Arial"/>
          <w:color w:val="000000"/>
          <w:sz w:val="20"/>
          <w:szCs w:val="20"/>
        </w:rPr>
      </w:r>
      <w:r w:rsidR="001777DF">
        <w:rPr>
          <w:rFonts w:ascii="Arial" w:hAnsi="Arial" w:cs="Arial"/>
          <w:color w:val="000000"/>
          <w:sz w:val="20"/>
          <w:szCs w:val="20"/>
        </w:rPr>
        <w:fldChar w:fldCharType="end"/>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object to the proposal to confirm the Kenya Standard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1777DF">
        <w:rPr>
          <w:rFonts w:ascii="Arial" w:hAnsi="Arial" w:cs="Arial"/>
          <w:color w:val="000000"/>
          <w:sz w:val="20"/>
          <w:szCs w:val="20"/>
        </w:rPr>
      </w:r>
      <w:r w:rsidR="001777DF">
        <w:rPr>
          <w:rFonts w:ascii="Arial" w:hAnsi="Arial" w:cs="Arial"/>
          <w:color w:val="000000"/>
          <w:sz w:val="20"/>
          <w:szCs w:val="20"/>
        </w:rPr>
        <w:fldChar w:fldCharType="end"/>
      </w:r>
    </w:p>
    <w:p w:rsidR="00020164" w:rsidRDefault="00020164" w:rsidP="00020164">
      <w:pPr>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sz w:val="20"/>
          <w:szCs w:val="20"/>
        </w:rPr>
        <w:t xml:space="preserve">Our proposed </w:t>
      </w:r>
      <w:proofErr w:type="spellStart"/>
      <w:r>
        <w:rPr>
          <w:rFonts w:ascii="Arial" w:hAnsi="Arial" w:cs="Arial"/>
          <w:sz w:val="20"/>
          <w:szCs w:val="20"/>
        </w:rPr>
        <w:t>actionis</w:t>
      </w:r>
      <w:proofErr w:type="spellEnd"/>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1777DF">
        <w:rPr>
          <w:rFonts w:ascii="Arial" w:hAnsi="Arial" w:cs="Arial"/>
          <w:color w:val="000000"/>
          <w:sz w:val="20"/>
          <w:szCs w:val="20"/>
        </w:rPr>
      </w:r>
      <w:r w:rsidR="001777DF">
        <w:rPr>
          <w:rFonts w:ascii="Arial" w:hAnsi="Arial" w:cs="Arial"/>
          <w:color w:val="000000"/>
          <w:sz w:val="20"/>
          <w:szCs w:val="20"/>
        </w:rPr>
        <w:fldChar w:fldCharType="end"/>
      </w:r>
      <w:r>
        <w:rPr>
          <w:rFonts w:ascii="Arial" w:hAnsi="Arial" w:cs="Arial"/>
          <w:color w:val="000000"/>
          <w:sz w:val="20"/>
          <w:szCs w:val="20"/>
        </w:rPr>
        <w:t xml:space="preserve"> REVISION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1777DF">
        <w:rPr>
          <w:rFonts w:ascii="Arial" w:hAnsi="Arial" w:cs="Arial"/>
          <w:color w:val="000000"/>
          <w:sz w:val="20"/>
          <w:szCs w:val="20"/>
        </w:rPr>
      </w:r>
      <w:r w:rsidR="001777DF">
        <w:rPr>
          <w:rFonts w:ascii="Arial" w:hAnsi="Arial" w:cs="Arial"/>
          <w:color w:val="000000"/>
          <w:sz w:val="20"/>
          <w:szCs w:val="20"/>
        </w:rPr>
        <w:fldChar w:fldCharType="end"/>
      </w:r>
      <w:r>
        <w:rPr>
          <w:rFonts w:ascii="Arial" w:hAnsi="Arial" w:cs="Arial"/>
          <w:color w:val="000000"/>
          <w:sz w:val="20"/>
          <w:szCs w:val="20"/>
        </w:rPr>
        <w:t xml:space="preserve"> AMMENDMENT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1777DF">
        <w:rPr>
          <w:rFonts w:ascii="Arial" w:hAnsi="Arial" w:cs="Arial"/>
          <w:color w:val="000000"/>
          <w:sz w:val="20"/>
          <w:szCs w:val="20"/>
        </w:rPr>
      </w:r>
      <w:r w:rsidR="001777DF">
        <w:rPr>
          <w:rFonts w:ascii="Arial" w:hAnsi="Arial" w:cs="Arial"/>
          <w:color w:val="000000"/>
          <w:sz w:val="20"/>
          <w:szCs w:val="20"/>
        </w:rPr>
        <w:fldChar w:fldCharType="end"/>
      </w:r>
      <w:r>
        <w:rPr>
          <w:rFonts w:ascii="Arial" w:hAnsi="Arial" w:cs="Arial"/>
          <w:color w:val="000000"/>
          <w:sz w:val="20"/>
          <w:szCs w:val="20"/>
        </w:rPr>
        <w:t xml:space="preserve"> WITHDRAWAL    </w:t>
      </w:r>
    </w:p>
    <w:p w:rsidR="00020164" w:rsidRDefault="00020164" w:rsidP="00020164">
      <w:pPr>
        <w:autoSpaceDE w:val="0"/>
        <w:autoSpaceDN w:val="0"/>
        <w:adjustRightInd w:val="0"/>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w:t>
      </w:r>
    </w:p>
    <w:p w:rsidR="00020164" w:rsidRPr="00596B33" w:rsidRDefault="00020164" w:rsidP="00020164">
      <w:pPr>
        <w:autoSpaceDE w:val="0"/>
        <w:autoSpaceDN w:val="0"/>
        <w:adjustRightInd w:val="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t>Name and (of respondent)</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lastRenderedPageBreak/>
        <w:t>Signature</w:t>
      </w:r>
      <w:r>
        <w:rPr>
          <w:rFonts w:ascii="Arial" w:hAnsi="Arial" w:cs="Arial"/>
          <w:sz w:val="20"/>
          <w:szCs w:val="20"/>
        </w:rPr>
        <w:t>: …………………………………………………….</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rsidR="000C15A6" w:rsidRDefault="000C15A6" w:rsidP="00020164"/>
    <w:p w:rsidR="00020164" w:rsidRDefault="00020164" w:rsidP="00020164">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p>
    <w:p w:rsidR="0068589C" w:rsidRDefault="0068589C" w:rsidP="00020164">
      <w:pPr>
        <w:tabs>
          <w:tab w:val="right" w:leader="dot" w:pos="3600"/>
        </w:tabs>
        <w:autoSpaceDE w:val="0"/>
        <w:autoSpaceDN w:val="0"/>
        <w:adjustRightInd w:val="0"/>
        <w:ind w:left="0"/>
        <w:rPr>
          <w:rFonts w:ascii="Arial" w:hAnsi="Arial" w:cs="Arial"/>
          <w:b/>
          <w:u w:val="single"/>
        </w:rPr>
      </w:pPr>
    </w:p>
    <w:p w:rsidR="00020164" w:rsidRPr="00F33FFB" w:rsidRDefault="00020164" w:rsidP="00020164">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 xml:space="preserve">List of Kenya Standards for Systematic Review </w:t>
      </w:r>
      <w:proofErr w:type="gramStart"/>
      <w:r w:rsidRPr="00DD27E6">
        <w:rPr>
          <w:rFonts w:ascii="Arial" w:hAnsi="Arial" w:cs="Arial"/>
          <w:b/>
          <w:u w:val="single"/>
        </w:rPr>
        <w:t>(</w:t>
      </w:r>
      <w:r w:rsidRPr="00F33FFB">
        <w:rPr>
          <w:rFonts w:ascii="Arial" w:hAnsi="Arial" w:cs="Arial"/>
          <w:b/>
          <w:bCs/>
          <w:u w:val="single"/>
        </w:rPr>
        <w:t xml:space="preserve"> </w:t>
      </w:r>
      <w:r w:rsidR="00272BC8">
        <w:rPr>
          <w:rFonts w:ascii="Arial" w:hAnsi="Arial" w:cs="Arial"/>
          <w:b/>
          <w:bCs/>
          <w:u w:val="single"/>
        </w:rPr>
        <w:t>MEAT</w:t>
      </w:r>
      <w:proofErr w:type="gramEnd"/>
      <w:r w:rsidR="00272BC8">
        <w:rPr>
          <w:rFonts w:ascii="Arial" w:hAnsi="Arial" w:cs="Arial"/>
          <w:b/>
          <w:bCs/>
          <w:u w:val="single"/>
        </w:rPr>
        <w:t xml:space="preserve"> AND MEAT PRODUCTS</w:t>
      </w:r>
      <w:r>
        <w:rPr>
          <w:rFonts w:ascii="Arial" w:hAnsi="Arial" w:cs="Arial"/>
          <w:b/>
          <w:bCs/>
          <w:u w:val="single"/>
        </w:rPr>
        <w:t>)</w:t>
      </w:r>
    </w:p>
    <w:p w:rsidR="00020164" w:rsidRDefault="00020164" w:rsidP="00020164">
      <w:pPr>
        <w:tabs>
          <w:tab w:val="right" w:leader="dot" w:pos="3600"/>
        </w:tabs>
        <w:autoSpaceDE w:val="0"/>
        <w:autoSpaceDN w:val="0"/>
        <w:adjustRightInd w:val="0"/>
        <w:ind w:left="0"/>
        <w:rPr>
          <w:rFonts w:ascii="Arial" w:hAnsi="Arial" w:cs="Arial"/>
          <w:bCs/>
          <w:sz w:val="20"/>
          <w:szCs w:val="20"/>
        </w:rPr>
      </w:pPr>
    </w:p>
    <w:tbl>
      <w:tblPr>
        <w:tblW w:w="12160" w:type="dxa"/>
        <w:tblInd w:w="98" w:type="dxa"/>
        <w:tblLayout w:type="fixed"/>
        <w:tblLook w:val="04A0" w:firstRow="1" w:lastRow="0" w:firstColumn="1" w:lastColumn="0" w:noHBand="0" w:noVBand="1"/>
      </w:tblPr>
      <w:tblGrid>
        <w:gridCol w:w="1540"/>
        <w:gridCol w:w="2603"/>
        <w:gridCol w:w="8017"/>
      </w:tblGrid>
      <w:tr w:rsidR="00864E95" w:rsidRPr="00D22499" w:rsidTr="00864E95">
        <w:trPr>
          <w:trHeight w:val="395"/>
        </w:trPr>
        <w:tc>
          <w:tcPr>
            <w:tcW w:w="1540" w:type="dxa"/>
            <w:tcBorders>
              <w:top w:val="single" w:sz="4" w:space="0" w:color="auto"/>
              <w:left w:val="single" w:sz="4" w:space="0" w:color="auto"/>
              <w:bottom w:val="single" w:sz="4" w:space="0" w:color="auto"/>
              <w:right w:val="single" w:sz="4" w:space="0" w:color="auto"/>
            </w:tcBorders>
          </w:tcPr>
          <w:p w:rsidR="00864E95" w:rsidRPr="00D22499" w:rsidRDefault="00864E95" w:rsidP="00A85444">
            <w:pPr>
              <w:spacing w:after="0"/>
              <w:rPr>
                <w:rFonts w:ascii="Verdana" w:eastAsia="Times New Roman" w:hAnsi="Verdana"/>
                <w:color w:val="000000"/>
                <w:sz w:val="20"/>
                <w:szCs w:val="20"/>
                <w:lang w:eastAsia="en-GB"/>
              </w:rPr>
            </w:pPr>
          </w:p>
        </w:tc>
        <w:tc>
          <w:tcPr>
            <w:tcW w:w="2603" w:type="dxa"/>
            <w:tcBorders>
              <w:top w:val="single" w:sz="4" w:space="0" w:color="auto"/>
              <w:left w:val="nil"/>
              <w:bottom w:val="single" w:sz="4" w:space="0" w:color="auto"/>
              <w:right w:val="single" w:sz="4" w:space="0" w:color="auto"/>
            </w:tcBorders>
            <w:shd w:val="clear" w:color="auto" w:fill="auto"/>
            <w:vAlign w:val="bottom"/>
          </w:tcPr>
          <w:p w:rsidR="00864E95" w:rsidRDefault="00864E95">
            <w:pPr>
              <w:rPr>
                <w:rFonts w:ascii="Verdana" w:hAnsi="Verdana"/>
                <w:b/>
                <w:bCs/>
                <w:color w:val="000000"/>
                <w:sz w:val="20"/>
                <w:szCs w:val="20"/>
              </w:rPr>
            </w:pPr>
            <w:r>
              <w:rPr>
                <w:rFonts w:ascii="Verdana" w:hAnsi="Verdana"/>
                <w:b/>
                <w:bCs/>
                <w:color w:val="000000"/>
                <w:sz w:val="20"/>
                <w:szCs w:val="20"/>
              </w:rPr>
              <w:t>KS Number</w:t>
            </w:r>
          </w:p>
        </w:tc>
        <w:tc>
          <w:tcPr>
            <w:tcW w:w="8017" w:type="dxa"/>
            <w:tcBorders>
              <w:top w:val="single" w:sz="4" w:space="0" w:color="auto"/>
              <w:left w:val="nil"/>
              <w:bottom w:val="single" w:sz="4" w:space="0" w:color="auto"/>
              <w:right w:val="single" w:sz="4" w:space="0" w:color="auto"/>
            </w:tcBorders>
            <w:shd w:val="clear" w:color="auto" w:fill="auto"/>
            <w:vAlign w:val="bottom"/>
          </w:tcPr>
          <w:p w:rsidR="00864E95" w:rsidRDefault="00864E95">
            <w:pPr>
              <w:rPr>
                <w:rFonts w:ascii="Verdana" w:hAnsi="Verdana"/>
                <w:b/>
                <w:bCs/>
                <w:color w:val="000000"/>
                <w:sz w:val="20"/>
                <w:szCs w:val="20"/>
              </w:rPr>
            </w:pPr>
            <w:r>
              <w:rPr>
                <w:rFonts w:ascii="Verdana" w:hAnsi="Verdana"/>
                <w:b/>
                <w:bCs/>
                <w:color w:val="000000"/>
                <w:sz w:val="20"/>
                <w:szCs w:val="20"/>
              </w:rPr>
              <w:t>Title</w:t>
            </w:r>
          </w:p>
        </w:tc>
      </w:tr>
      <w:tr w:rsidR="00C175F0" w:rsidRPr="00D22499" w:rsidTr="00D03FAD">
        <w:trPr>
          <w:trHeight w:val="422"/>
        </w:trPr>
        <w:tc>
          <w:tcPr>
            <w:tcW w:w="1540" w:type="dxa"/>
            <w:tcBorders>
              <w:top w:val="nil"/>
              <w:left w:val="single" w:sz="4" w:space="0" w:color="auto"/>
              <w:bottom w:val="single" w:sz="4" w:space="0" w:color="auto"/>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r w:rsidRPr="00341602">
              <w:rPr>
                <w:rFonts w:ascii="Verdana" w:hAnsi="Verdana"/>
                <w:color w:val="000000"/>
                <w:sz w:val="20"/>
                <w:szCs w:val="20"/>
                <w:lang w:eastAsia="en-GB"/>
              </w:rPr>
              <w:t>2</w:t>
            </w:r>
          </w:p>
        </w:tc>
        <w:tc>
          <w:tcPr>
            <w:tcW w:w="2603" w:type="dxa"/>
            <w:tcBorders>
              <w:top w:val="nil"/>
              <w:left w:val="nil"/>
              <w:bottom w:val="single" w:sz="4" w:space="0" w:color="auto"/>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 xml:space="preserve">KS 837-1: 1990 </w:t>
            </w:r>
          </w:p>
        </w:tc>
        <w:tc>
          <w:tcPr>
            <w:tcW w:w="8017" w:type="dxa"/>
            <w:tcBorders>
              <w:top w:val="nil"/>
              <w:left w:val="nil"/>
              <w:bottom w:val="single" w:sz="4" w:space="0" w:color="auto"/>
              <w:right w:val="single" w:sz="4" w:space="0" w:color="auto"/>
            </w:tcBorders>
            <w:shd w:val="clear" w:color="auto" w:fill="auto"/>
          </w:tcPr>
          <w:p w:rsidR="00C175F0" w:rsidRPr="009320C0" w:rsidRDefault="00C175F0" w:rsidP="00C175F0">
            <w:pPr>
              <w:ind w:left="79"/>
              <w:jc w:val="left"/>
            </w:pPr>
            <w:r w:rsidRPr="009320C0">
              <w:t>Definitions of living animals for slaughter - Part 1: Bovines</w:t>
            </w:r>
          </w:p>
        </w:tc>
      </w:tr>
      <w:tr w:rsidR="00C175F0" w:rsidRPr="00D22499" w:rsidTr="00D03FAD">
        <w:trPr>
          <w:trHeight w:val="289"/>
        </w:trPr>
        <w:tc>
          <w:tcPr>
            <w:tcW w:w="1540" w:type="dxa"/>
            <w:tcBorders>
              <w:top w:val="nil"/>
              <w:left w:val="single" w:sz="4" w:space="0" w:color="auto"/>
              <w:bottom w:val="single" w:sz="4" w:space="0" w:color="auto"/>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r w:rsidRPr="00341602">
              <w:rPr>
                <w:rFonts w:ascii="Verdana" w:hAnsi="Verdana"/>
                <w:color w:val="000000"/>
                <w:sz w:val="20"/>
                <w:szCs w:val="20"/>
                <w:lang w:eastAsia="en-GB"/>
              </w:rPr>
              <w:t>3</w:t>
            </w:r>
          </w:p>
        </w:tc>
        <w:tc>
          <w:tcPr>
            <w:tcW w:w="2603" w:type="dxa"/>
            <w:tcBorders>
              <w:top w:val="nil"/>
              <w:left w:val="nil"/>
              <w:bottom w:val="single" w:sz="4" w:space="0" w:color="auto"/>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 xml:space="preserve">KS 01-837-2: 1990 </w:t>
            </w:r>
          </w:p>
        </w:tc>
        <w:tc>
          <w:tcPr>
            <w:tcW w:w="8017" w:type="dxa"/>
            <w:tcBorders>
              <w:top w:val="nil"/>
              <w:left w:val="nil"/>
              <w:bottom w:val="single" w:sz="4" w:space="0" w:color="auto"/>
              <w:right w:val="single" w:sz="4" w:space="0" w:color="auto"/>
            </w:tcBorders>
            <w:shd w:val="clear" w:color="auto" w:fill="auto"/>
          </w:tcPr>
          <w:p w:rsidR="00C175F0" w:rsidRPr="009320C0" w:rsidRDefault="00C175F0" w:rsidP="00C175F0">
            <w:pPr>
              <w:ind w:left="79"/>
              <w:jc w:val="left"/>
            </w:pPr>
            <w:r w:rsidRPr="009320C0">
              <w:t>Definition of living animals for slaughter - Part 2: Ovine</w:t>
            </w:r>
          </w:p>
        </w:tc>
      </w:tr>
      <w:tr w:rsidR="00C175F0" w:rsidRPr="00D22499" w:rsidTr="00D03FAD">
        <w:trPr>
          <w:trHeight w:val="510"/>
        </w:trPr>
        <w:tc>
          <w:tcPr>
            <w:tcW w:w="1540" w:type="dxa"/>
            <w:tcBorders>
              <w:top w:val="nil"/>
              <w:left w:val="single" w:sz="4" w:space="0" w:color="auto"/>
              <w:bottom w:val="single" w:sz="4" w:space="0" w:color="auto"/>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r w:rsidRPr="00341602">
              <w:rPr>
                <w:rFonts w:ascii="Verdana" w:hAnsi="Verdana"/>
                <w:color w:val="000000"/>
                <w:sz w:val="20"/>
                <w:szCs w:val="20"/>
                <w:lang w:eastAsia="en-GB"/>
              </w:rPr>
              <w:t>4</w:t>
            </w:r>
          </w:p>
        </w:tc>
        <w:tc>
          <w:tcPr>
            <w:tcW w:w="2603" w:type="dxa"/>
            <w:tcBorders>
              <w:top w:val="nil"/>
              <w:left w:val="nil"/>
              <w:bottom w:val="single" w:sz="4" w:space="0" w:color="auto"/>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ISO 4832: 2006</w:t>
            </w:r>
          </w:p>
        </w:tc>
        <w:tc>
          <w:tcPr>
            <w:tcW w:w="8017" w:type="dxa"/>
            <w:tcBorders>
              <w:top w:val="nil"/>
              <w:left w:val="nil"/>
              <w:bottom w:val="single" w:sz="4" w:space="0" w:color="auto"/>
              <w:right w:val="single" w:sz="4" w:space="0" w:color="auto"/>
            </w:tcBorders>
            <w:shd w:val="clear" w:color="auto" w:fill="auto"/>
          </w:tcPr>
          <w:p w:rsidR="00C175F0" w:rsidRPr="009320C0" w:rsidRDefault="00C175F0" w:rsidP="00C175F0">
            <w:pPr>
              <w:ind w:left="79"/>
              <w:jc w:val="left"/>
            </w:pPr>
            <w:r w:rsidRPr="009320C0">
              <w:t>Microbiology of food and animal feeding stuffs -- Horizontal method for the enumeration of coliforms -- Colony-count technique.</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r w:rsidRPr="00341602">
              <w:rPr>
                <w:rFonts w:ascii="Verdana" w:hAnsi="Verdana"/>
                <w:color w:val="000000"/>
                <w:sz w:val="20"/>
                <w:szCs w:val="20"/>
                <w:lang w:eastAsia="en-GB"/>
              </w:rPr>
              <w:t>5</w:t>
            </w: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ISO 4831: 2006</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Microbiology of food and animal feeding stuffs — Horizontal method for the detection and enumeration of coliforms — Most probable number technique</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ISO 6888-1:</w:t>
            </w:r>
            <w:r w:rsidR="00BE36E7">
              <w:t>1999</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 xml:space="preserve">Microbiology of food and animal feeding stuffs -- Horizontal method for the enumeration of coagulase-positive staphylococci (Staphylococcus </w:t>
            </w:r>
            <w:proofErr w:type="spellStart"/>
            <w:r w:rsidRPr="009320C0">
              <w:t>aureus</w:t>
            </w:r>
            <w:proofErr w:type="spellEnd"/>
            <w:r w:rsidRPr="009320C0">
              <w:t xml:space="preserve"> and other species) -- Part 1: Technique using Baird- Parker agar medium.</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ISO 6888-2:</w:t>
            </w:r>
            <w:r w:rsidR="00BE36E7">
              <w:t>1999</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 xml:space="preserve">Microbiology of food and animal feeding stuffs -- Horizontal method for the enumeration of coagulase-positive staphylococci (Staphylococcus </w:t>
            </w:r>
            <w:proofErr w:type="spellStart"/>
            <w:r w:rsidRPr="009320C0">
              <w:t>aureus</w:t>
            </w:r>
            <w:proofErr w:type="spellEnd"/>
            <w:r w:rsidRPr="009320C0">
              <w:t xml:space="preserve"> and other species) -- Part 2: Technique using rabbit plasma fibrinogen agar medium.</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81623E">
            <w:pPr>
              <w:ind w:left="0"/>
              <w:jc w:val="left"/>
              <w:rPr>
                <w:rFonts w:ascii="Arial Narrow" w:hAnsi="Arial Narrow"/>
              </w:rPr>
            </w:pPr>
            <w:r w:rsidRPr="009320C0">
              <w:t>KS ISO 6888-3:</w:t>
            </w:r>
            <w:r w:rsidR="0081623E">
              <w:t>2003</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 xml:space="preserve">Microbiology of food and animal feeding stuffs — Horizontal method for the enumeration of coagulase-positive staphylococci (Staphylococcus </w:t>
            </w:r>
            <w:proofErr w:type="spellStart"/>
            <w:r w:rsidRPr="009320C0">
              <w:t>aureus</w:t>
            </w:r>
            <w:proofErr w:type="spellEnd"/>
            <w:r w:rsidRPr="009320C0">
              <w:t xml:space="preserve"> and other species) — Part 3: Detection and MPN technique for low numbers</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ISO 6579</w:t>
            </w:r>
            <w:r w:rsidR="0081623E">
              <w:t>:2002</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Microbiology of food and animal feeding stuffs — Horizontal method for the detection of Salmonella spp.</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ISO 6579:2002/</w:t>
            </w:r>
            <w:proofErr w:type="spellStart"/>
            <w:r w:rsidRPr="009320C0">
              <w:t>Amd</w:t>
            </w:r>
            <w:proofErr w:type="spellEnd"/>
            <w:r w:rsidRPr="009320C0">
              <w:t xml:space="preserve"> 1:2007- Annex D:</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 xml:space="preserve">Detection of Salmonella spp. in animal </w:t>
            </w:r>
            <w:proofErr w:type="spellStart"/>
            <w:r w:rsidRPr="009320C0">
              <w:t>faeces</w:t>
            </w:r>
            <w:proofErr w:type="spellEnd"/>
            <w:r w:rsidRPr="009320C0">
              <w:t xml:space="preserve"> and in environmental samples from the primary production stage.</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ISO 21527-1:</w:t>
            </w:r>
            <w:r w:rsidR="0081623E">
              <w:t>2008</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 xml:space="preserve">Microbiology of food and animal feeding stuffs — Horizontal method for the enumeration of yeasts and </w:t>
            </w:r>
            <w:proofErr w:type="spellStart"/>
            <w:r w:rsidRPr="009320C0">
              <w:t>moulds</w:t>
            </w:r>
            <w:proofErr w:type="spellEnd"/>
            <w:r w:rsidRPr="009320C0">
              <w:t xml:space="preserve"> — Part 1: Colony count technique in products with water activity greater than 0,95</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ISO 21527-2:</w:t>
            </w:r>
            <w:r w:rsidR="0081623E">
              <w:t>2008</w:t>
            </w:r>
            <w:bookmarkStart w:id="0" w:name="_GoBack"/>
            <w:bookmarkEnd w:id="0"/>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 xml:space="preserve">Microbiology of food and animal feeding stuffs — Horizontal method for the enumeration of yeasts and </w:t>
            </w:r>
            <w:proofErr w:type="spellStart"/>
            <w:r w:rsidRPr="009320C0">
              <w:t>moulds</w:t>
            </w:r>
            <w:proofErr w:type="spellEnd"/>
            <w:r w:rsidRPr="009320C0">
              <w:t xml:space="preserve"> — Part 2: Colony count technique in products with water activity less than or equal to 0,95</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CAC/RCP 62: 2006</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Code of Practice for the Prevention and Reduction of Dioxin and Dioxin-Like PCB Contamination in Foods and Feeds</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CAC/RCP 61: 2005</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Code of practice to minimize and contain antimicrobial resistance</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CAC/RCP 54: 2004</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Code of practice on good animal feeding</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CAC/RCP 38: 1993</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Recommended international code of practice for control of the use of veterinary drugs</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ISO/TS 21872-2:2007</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 xml:space="preserve">Kenya Standard — Method for the detection of potentially </w:t>
            </w:r>
            <w:proofErr w:type="spellStart"/>
            <w:r w:rsidRPr="009320C0">
              <w:t>enteropathogenic</w:t>
            </w:r>
            <w:proofErr w:type="spellEnd"/>
            <w:r w:rsidRPr="009320C0">
              <w:t xml:space="preserve"> Vibrio spp. Part 2: Detection of species other than Vibrio </w:t>
            </w:r>
            <w:proofErr w:type="spellStart"/>
            <w:r w:rsidRPr="009320C0">
              <w:t>parahaemolyticus</w:t>
            </w:r>
            <w:proofErr w:type="spellEnd"/>
            <w:r w:rsidRPr="009320C0">
              <w:t xml:space="preserve"> and Vibrio cholera., First Edition</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ISO 21567:2004</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 xml:space="preserve">Kenya Standard — Microbiology of food and animal feeding stuffs — Horizontal method for the detection of </w:t>
            </w:r>
            <w:proofErr w:type="spellStart"/>
            <w:r w:rsidRPr="009320C0">
              <w:t>Shigella</w:t>
            </w:r>
            <w:proofErr w:type="spellEnd"/>
            <w:r w:rsidRPr="009320C0">
              <w:t xml:space="preserve"> spp., First Edition</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 xml:space="preserve">KS ISO 17604:2003 </w:t>
            </w:r>
            <w:proofErr w:type="spellStart"/>
            <w:r w:rsidRPr="009320C0">
              <w:t>Amd</w:t>
            </w:r>
            <w:proofErr w:type="spellEnd"/>
            <w:r w:rsidRPr="009320C0">
              <w:t>/ 1: 2009</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Kenya Standard — Microbiology of food and animal feeding stuffs — Carcass sampling for microbiological analysis. Amendment 1: Sampling of poultry carcasses, First Edition</w:t>
            </w:r>
          </w:p>
        </w:tc>
      </w:tr>
      <w:tr w:rsidR="00C175F0" w:rsidRPr="00D22499" w:rsidTr="00D03FAD">
        <w:trPr>
          <w:trHeight w:val="413"/>
        </w:trPr>
        <w:tc>
          <w:tcPr>
            <w:tcW w:w="1540" w:type="dxa"/>
            <w:tcBorders>
              <w:top w:val="nil"/>
              <w:left w:val="single" w:sz="4" w:space="0" w:color="auto"/>
              <w:bottom w:val="nil"/>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nil"/>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ISO 7251:2005</w:t>
            </w:r>
          </w:p>
        </w:tc>
        <w:tc>
          <w:tcPr>
            <w:tcW w:w="8017" w:type="dxa"/>
            <w:tcBorders>
              <w:top w:val="nil"/>
              <w:left w:val="nil"/>
              <w:bottom w:val="nil"/>
              <w:right w:val="single" w:sz="4" w:space="0" w:color="auto"/>
            </w:tcBorders>
            <w:shd w:val="clear" w:color="auto" w:fill="auto"/>
          </w:tcPr>
          <w:p w:rsidR="00C175F0" w:rsidRPr="009320C0" w:rsidRDefault="00C175F0" w:rsidP="00C175F0">
            <w:pPr>
              <w:ind w:left="79"/>
              <w:jc w:val="left"/>
            </w:pPr>
            <w:r w:rsidRPr="009320C0">
              <w:t>Kenya Standard — Microbiology of food and animal feeding stuffs — Horizontal method for the detection and enumeration of presumptive Escherichia coli — Most probable number technique, First Edition</w:t>
            </w:r>
          </w:p>
        </w:tc>
      </w:tr>
      <w:tr w:rsidR="00C175F0" w:rsidRPr="00D22499" w:rsidTr="00D03FAD">
        <w:trPr>
          <w:trHeight w:val="413"/>
        </w:trPr>
        <w:tc>
          <w:tcPr>
            <w:tcW w:w="1540" w:type="dxa"/>
            <w:tcBorders>
              <w:top w:val="nil"/>
              <w:left w:val="single" w:sz="4" w:space="0" w:color="auto"/>
              <w:bottom w:val="single" w:sz="4" w:space="0" w:color="auto"/>
              <w:right w:val="single" w:sz="4" w:space="0" w:color="auto"/>
            </w:tcBorders>
          </w:tcPr>
          <w:p w:rsidR="00C175F0" w:rsidRPr="00341602" w:rsidRDefault="00C175F0" w:rsidP="00341602">
            <w:pPr>
              <w:pStyle w:val="ListParagraph"/>
              <w:numPr>
                <w:ilvl w:val="0"/>
                <w:numId w:val="2"/>
              </w:numPr>
              <w:rPr>
                <w:rFonts w:ascii="Verdana" w:hAnsi="Verdana"/>
                <w:color w:val="000000"/>
                <w:sz w:val="20"/>
                <w:szCs w:val="20"/>
                <w:lang w:eastAsia="en-GB"/>
              </w:rPr>
            </w:pPr>
          </w:p>
        </w:tc>
        <w:tc>
          <w:tcPr>
            <w:tcW w:w="2603" w:type="dxa"/>
            <w:tcBorders>
              <w:top w:val="nil"/>
              <w:left w:val="nil"/>
              <w:bottom w:val="single" w:sz="4" w:space="0" w:color="auto"/>
              <w:right w:val="single" w:sz="4" w:space="0" w:color="auto"/>
            </w:tcBorders>
            <w:shd w:val="clear" w:color="auto" w:fill="auto"/>
            <w:vAlign w:val="center"/>
          </w:tcPr>
          <w:p w:rsidR="00C175F0" w:rsidRPr="00F72E31" w:rsidRDefault="00C175F0" w:rsidP="00C175F0">
            <w:pPr>
              <w:ind w:left="0"/>
              <w:jc w:val="left"/>
              <w:rPr>
                <w:rFonts w:ascii="Arial Narrow" w:hAnsi="Arial Narrow"/>
              </w:rPr>
            </w:pPr>
            <w:r w:rsidRPr="009320C0">
              <w:t>KS 837-1: 1990</w:t>
            </w:r>
          </w:p>
        </w:tc>
        <w:tc>
          <w:tcPr>
            <w:tcW w:w="8017" w:type="dxa"/>
            <w:tcBorders>
              <w:top w:val="nil"/>
              <w:left w:val="nil"/>
              <w:bottom w:val="single" w:sz="4" w:space="0" w:color="auto"/>
              <w:right w:val="single" w:sz="4" w:space="0" w:color="auto"/>
            </w:tcBorders>
            <w:shd w:val="clear" w:color="auto" w:fill="auto"/>
          </w:tcPr>
          <w:p w:rsidR="00C175F0" w:rsidRPr="009320C0" w:rsidRDefault="00C175F0" w:rsidP="00C175F0">
            <w:pPr>
              <w:ind w:left="79"/>
              <w:jc w:val="left"/>
            </w:pPr>
            <w:r w:rsidRPr="009320C0">
              <w:t>Definitions of living animals for slaughter - Part 1: Bovines</w:t>
            </w:r>
          </w:p>
        </w:tc>
      </w:tr>
    </w:tbl>
    <w:p w:rsidR="00DA624E" w:rsidRPr="00020164" w:rsidRDefault="00DA624E" w:rsidP="00341602"/>
    <w:sectPr w:rsidR="00DA624E" w:rsidRPr="00020164" w:rsidSect="00272BC8">
      <w:head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B4F" w:rsidRDefault="003C4B4F" w:rsidP="00020164">
      <w:pPr>
        <w:spacing w:after="0"/>
      </w:pPr>
      <w:r>
        <w:separator/>
      </w:r>
    </w:p>
  </w:endnote>
  <w:endnote w:type="continuationSeparator" w:id="0">
    <w:p w:rsidR="003C4B4F" w:rsidRDefault="003C4B4F" w:rsidP="00020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B4F" w:rsidRDefault="003C4B4F" w:rsidP="00020164">
      <w:pPr>
        <w:spacing w:after="0"/>
      </w:pPr>
      <w:r>
        <w:separator/>
      </w:r>
    </w:p>
  </w:footnote>
  <w:footnote w:type="continuationSeparator" w:id="0">
    <w:p w:rsidR="003C4B4F" w:rsidRDefault="003C4B4F" w:rsidP="0002016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6B1" w:rsidRDefault="007856B1" w:rsidP="00020164">
    <w:pPr>
      <w:pStyle w:val="Header"/>
      <w:jc w:val="right"/>
      <w:rPr>
        <w:rFonts w:ascii="Arial" w:hAnsi="Arial" w:cs="Arial"/>
        <w:b/>
        <w:sz w:val="20"/>
        <w:szCs w:val="20"/>
      </w:rPr>
    </w:pPr>
  </w:p>
  <w:p w:rsidR="00020164" w:rsidRPr="0032084E" w:rsidRDefault="00020164" w:rsidP="00020164">
    <w:pPr>
      <w:pStyle w:val="Header"/>
      <w:jc w:val="right"/>
      <w:rPr>
        <w:rFonts w:ascii="Arial" w:hAnsi="Arial" w:cs="Arial"/>
        <w:b/>
        <w:sz w:val="20"/>
        <w:szCs w:val="20"/>
      </w:rPr>
    </w:pPr>
    <w:r>
      <w:rPr>
        <w:rFonts w:ascii="Arial" w:hAnsi="Arial" w:cs="Arial"/>
        <w:b/>
        <w:sz w:val="20"/>
        <w:szCs w:val="20"/>
      </w:rPr>
      <w:ptab w:relativeTo="margin" w:alignment="center" w:leader="none"/>
    </w:r>
    <w:r w:rsidRPr="0032084E">
      <w:rPr>
        <w:rFonts w:ascii="Arial" w:hAnsi="Arial" w:cs="Arial"/>
        <w:b/>
        <w:sz w:val="20"/>
        <w:szCs w:val="20"/>
      </w:rPr>
      <w:t>STA/SD/OP/05/F1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E14E5"/>
    <w:multiLevelType w:val="hybridMultilevel"/>
    <w:tmpl w:val="9FF61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C2F7752"/>
    <w:multiLevelType w:val="hybridMultilevel"/>
    <w:tmpl w:val="B250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164"/>
    <w:rsid w:val="00020164"/>
    <w:rsid w:val="000407FE"/>
    <w:rsid w:val="000826FA"/>
    <w:rsid w:val="000A732C"/>
    <w:rsid w:val="000C15A6"/>
    <w:rsid w:val="000F6A52"/>
    <w:rsid w:val="00145312"/>
    <w:rsid w:val="001777DF"/>
    <w:rsid w:val="0020425B"/>
    <w:rsid w:val="00213D67"/>
    <w:rsid w:val="00272BC8"/>
    <w:rsid w:val="002F682D"/>
    <w:rsid w:val="00341602"/>
    <w:rsid w:val="00392644"/>
    <w:rsid w:val="00397671"/>
    <w:rsid w:val="003C4B4F"/>
    <w:rsid w:val="003D6C26"/>
    <w:rsid w:val="00437EA4"/>
    <w:rsid w:val="00477B46"/>
    <w:rsid w:val="004929F0"/>
    <w:rsid w:val="004A0378"/>
    <w:rsid w:val="00555725"/>
    <w:rsid w:val="005E3B42"/>
    <w:rsid w:val="00634B91"/>
    <w:rsid w:val="00651BEE"/>
    <w:rsid w:val="006540E3"/>
    <w:rsid w:val="0068589C"/>
    <w:rsid w:val="007856B1"/>
    <w:rsid w:val="007C0543"/>
    <w:rsid w:val="0081623E"/>
    <w:rsid w:val="00864E95"/>
    <w:rsid w:val="008824A4"/>
    <w:rsid w:val="008D3820"/>
    <w:rsid w:val="00906E51"/>
    <w:rsid w:val="009456A9"/>
    <w:rsid w:val="00996C09"/>
    <w:rsid w:val="00A00C27"/>
    <w:rsid w:val="00A701A9"/>
    <w:rsid w:val="00A8702D"/>
    <w:rsid w:val="00AC7F01"/>
    <w:rsid w:val="00BE36E7"/>
    <w:rsid w:val="00C175F0"/>
    <w:rsid w:val="00C73387"/>
    <w:rsid w:val="00C8069C"/>
    <w:rsid w:val="00DA624E"/>
    <w:rsid w:val="00DD1815"/>
    <w:rsid w:val="00E33E50"/>
    <w:rsid w:val="00E56E30"/>
    <w:rsid w:val="00E82080"/>
    <w:rsid w:val="00EE2655"/>
    <w:rsid w:val="00EE775F"/>
    <w:rsid w:val="00F05A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164"/>
    <w:pPr>
      <w:spacing w:after="60" w:line="240" w:lineRule="auto"/>
      <w:ind w:left="72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0164"/>
    <w:rPr>
      <w:color w:val="0000FF"/>
      <w:u w:val="single"/>
    </w:rPr>
  </w:style>
  <w:style w:type="paragraph" w:styleId="Header">
    <w:name w:val="header"/>
    <w:basedOn w:val="Normal"/>
    <w:link w:val="HeaderChar"/>
    <w:unhideWhenUsed/>
    <w:rsid w:val="00020164"/>
    <w:pPr>
      <w:tabs>
        <w:tab w:val="center" w:pos="4680"/>
        <w:tab w:val="right" w:pos="9360"/>
      </w:tabs>
      <w:spacing w:after="0"/>
    </w:pPr>
  </w:style>
  <w:style w:type="character" w:customStyle="1" w:styleId="HeaderChar">
    <w:name w:val="Header Char"/>
    <w:basedOn w:val="DefaultParagraphFont"/>
    <w:link w:val="Header"/>
    <w:rsid w:val="00020164"/>
    <w:rPr>
      <w:rFonts w:ascii="Calibri" w:eastAsia="Calibri" w:hAnsi="Calibri" w:cs="Times New Roman"/>
    </w:rPr>
  </w:style>
  <w:style w:type="paragraph" w:styleId="Footer">
    <w:name w:val="footer"/>
    <w:basedOn w:val="Normal"/>
    <w:link w:val="FooterChar"/>
    <w:uiPriority w:val="99"/>
    <w:unhideWhenUsed/>
    <w:rsid w:val="00020164"/>
    <w:pPr>
      <w:tabs>
        <w:tab w:val="center" w:pos="4680"/>
        <w:tab w:val="right" w:pos="9360"/>
      </w:tabs>
      <w:spacing w:after="0"/>
    </w:pPr>
  </w:style>
  <w:style w:type="character" w:customStyle="1" w:styleId="FooterChar">
    <w:name w:val="Footer Char"/>
    <w:basedOn w:val="DefaultParagraphFont"/>
    <w:link w:val="Footer"/>
    <w:uiPriority w:val="99"/>
    <w:rsid w:val="00020164"/>
    <w:rPr>
      <w:rFonts w:ascii="Calibri" w:eastAsia="Calibri" w:hAnsi="Calibri" w:cs="Times New Roman"/>
    </w:rPr>
  </w:style>
  <w:style w:type="paragraph" w:styleId="BalloonText">
    <w:name w:val="Balloon Text"/>
    <w:basedOn w:val="Normal"/>
    <w:link w:val="BalloonTextChar"/>
    <w:uiPriority w:val="99"/>
    <w:semiHidden/>
    <w:unhideWhenUsed/>
    <w:rsid w:val="000201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64"/>
    <w:rPr>
      <w:rFonts w:ascii="Tahoma" w:eastAsia="Calibri" w:hAnsi="Tahoma" w:cs="Tahoma"/>
      <w:sz w:val="16"/>
      <w:szCs w:val="16"/>
    </w:rPr>
  </w:style>
  <w:style w:type="paragraph" w:styleId="ListParagraph">
    <w:name w:val="List Paragraph"/>
    <w:basedOn w:val="Normal"/>
    <w:uiPriority w:val="34"/>
    <w:qFormat/>
    <w:rsid w:val="00020164"/>
    <w:pPr>
      <w:spacing w:after="0"/>
      <w:ind w:left="708"/>
      <w:jc w:val="left"/>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164"/>
    <w:pPr>
      <w:spacing w:after="60" w:line="240" w:lineRule="auto"/>
      <w:ind w:left="72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0164"/>
    <w:rPr>
      <w:color w:val="0000FF"/>
      <w:u w:val="single"/>
    </w:rPr>
  </w:style>
  <w:style w:type="paragraph" w:styleId="Header">
    <w:name w:val="header"/>
    <w:basedOn w:val="Normal"/>
    <w:link w:val="HeaderChar"/>
    <w:unhideWhenUsed/>
    <w:rsid w:val="00020164"/>
    <w:pPr>
      <w:tabs>
        <w:tab w:val="center" w:pos="4680"/>
        <w:tab w:val="right" w:pos="9360"/>
      </w:tabs>
      <w:spacing w:after="0"/>
    </w:pPr>
  </w:style>
  <w:style w:type="character" w:customStyle="1" w:styleId="HeaderChar">
    <w:name w:val="Header Char"/>
    <w:basedOn w:val="DefaultParagraphFont"/>
    <w:link w:val="Header"/>
    <w:rsid w:val="00020164"/>
    <w:rPr>
      <w:rFonts w:ascii="Calibri" w:eastAsia="Calibri" w:hAnsi="Calibri" w:cs="Times New Roman"/>
    </w:rPr>
  </w:style>
  <w:style w:type="paragraph" w:styleId="Footer">
    <w:name w:val="footer"/>
    <w:basedOn w:val="Normal"/>
    <w:link w:val="FooterChar"/>
    <w:uiPriority w:val="99"/>
    <w:unhideWhenUsed/>
    <w:rsid w:val="00020164"/>
    <w:pPr>
      <w:tabs>
        <w:tab w:val="center" w:pos="4680"/>
        <w:tab w:val="right" w:pos="9360"/>
      </w:tabs>
      <w:spacing w:after="0"/>
    </w:pPr>
  </w:style>
  <w:style w:type="character" w:customStyle="1" w:styleId="FooterChar">
    <w:name w:val="Footer Char"/>
    <w:basedOn w:val="DefaultParagraphFont"/>
    <w:link w:val="Footer"/>
    <w:uiPriority w:val="99"/>
    <w:rsid w:val="00020164"/>
    <w:rPr>
      <w:rFonts w:ascii="Calibri" w:eastAsia="Calibri" w:hAnsi="Calibri" w:cs="Times New Roman"/>
    </w:rPr>
  </w:style>
  <w:style w:type="paragraph" w:styleId="BalloonText">
    <w:name w:val="Balloon Text"/>
    <w:basedOn w:val="Normal"/>
    <w:link w:val="BalloonTextChar"/>
    <w:uiPriority w:val="99"/>
    <w:semiHidden/>
    <w:unhideWhenUsed/>
    <w:rsid w:val="000201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64"/>
    <w:rPr>
      <w:rFonts w:ascii="Tahoma" w:eastAsia="Calibri" w:hAnsi="Tahoma" w:cs="Tahoma"/>
      <w:sz w:val="16"/>
      <w:szCs w:val="16"/>
    </w:rPr>
  </w:style>
  <w:style w:type="paragraph" w:styleId="ListParagraph">
    <w:name w:val="List Paragraph"/>
    <w:basedOn w:val="Normal"/>
    <w:uiPriority w:val="34"/>
    <w:qFormat/>
    <w:rsid w:val="00020164"/>
    <w:pPr>
      <w:spacing w:after="0"/>
      <w:ind w:left="708"/>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85177">
      <w:bodyDiv w:val="1"/>
      <w:marLeft w:val="0"/>
      <w:marRight w:val="0"/>
      <w:marTop w:val="0"/>
      <w:marBottom w:val="0"/>
      <w:divBdr>
        <w:top w:val="none" w:sz="0" w:space="0" w:color="auto"/>
        <w:left w:val="none" w:sz="0" w:space="0" w:color="auto"/>
        <w:bottom w:val="none" w:sz="0" w:space="0" w:color="auto"/>
        <w:right w:val="none" w:sz="0" w:space="0" w:color="auto"/>
      </w:divBdr>
    </w:div>
    <w:div w:id="9329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inzag@kebs.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kiminzag@kebs.org</dc:creator>
  <cp:lastModifiedBy>GEORGE KIMINZA</cp:lastModifiedBy>
  <cp:revision>5</cp:revision>
  <dcterms:created xsi:type="dcterms:W3CDTF">2018-10-15T12:40:00Z</dcterms:created>
  <dcterms:modified xsi:type="dcterms:W3CDTF">2018-10-15T12:59:00Z</dcterms:modified>
</cp:coreProperties>
</file>