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bCs/>
          <w:color w:val="000000"/>
          <w:sz w:val="20"/>
          <w:szCs w:val="20"/>
        </w:rPr>
      </w:pPr>
      <w:r>
        <w:rPr>
          <w:rFonts w:ascii="Arial" w:hAnsi="Arial" w:cs="Arial"/>
          <w:b/>
          <w:color w:val="000000"/>
          <w:sz w:val="20"/>
          <w:szCs w:val="20"/>
        </w:rPr>
        <w:t>STA/SD/OP/0</w:t>
      </w:r>
      <w:r w:rsidR="00AB181B">
        <w:rPr>
          <w:rFonts w:ascii="Arial" w:hAnsi="Arial" w:cs="Arial"/>
          <w:b/>
          <w:color w:val="000000"/>
          <w:sz w:val="20"/>
          <w:szCs w:val="20"/>
        </w:rPr>
        <w:t>5</w:t>
      </w:r>
      <w:r>
        <w:rPr>
          <w:rFonts w:ascii="Arial" w:hAnsi="Arial" w:cs="Arial"/>
          <w:b/>
          <w:color w:val="000000"/>
          <w:sz w:val="20"/>
          <w:szCs w:val="20"/>
        </w:rPr>
        <w:t>/F</w:t>
      </w:r>
      <w:r w:rsidR="00AB181B">
        <w:rPr>
          <w:rFonts w:ascii="Arial" w:hAnsi="Arial" w:cs="Arial"/>
          <w:b/>
          <w:color w:val="000000"/>
          <w:sz w:val="20"/>
          <w:szCs w:val="20"/>
        </w:rPr>
        <w:t>1</w:t>
      </w: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B181B" w:rsidRDefault="00AB181B" w:rsidP="00AB181B">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AB181B" w:rsidRPr="00E70218" w:rsidTr="00897642">
        <w:tc>
          <w:tcPr>
            <w:tcW w:w="2178"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E70218" w:rsidRDefault="00AB181B" w:rsidP="00897642">
            <w:pPr>
              <w:autoSpaceDE w:val="0"/>
              <w:autoSpaceDN w:val="0"/>
              <w:adjustRightInd w:val="0"/>
              <w:rPr>
                <w:rFonts w:ascii="Arial" w:hAnsi="Arial" w:cs="Arial"/>
                <w:sz w:val="20"/>
                <w:szCs w:val="20"/>
              </w:rPr>
            </w:pPr>
            <w:r>
              <w:rPr>
                <w:rFonts w:ascii="Arial" w:hAnsi="Arial" w:cs="Arial"/>
                <w:b/>
                <w:bCs/>
                <w:sz w:val="20"/>
                <w:szCs w:val="20"/>
              </w:rPr>
              <w:t>Confirmation</w:t>
            </w:r>
            <w:r w:rsidRPr="00E70218">
              <w:rPr>
                <w:rFonts w:ascii="Arial" w:hAnsi="Arial" w:cs="Arial"/>
                <w:b/>
                <w:bCs/>
                <w:sz w:val="20"/>
                <w:szCs w:val="20"/>
              </w:rPr>
              <w:t xml:space="preserve"> proposal</w:t>
            </w:r>
          </w:p>
        </w:tc>
      </w:tr>
      <w:tr w:rsidR="00AB181B" w:rsidRPr="00E70218" w:rsidTr="00897642">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AB181B" w:rsidRPr="00E70218" w:rsidTr="00897642">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B181B" w:rsidRPr="00E70218" w:rsidRDefault="00AB181B" w:rsidP="00897642">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B181B" w:rsidRPr="00E70218" w:rsidRDefault="00BB2AC8" w:rsidP="00C549AD">
            <w:pPr>
              <w:tabs>
                <w:tab w:val="center" w:pos="4320"/>
                <w:tab w:val="right" w:pos="8640"/>
              </w:tabs>
              <w:rPr>
                <w:rFonts w:ascii="Arial" w:hAnsi="Arial" w:cs="Arial"/>
                <w:sz w:val="20"/>
                <w:szCs w:val="20"/>
              </w:rPr>
            </w:pPr>
            <w:r>
              <w:rPr>
                <w:rFonts w:ascii="Arial" w:hAnsi="Arial" w:cs="Arial"/>
                <w:sz w:val="20"/>
                <w:szCs w:val="20"/>
              </w:rPr>
              <w:t>2019</w:t>
            </w:r>
            <w:r w:rsidR="008E54FC">
              <w:rPr>
                <w:rFonts w:ascii="Arial" w:hAnsi="Arial" w:cs="Arial"/>
                <w:sz w:val="20"/>
                <w:szCs w:val="20"/>
              </w:rPr>
              <w:t>-04</w:t>
            </w:r>
            <w:r w:rsidR="00B44C09">
              <w:rPr>
                <w:rFonts w:ascii="Arial" w:hAnsi="Arial" w:cs="Arial"/>
                <w:sz w:val="20"/>
                <w:szCs w:val="20"/>
              </w:rPr>
              <w:t>-</w:t>
            </w:r>
            <w:r w:rsidR="00C549AD">
              <w:rPr>
                <w:rFonts w:ascii="Arial" w:hAnsi="Arial" w:cs="Arial"/>
                <w:sz w:val="20"/>
                <w:szCs w:val="20"/>
              </w:rPr>
              <w:t>2</w:t>
            </w:r>
            <w:r>
              <w:rPr>
                <w:rFonts w:ascii="Arial" w:hAnsi="Arial" w:cs="Arial"/>
                <w:sz w:val="20"/>
                <w:szCs w:val="20"/>
              </w:rPr>
              <w:t>4</w:t>
            </w:r>
          </w:p>
        </w:tc>
        <w:tc>
          <w:tcPr>
            <w:tcW w:w="2970" w:type="dxa"/>
            <w:tcBorders>
              <w:top w:val="single" w:sz="4" w:space="0" w:color="auto"/>
              <w:left w:val="single" w:sz="4" w:space="0" w:color="auto"/>
              <w:bottom w:val="single" w:sz="4" w:space="0" w:color="auto"/>
              <w:right w:val="single" w:sz="4" w:space="0" w:color="auto"/>
            </w:tcBorders>
          </w:tcPr>
          <w:p w:rsidR="00AB181B" w:rsidRPr="00E70218" w:rsidRDefault="00BB2AC8" w:rsidP="00C549AD">
            <w:pPr>
              <w:tabs>
                <w:tab w:val="center" w:pos="4320"/>
                <w:tab w:val="right" w:pos="8640"/>
              </w:tabs>
              <w:rPr>
                <w:rFonts w:ascii="Arial" w:hAnsi="Arial" w:cs="Arial"/>
                <w:sz w:val="20"/>
                <w:szCs w:val="20"/>
              </w:rPr>
            </w:pPr>
            <w:r>
              <w:rPr>
                <w:rFonts w:ascii="Arial" w:hAnsi="Arial" w:cs="Arial"/>
                <w:sz w:val="20"/>
                <w:szCs w:val="20"/>
              </w:rPr>
              <w:t>2019</w:t>
            </w:r>
            <w:r w:rsidR="008E54FC">
              <w:rPr>
                <w:rFonts w:ascii="Arial" w:hAnsi="Arial" w:cs="Arial"/>
                <w:sz w:val="20"/>
                <w:szCs w:val="20"/>
              </w:rPr>
              <w:t>-05</w:t>
            </w:r>
            <w:r w:rsidR="00B44C09">
              <w:rPr>
                <w:rFonts w:ascii="Arial" w:hAnsi="Arial" w:cs="Arial"/>
                <w:sz w:val="20"/>
                <w:szCs w:val="20"/>
              </w:rPr>
              <w:t>-</w:t>
            </w:r>
            <w:r w:rsidR="008E54FC">
              <w:rPr>
                <w:rFonts w:ascii="Arial" w:hAnsi="Arial" w:cs="Arial"/>
                <w:sz w:val="20"/>
                <w:szCs w:val="20"/>
              </w:rPr>
              <w:t>1</w:t>
            </w:r>
            <w:r>
              <w:rPr>
                <w:rFonts w:ascii="Arial" w:hAnsi="Arial" w:cs="Arial"/>
                <w:sz w:val="20"/>
                <w:szCs w:val="20"/>
              </w:rPr>
              <w:t>5</w:t>
            </w:r>
          </w:p>
        </w:tc>
      </w:tr>
      <w:tr w:rsidR="00AB181B" w:rsidRPr="00E70218" w:rsidTr="00897642">
        <w:tc>
          <w:tcPr>
            <w:tcW w:w="2178" w:type="dxa"/>
            <w:tcBorders>
              <w:top w:val="single" w:sz="4" w:space="0" w:color="auto"/>
              <w:left w:val="single" w:sz="4" w:space="0" w:color="auto"/>
              <w:bottom w:val="single" w:sz="4" w:space="0" w:color="auto"/>
              <w:right w:val="single" w:sz="4" w:space="0" w:color="auto"/>
            </w:tcBorders>
          </w:tcPr>
          <w:p w:rsidR="00AB181B" w:rsidRPr="00E70218" w:rsidRDefault="00AB181B" w:rsidP="00897642">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B181B" w:rsidRPr="00E70218" w:rsidRDefault="00AB181B" w:rsidP="00B44C09">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signed and returned to </w:t>
            </w:r>
            <w:smartTag w:uri="urn:schemas-microsoft-com:office:smarttags" w:element="PersonName">
              <w:r w:rsidRPr="00E70218">
                <w:rPr>
                  <w:rFonts w:ascii="Arial" w:hAnsi="Arial" w:cs="Arial"/>
                  <w:b/>
                  <w:bCs/>
                  <w:sz w:val="20"/>
                  <w:szCs w:val="20"/>
                </w:rPr>
                <w:t>Kenya Bureau of Standards</w:t>
              </w:r>
            </w:smartTag>
            <w:r w:rsidRPr="00E70218">
              <w:rPr>
                <w:rFonts w:ascii="Arial" w:hAnsi="Arial" w:cs="Arial"/>
                <w:b/>
                <w:bCs/>
                <w:sz w:val="20"/>
                <w:szCs w:val="20"/>
              </w:rPr>
              <w:t xml:space="preserve"> for the attention of </w:t>
            </w:r>
            <w:r w:rsidR="00B44C09">
              <w:rPr>
                <w:rFonts w:ascii="Arial" w:hAnsi="Arial" w:cs="Arial"/>
                <w:b/>
                <w:bCs/>
                <w:sz w:val="20"/>
                <w:szCs w:val="20"/>
              </w:rPr>
              <w:t>Zacheus Mwatha (zimwatha@kebs.org)</w:t>
            </w:r>
          </w:p>
        </w:tc>
      </w:tr>
    </w:tbl>
    <w:p w:rsidR="00AB181B" w:rsidRDefault="00AB181B" w:rsidP="00AB181B">
      <w:pPr>
        <w:autoSpaceDE w:val="0"/>
        <w:autoSpaceDN w:val="0"/>
        <w:adjustRightInd w:val="0"/>
        <w:rPr>
          <w:rFonts w:ascii="Arial" w:hAnsi="Arial" w:cs="Arial"/>
          <w:sz w:val="20"/>
          <w:szCs w:val="20"/>
        </w:rPr>
      </w:pP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AB181B" w:rsidRDefault="00AB181B" w:rsidP="00AB181B">
      <w:pPr>
        <w:autoSpaceDE w:val="0"/>
        <w:autoSpaceDN w:val="0"/>
        <w:adjustRightInd w:val="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w:t>
      </w:r>
      <w:r w:rsidR="00B44C09">
        <w:rPr>
          <w:rFonts w:ascii="Arial" w:hAnsi="Arial" w:cs="Arial"/>
          <w:sz w:val="20"/>
          <w:szCs w:val="20"/>
        </w:rPr>
        <w:t>eference of the listed option</w:t>
      </w:r>
      <w:r w:rsidR="00FB0305">
        <w:rPr>
          <w:rFonts w:ascii="Arial" w:hAnsi="Arial" w:cs="Arial"/>
          <w:sz w:val="20"/>
          <w:szCs w:val="20"/>
        </w:rPr>
        <w:t xml:space="preserve"> in the table</w:t>
      </w:r>
      <w:r>
        <w:rPr>
          <w:rFonts w:ascii="Arial" w:hAnsi="Arial" w:cs="Arial"/>
          <w:sz w:val="20"/>
          <w:szCs w:val="20"/>
        </w:rPr>
        <w:t>.</w:t>
      </w:r>
    </w:p>
    <w:p w:rsidR="00AB181B" w:rsidRDefault="00AB181B" w:rsidP="00AB181B">
      <w:pPr>
        <w:autoSpaceDE w:val="0"/>
        <w:autoSpaceDN w:val="0"/>
        <w:adjustRightInd w:val="0"/>
        <w:rPr>
          <w:rFonts w:ascii="Arial" w:hAnsi="Arial" w:cs="Arial"/>
          <w:sz w:val="20"/>
          <w:szCs w:val="20"/>
        </w:rPr>
      </w:pPr>
    </w:p>
    <w:p w:rsidR="00AB181B" w:rsidRPr="00FB0305" w:rsidRDefault="00AB181B" w:rsidP="00AB181B">
      <w:pPr>
        <w:autoSpaceDE w:val="0"/>
        <w:autoSpaceDN w:val="0"/>
        <w:adjustRightInd w:val="0"/>
        <w:rPr>
          <w:rFonts w:ascii="Arial" w:hAnsi="Arial" w:cs="Arial"/>
          <w:bCs/>
          <w:sz w:val="20"/>
          <w:szCs w:val="20"/>
        </w:rPr>
      </w:pPr>
      <w:r w:rsidRPr="00FB0305">
        <w:rPr>
          <w:rFonts w:ascii="Arial" w:hAnsi="Arial" w:cs="Arial"/>
          <w:b/>
          <w:bCs/>
          <w:sz w:val="20"/>
          <w:szCs w:val="20"/>
        </w:rPr>
        <w:t>Note</w:t>
      </w:r>
      <w:r w:rsidR="00FB0305" w:rsidRPr="00FB0305">
        <w:rPr>
          <w:rFonts w:ascii="Arial" w:hAnsi="Arial" w:cs="Arial"/>
          <w:b/>
          <w:bCs/>
          <w:sz w:val="20"/>
          <w:szCs w:val="20"/>
        </w:rPr>
        <w:t xml:space="preserve"> 1</w:t>
      </w:r>
      <w:r w:rsidRPr="00FB0305">
        <w:rPr>
          <w:rFonts w:ascii="Arial" w:hAnsi="Arial" w:cs="Arial"/>
          <w:b/>
          <w:bCs/>
          <w:sz w:val="20"/>
          <w:szCs w:val="20"/>
        </w:rPr>
        <w:t xml:space="preserve">: </w:t>
      </w:r>
      <w:r w:rsidRPr="00FB0305">
        <w:rPr>
          <w:rFonts w:ascii="Arial" w:hAnsi="Arial" w:cs="Arial"/>
          <w:bCs/>
          <w:sz w:val="20"/>
          <w:szCs w:val="20"/>
        </w:rPr>
        <w:t>Absence of sustainable technical justifications in support of the objection shall render the objection unviable.</w:t>
      </w:r>
    </w:p>
    <w:p w:rsidR="00AB181B" w:rsidRDefault="00AB181B" w:rsidP="00AB181B">
      <w:pPr>
        <w:autoSpaceDE w:val="0"/>
        <w:autoSpaceDN w:val="0"/>
        <w:adjustRightInd w:val="0"/>
        <w:rPr>
          <w:rFonts w:ascii="Arial" w:hAnsi="Arial" w:cs="Arial"/>
          <w:sz w:val="20"/>
          <w:szCs w:val="20"/>
        </w:rPr>
      </w:pPr>
    </w:p>
    <w:p w:rsidR="00B44C09" w:rsidRDefault="00AB181B" w:rsidP="0017389A">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FB0305">
        <w:rPr>
          <w:rFonts w:ascii="Arial" w:hAnsi="Arial" w:cs="Arial"/>
          <w:b/>
          <w:bCs/>
          <w:sz w:val="20"/>
          <w:szCs w:val="20"/>
        </w:rPr>
        <w:t xml:space="preserve"> 2</w:t>
      </w:r>
      <w:r>
        <w:rPr>
          <w:rFonts w:ascii="Arial" w:hAnsi="Arial" w:cs="Arial"/>
          <w:b/>
          <w:bCs/>
          <w:sz w:val="20"/>
          <w:szCs w:val="20"/>
        </w:rPr>
        <w:t xml:space="preserv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DA5DF0" w:rsidRDefault="00DA5DF0" w:rsidP="0017389A">
      <w:pPr>
        <w:tabs>
          <w:tab w:val="right" w:leader="dot" w:pos="3600"/>
        </w:tabs>
        <w:autoSpaceDE w:val="0"/>
        <w:autoSpaceDN w:val="0"/>
        <w:adjustRightInd w:val="0"/>
        <w:rPr>
          <w:rFonts w:ascii="Arial" w:hAnsi="Arial" w:cs="Arial"/>
          <w:bCs/>
          <w:sz w:val="20"/>
          <w:szCs w:val="20"/>
        </w:rPr>
      </w:pPr>
    </w:p>
    <w:p w:rsidR="009747B3" w:rsidRPr="008E54FC" w:rsidRDefault="009747B3" w:rsidP="009747B3">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t>Number</w:t>
      </w:r>
      <w:r w:rsidRPr="008E54FC">
        <w:rPr>
          <w:rFonts w:ascii="Arial" w:hAnsi="Arial" w:cs="Arial"/>
          <w:sz w:val="20"/>
          <w:szCs w:val="20"/>
        </w:rPr>
        <w:t>:</w:t>
      </w:r>
      <w:r w:rsidRPr="00A5709E">
        <w:t xml:space="preserve"> </w:t>
      </w:r>
      <w:r w:rsidRPr="009747B3">
        <w:rPr>
          <w:rFonts w:ascii="Calibri" w:hAnsi="Calibri"/>
          <w:color w:val="000000"/>
          <w:sz w:val="22"/>
          <w:szCs w:val="22"/>
        </w:rPr>
        <w:t xml:space="preserve">KS </w:t>
      </w:r>
      <w:r w:rsidR="00DA5DF0">
        <w:rPr>
          <w:rFonts w:ascii="Calibri" w:hAnsi="Calibri"/>
          <w:color w:val="000000"/>
          <w:sz w:val="22"/>
          <w:szCs w:val="22"/>
        </w:rPr>
        <w:t>600</w:t>
      </w:r>
      <w:r w:rsidRPr="009747B3">
        <w:rPr>
          <w:rFonts w:ascii="Calibri" w:hAnsi="Calibri"/>
          <w:color w:val="000000"/>
          <w:sz w:val="22"/>
          <w:szCs w:val="22"/>
        </w:rPr>
        <w:t>:</w:t>
      </w:r>
      <w:r w:rsidR="00DA5DF0">
        <w:rPr>
          <w:rFonts w:ascii="Calibri" w:hAnsi="Calibri"/>
          <w:color w:val="000000"/>
          <w:sz w:val="22"/>
          <w:szCs w:val="22"/>
        </w:rPr>
        <w:t>1985</w:t>
      </w:r>
    </w:p>
    <w:p w:rsidR="009747B3" w:rsidRDefault="009747B3" w:rsidP="009747B3">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w:t>
      </w:r>
      <w:r w:rsidR="00DA5DF0" w:rsidRPr="00DA5DF0">
        <w:rPr>
          <w:rFonts w:ascii="Arial" w:hAnsi="Arial" w:cs="Arial"/>
          <w:sz w:val="20"/>
          <w:szCs w:val="20"/>
          <w:u w:val="dotted"/>
        </w:rPr>
        <w:t>Methods of measuring the characteristics of disc playing record units</w:t>
      </w:r>
    </w:p>
    <w:p w:rsidR="009747B3" w:rsidRDefault="009747B3" w:rsidP="00DA5DF0">
      <w:pPr>
        <w:tabs>
          <w:tab w:val="right" w:leader="dot" w:pos="9000"/>
        </w:tabs>
        <w:autoSpaceDE w:val="0"/>
        <w:autoSpaceDN w:val="0"/>
        <w:adjustRightInd w:val="0"/>
        <w:ind w:left="540"/>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DA5DF0">
        <w:rPr>
          <w:rFonts w:ascii="Arial" w:hAnsi="Arial" w:cs="Arial"/>
          <w:sz w:val="20"/>
          <w:szCs w:val="20"/>
        </w:rPr>
        <w:t xml:space="preserve"> </w:t>
      </w:r>
      <w:r w:rsidR="00DA5DF0" w:rsidRPr="00DA5DF0">
        <w:rPr>
          <w:rFonts w:ascii="Arial" w:hAnsi="Arial" w:cs="Arial"/>
          <w:sz w:val="20"/>
          <w:szCs w:val="20"/>
        </w:rPr>
        <w:t>Prescribes test methods for the determination of performance characteristics of disc record playing units</w:t>
      </w:r>
    </w:p>
    <w:p w:rsidR="009223B7" w:rsidRDefault="009223B7" w:rsidP="00DA5DF0">
      <w:pPr>
        <w:tabs>
          <w:tab w:val="right" w:leader="dot" w:pos="9000"/>
        </w:tabs>
        <w:autoSpaceDE w:val="0"/>
        <w:autoSpaceDN w:val="0"/>
        <w:adjustRightInd w:val="0"/>
        <w:ind w:left="540"/>
        <w:rPr>
          <w:rFonts w:ascii="Arial" w:hAnsi="Arial" w:cs="Arial"/>
          <w:sz w:val="20"/>
          <w:szCs w:val="20"/>
        </w:rPr>
      </w:pPr>
    </w:p>
    <w:p w:rsidR="00DA5DF0" w:rsidRPr="008E54FC" w:rsidRDefault="00DA5DF0" w:rsidP="00DA5DF0">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t>Number</w:t>
      </w:r>
      <w:r w:rsidRPr="008E54FC">
        <w:rPr>
          <w:rFonts w:ascii="Arial" w:hAnsi="Arial" w:cs="Arial"/>
          <w:sz w:val="20"/>
          <w:szCs w:val="20"/>
        </w:rPr>
        <w:t>:</w:t>
      </w:r>
      <w:r w:rsidRPr="00A5709E">
        <w:t xml:space="preserve"> </w:t>
      </w:r>
      <w:r w:rsidRPr="009747B3">
        <w:rPr>
          <w:rFonts w:ascii="Calibri" w:hAnsi="Calibri"/>
          <w:color w:val="000000"/>
          <w:sz w:val="22"/>
          <w:szCs w:val="22"/>
        </w:rPr>
        <w:t>KS 1590-1:2001</w:t>
      </w:r>
    </w:p>
    <w:p w:rsidR="00DA5DF0" w:rsidRDefault="00DA5DF0" w:rsidP="00DA5DF0">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S</w:t>
      </w:r>
      <w:r w:rsidRPr="009747B3">
        <w:rPr>
          <w:rFonts w:ascii="Arial" w:hAnsi="Arial" w:cs="Arial"/>
          <w:sz w:val="20"/>
          <w:szCs w:val="20"/>
          <w:u w:val="dotted"/>
        </w:rPr>
        <w:t xml:space="preserve">iting of radio communications facilities </w:t>
      </w:r>
      <w:r w:rsidRPr="008E54FC">
        <w:rPr>
          <w:rFonts w:ascii="Arial" w:hAnsi="Arial" w:cs="Arial"/>
          <w:sz w:val="20"/>
          <w:szCs w:val="20"/>
          <w:u w:val="dotted"/>
        </w:rPr>
        <w:t xml:space="preserve">— </w:t>
      </w:r>
      <w:r>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w:t>
      </w:r>
      <w:r w:rsidRPr="009747B3">
        <w:rPr>
          <w:rFonts w:ascii="Arial" w:hAnsi="Arial" w:cs="Arial"/>
          <w:sz w:val="20"/>
          <w:szCs w:val="20"/>
          <w:u w:val="dotted"/>
        </w:rPr>
        <w:t>Part 1: Low frequency, medium frequency and high frequency transmitting and high frequency receiving facilities</w:t>
      </w:r>
    </w:p>
    <w:p w:rsidR="00DA5DF0" w:rsidRDefault="00DA5DF0" w:rsidP="00135159">
      <w:pPr>
        <w:tabs>
          <w:tab w:val="right" w:leader="dot" w:pos="9000"/>
        </w:tabs>
        <w:autoSpaceDE w:val="0"/>
        <w:autoSpaceDN w:val="0"/>
        <w:adjustRightInd w:val="0"/>
        <w:ind w:left="540"/>
        <w:rPr>
          <w:rFonts w:ascii="Arial" w:hAnsi="Arial" w:cs="Arial"/>
          <w:sz w:val="20"/>
          <w:szCs w:val="20"/>
        </w:rPr>
      </w:pPr>
      <w:r w:rsidRPr="00A5709E">
        <w:rPr>
          <w:rFonts w:ascii="Arial" w:hAnsi="Arial" w:cs="Arial"/>
          <w:b/>
          <w:sz w:val="20"/>
          <w:szCs w:val="20"/>
        </w:rPr>
        <w:t>Scope</w:t>
      </w:r>
      <w:r>
        <w:rPr>
          <w:rFonts w:ascii="Arial" w:hAnsi="Arial" w:cs="Arial"/>
          <w:sz w:val="20"/>
          <w:szCs w:val="20"/>
        </w:rPr>
        <w:t xml:space="preserve">: </w:t>
      </w:r>
      <w:r w:rsidRPr="00DA5DF0">
        <w:rPr>
          <w:rFonts w:ascii="Arial" w:hAnsi="Arial" w:cs="Arial"/>
          <w:sz w:val="20"/>
          <w:szCs w:val="20"/>
        </w:rPr>
        <w:t>Sets out requirements for the siting of LF, MF, and HF transmitting facilities and HF receiving facilities at specific geographic locations</w:t>
      </w:r>
    </w:p>
    <w:p w:rsidR="009223B7" w:rsidRDefault="009223B7" w:rsidP="00135159">
      <w:pPr>
        <w:tabs>
          <w:tab w:val="right" w:leader="dot" w:pos="9000"/>
        </w:tabs>
        <w:autoSpaceDE w:val="0"/>
        <w:autoSpaceDN w:val="0"/>
        <w:adjustRightInd w:val="0"/>
        <w:ind w:left="540"/>
        <w:rPr>
          <w:rFonts w:ascii="Arial" w:hAnsi="Arial" w:cs="Arial"/>
          <w:bCs/>
          <w:sz w:val="20"/>
          <w:szCs w:val="20"/>
        </w:rPr>
      </w:pPr>
    </w:p>
    <w:p w:rsidR="009747B3" w:rsidRPr="008E54FC" w:rsidRDefault="009747B3" w:rsidP="009747B3">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t>Number</w:t>
      </w:r>
      <w:r w:rsidRPr="008E54FC">
        <w:rPr>
          <w:rFonts w:ascii="Arial" w:hAnsi="Arial" w:cs="Arial"/>
          <w:sz w:val="20"/>
          <w:szCs w:val="20"/>
        </w:rPr>
        <w:t>:</w:t>
      </w:r>
      <w:r w:rsidRPr="00A5709E">
        <w:t xml:space="preserve"> </w:t>
      </w:r>
      <w:r w:rsidRPr="009747B3">
        <w:rPr>
          <w:rFonts w:ascii="Calibri" w:hAnsi="Calibri"/>
          <w:color w:val="000000"/>
          <w:sz w:val="22"/>
          <w:szCs w:val="22"/>
        </w:rPr>
        <w:t>KS 1590-2:2001</w:t>
      </w:r>
    </w:p>
    <w:p w:rsidR="009747B3" w:rsidRDefault="009747B3" w:rsidP="009747B3">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S</w:t>
      </w:r>
      <w:r w:rsidRPr="009747B3">
        <w:rPr>
          <w:rFonts w:ascii="Arial" w:hAnsi="Arial" w:cs="Arial"/>
          <w:sz w:val="20"/>
          <w:szCs w:val="20"/>
          <w:u w:val="dotted"/>
        </w:rPr>
        <w:t xml:space="preserve">iting of radio communications facilities </w:t>
      </w:r>
      <w:r w:rsidRPr="008E54FC">
        <w:rPr>
          <w:rFonts w:ascii="Arial" w:hAnsi="Arial" w:cs="Arial"/>
          <w:sz w:val="20"/>
          <w:szCs w:val="20"/>
          <w:u w:val="dotted"/>
        </w:rPr>
        <w:t xml:space="preserve">— </w:t>
      </w:r>
      <w:r>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w:t>
      </w:r>
      <w:r w:rsidRPr="009747B3">
        <w:rPr>
          <w:rFonts w:ascii="Arial" w:hAnsi="Arial" w:cs="Arial"/>
          <w:sz w:val="20"/>
          <w:szCs w:val="20"/>
          <w:u w:val="dotted"/>
        </w:rPr>
        <w:t>Part 2: Guidelines for fixed, mobile and broadcasting services operating at frequency above 30 MHz</w:t>
      </w:r>
    </w:p>
    <w:p w:rsidR="009747B3" w:rsidRDefault="009747B3" w:rsidP="00135159">
      <w:pPr>
        <w:autoSpaceDE w:val="0"/>
        <w:autoSpaceDN w:val="0"/>
        <w:adjustRightInd w:val="0"/>
        <w:spacing w:before="0" w:after="0"/>
        <w:ind w:left="540"/>
        <w:jc w:val="left"/>
        <w:rPr>
          <w:rFonts w:ascii="Arial" w:hAnsi="Arial" w:cs="Arial"/>
          <w:sz w:val="20"/>
          <w:szCs w:val="20"/>
        </w:rPr>
      </w:pPr>
      <w:r w:rsidRPr="00DE4393">
        <w:rPr>
          <w:rFonts w:ascii="Arial" w:hAnsi="Arial" w:cs="Arial"/>
          <w:b/>
          <w:sz w:val="20"/>
          <w:szCs w:val="20"/>
        </w:rPr>
        <w:t>Scope</w:t>
      </w:r>
      <w:r w:rsidRPr="00DE4393">
        <w:rPr>
          <w:rFonts w:ascii="Arial" w:hAnsi="Arial" w:cs="Arial"/>
          <w:sz w:val="20"/>
          <w:szCs w:val="20"/>
        </w:rPr>
        <w:t>:</w:t>
      </w:r>
      <w:r w:rsidR="00DE4393" w:rsidRPr="00DE4393">
        <w:rPr>
          <w:rFonts w:ascii="Arial" w:hAnsi="Arial" w:cs="Arial"/>
          <w:sz w:val="20"/>
          <w:szCs w:val="20"/>
        </w:rPr>
        <w:t xml:space="preserve"> This Kenya standard provides guidance for the siting, installation and operation of </w:t>
      </w:r>
      <w:proofErr w:type="spellStart"/>
      <w:r w:rsidR="00DE4393" w:rsidRPr="00DE4393">
        <w:rPr>
          <w:rFonts w:ascii="Arial" w:hAnsi="Arial" w:cs="Arial"/>
          <w:sz w:val="20"/>
          <w:szCs w:val="20"/>
        </w:rPr>
        <w:t>radiocommunications</w:t>
      </w:r>
      <w:proofErr w:type="spellEnd"/>
      <w:r w:rsidR="00DE4393" w:rsidRPr="00DE4393">
        <w:rPr>
          <w:rFonts w:ascii="Arial" w:hAnsi="Arial" w:cs="Arial"/>
          <w:sz w:val="20"/>
          <w:szCs w:val="20"/>
        </w:rPr>
        <w:t xml:space="preserve"> facilities for fixed, mobile and broadcasting services, in the range of 30 MHz to 3 GHz.</w:t>
      </w:r>
    </w:p>
    <w:p w:rsidR="009223B7" w:rsidRPr="00DE4393" w:rsidRDefault="009223B7" w:rsidP="00135159">
      <w:pPr>
        <w:autoSpaceDE w:val="0"/>
        <w:autoSpaceDN w:val="0"/>
        <w:adjustRightInd w:val="0"/>
        <w:spacing w:before="0" w:after="0"/>
        <w:ind w:left="540"/>
        <w:jc w:val="left"/>
        <w:rPr>
          <w:rFonts w:ascii="Arial" w:hAnsi="Arial" w:cs="Arial"/>
          <w:sz w:val="20"/>
          <w:szCs w:val="20"/>
        </w:rPr>
      </w:pPr>
    </w:p>
    <w:p w:rsidR="009747B3" w:rsidRPr="008E54FC" w:rsidRDefault="009747B3" w:rsidP="009747B3">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lastRenderedPageBreak/>
        <w:t>Number</w:t>
      </w:r>
      <w:r w:rsidRPr="008E54FC">
        <w:rPr>
          <w:rFonts w:ascii="Arial" w:hAnsi="Arial" w:cs="Arial"/>
          <w:sz w:val="20"/>
          <w:szCs w:val="20"/>
        </w:rPr>
        <w:t>:</w:t>
      </w:r>
      <w:r w:rsidRPr="00A5709E">
        <w:t xml:space="preserve"> </w:t>
      </w:r>
      <w:r>
        <w:rPr>
          <w:rFonts w:ascii="Calibri" w:hAnsi="Calibri"/>
          <w:color w:val="000000"/>
          <w:sz w:val="22"/>
          <w:szCs w:val="22"/>
        </w:rPr>
        <w:t>KS 1590-3</w:t>
      </w:r>
      <w:r w:rsidRPr="009747B3">
        <w:rPr>
          <w:rFonts w:ascii="Calibri" w:hAnsi="Calibri"/>
          <w:color w:val="000000"/>
          <w:sz w:val="22"/>
          <w:szCs w:val="22"/>
        </w:rPr>
        <w:t>:2001</w:t>
      </w:r>
    </w:p>
    <w:p w:rsidR="009747B3" w:rsidRPr="009747B3" w:rsidRDefault="009747B3" w:rsidP="009747B3">
      <w:pPr>
        <w:autoSpaceDE w:val="0"/>
        <w:autoSpaceDN w:val="0"/>
        <w:adjustRightInd w:val="0"/>
        <w:ind w:left="54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S</w:t>
      </w:r>
      <w:r w:rsidRPr="009747B3">
        <w:rPr>
          <w:rFonts w:ascii="Arial" w:hAnsi="Arial" w:cs="Arial"/>
          <w:sz w:val="20"/>
          <w:szCs w:val="20"/>
          <w:u w:val="dotted"/>
        </w:rPr>
        <w:t xml:space="preserve">iting of radio communications facilities </w:t>
      </w:r>
      <w:r w:rsidRPr="008E54FC">
        <w:rPr>
          <w:rFonts w:ascii="Arial" w:hAnsi="Arial" w:cs="Arial"/>
          <w:sz w:val="20"/>
          <w:szCs w:val="20"/>
          <w:u w:val="dotted"/>
        </w:rPr>
        <w:t xml:space="preserve">— </w:t>
      </w:r>
      <w:r>
        <w:rPr>
          <w:rFonts w:ascii="Arial" w:hAnsi="Arial" w:cs="Arial"/>
          <w:sz w:val="20"/>
          <w:szCs w:val="20"/>
          <w:u w:val="dotted"/>
        </w:rPr>
        <w:t xml:space="preserve">Specification </w:t>
      </w:r>
      <w:r w:rsidRPr="008E54FC">
        <w:rPr>
          <w:rFonts w:ascii="Arial" w:hAnsi="Arial" w:cs="Arial"/>
          <w:sz w:val="20"/>
          <w:szCs w:val="20"/>
          <w:u w:val="dotted"/>
        </w:rPr>
        <w:t>—</w:t>
      </w:r>
      <w:r>
        <w:rPr>
          <w:rFonts w:ascii="Arial" w:hAnsi="Arial" w:cs="Arial"/>
          <w:sz w:val="20"/>
          <w:szCs w:val="20"/>
          <w:u w:val="dotted"/>
        </w:rPr>
        <w:t xml:space="preserve"> </w:t>
      </w:r>
      <w:r w:rsidRPr="009747B3">
        <w:rPr>
          <w:rFonts w:ascii="Arial" w:hAnsi="Arial" w:cs="Arial"/>
          <w:sz w:val="20"/>
          <w:szCs w:val="20"/>
          <w:u w:val="dotted"/>
        </w:rPr>
        <w:t>Part 3: Fixed location satellite earth stations</w:t>
      </w:r>
    </w:p>
    <w:p w:rsidR="009747B3" w:rsidRDefault="009747B3" w:rsidP="00135159">
      <w:pPr>
        <w:tabs>
          <w:tab w:val="right" w:leader="dot" w:pos="9000"/>
        </w:tabs>
        <w:autoSpaceDE w:val="0"/>
        <w:autoSpaceDN w:val="0"/>
        <w:adjustRightInd w:val="0"/>
        <w:ind w:left="540"/>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135159" w:rsidRPr="00135159">
        <w:t xml:space="preserve"> </w:t>
      </w:r>
      <w:r w:rsidR="00135159" w:rsidRPr="00135159">
        <w:rPr>
          <w:rFonts w:ascii="Arial" w:hAnsi="Arial" w:cs="Arial"/>
          <w:sz w:val="20"/>
          <w:szCs w:val="20"/>
        </w:rPr>
        <w:t>Concerns the siting of satellite earth stations at specific geographic locations. The concern is on those features of the site which affect the efficiency of operations, potential interference to and from the signals, and potential impact which emissions</w:t>
      </w:r>
    </w:p>
    <w:p w:rsidR="009223B7" w:rsidRPr="00135159" w:rsidRDefault="009223B7" w:rsidP="00135159">
      <w:pPr>
        <w:tabs>
          <w:tab w:val="right" w:leader="dot" w:pos="9000"/>
        </w:tabs>
        <w:autoSpaceDE w:val="0"/>
        <w:autoSpaceDN w:val="0"/>
        <w:adjustRightInd w:val="0"/>
        <w:ind w:left="540"/>
        <w:rPr>
          <w:rFonts w:ascii="Arial" w:hAnsi="Arial" w:cs="Arial"/>
          <w:sz w:val="20"/>
          <w:szCs w:val="20"/>
        </w:rPr>
      </w:pPr>
    </w:p>
    <w:p w:rsidR="009747B3" w:rsidRPr="008E54FC" w:rsidRDefault="009747B3" w:rsidP="009747B3">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t>Number</w:t>
      </w:r>
      <w:r w:rsidRPr="008E54FC">
        <w:rPr>
          <w:rFonts w:ascii="Arial" w:hAnsi="Arial" w:cs="Arial"/>
          <w:sz w:val="20"/>
          <w:szCs w:val="20"/>
        </w:rPr>
        <w:t>:</w:t>
      </w:r>
      <w:r w:rsidRPr="00A5709E">
        <w:t xml:space="preserve"> </w:t>
      </w:r>
      <w:r w:rsidRPr="009747B3">
        <w:rPr>
          <w:rFonts w:ascii="Calibri" w:hAnsi="Calibri"/>
          <w:color w:val="000000"/>
          <w:sz w:val="22"/>
          <w:szCs w:val="22"/>
        </w:rPr>
        <w:t>KS 1629:2001</w:t>
      </w:r>
    </w:p>
    <w:p w:rsidR="009747B3" w:rsidRPr="009747B3" w:rsidRDefault="009747B3" w:rsidP="009747B3">
      <w:pPr>
        <w:autoSpaceDE w:val="0"/>
        <w:autoSpaceDN w:val="0"/>
        <w:adjustRightInd w:val="0"/>
        <w:ind w:left="54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w:t>
      </w:r>
      <w:r w:rsidRPr="009747B3">
        <w:rPr>
          <w:rFonts w:ascii="Arial" w:hAnsi="Arial" w:cs="Arial"/>
          <w:sz w:val="20"/>
          <w:szCs w:val="20"/>
          <w:u w:val="dotted"/>
        </w:rPr>
        <w:t>Methods of measuring the characteristics of reproducing equipment for digital audio compact discs</w:t>
      </w:r>
    </w:p>
    <w:p w:rsidR="009747B3" w:rsidRDefault="009747B3" w:rsidP="00135159">
      <w:pPr>
        <w:tabs>
          <w:tab w:val="right" w:leader="dot" w:pos="9000"/>
        </w:tabs>
        <w:autoSpaceDE w:val="0"/>
        <w:autoSpaceDN w:val="0"/>
        <w:adjustRightInd w:val="0"/>
        <w:ind w:left="540"/>
        <w:rPr>
          <w:rFonts w:ascii="Arial" w:hAnsi="Arial" w:cs="Arial"/>
          <w:sz w:val="20"/>
          <w:szCs w:val="20"/>
        </w:rPr>
      </w:pPr>
      <w:r w:rsidRPr="00135159">
        <w:rPr>
          <w:rFonts w:ascii="Arial" w:hAnsi="Arial" w:cs="Arial"/>
          <w:b/>
          <w:sz w:val="20"/>
          <w:szCs w:val="20"/>
        </w:rPr>
        <w:t>Scope</w:t>
      </w:r>
      <w:r w:rsidRPr="00135159">
        <w:rPr>
          <w:rFonts w:ascii="Arial" w:hAnsi="Arial" w:cs="Arial"/>
          <w:sz w:val="20"/>
          <w:szCs w:val="20"/>
        </w:rPr>
        <w:t>:</w:t>
      </w:r>
      <w:r w:rsidR="00135159" w:rsidRPr="00135159">
        <w:rPr>
          <w:rFonts w:ascii="Arial" w:hAnsi="Arial" w:cs="Arial"/>
          <w:sz w:val="20"/>
          <w:szCs w:val="20"/>
        </w:rPr>
        <w:t xml:space="preserve"> This Kenya Standard applies to reproducing equipment for digital audio compact discs that conform to the specifications of IEC 60908.</w:t>
      </w:r>
    </w:p>
    <w:p w:rsidR="009223B7" w:rsidRPr="00135159" w:rsidRDefault="009223B7" w:rsidP="00135159">
      <w:pPr>
        <w:tabs>
          <w:tab w:val="right" w:leader="dot" w:pos="9000"/>
        </w:tabs>
        <w:autoSpaceDE w:val="0"/>
        <w:autoSpaceDN w:val="0"/>
        <w:adjustRightInd w:val="0"/>
        <w:ind w:left="540"/>
        <w:rPr>
          <w:rFonts w:ascii="Arial" w:hAnsi="Arial" w:cs="Arial"/>
          <w:sz w:val="20"/>
          <w:szCs w:val="20"/>
        </w:rPr>
      </w:pPr>
    </w:p>
    <w:p w:rsidR="005C7BDD" w:rsidRPr="008E54FC" w:rsidRDefault="005C7BDD" w:rsidP="005C7BDD">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t>Number</w:t>
      </w:r>
      <w:r w:rsidRPr="008E54FC">
        <w:rPr>
          <w:rFonts w:ascii="Arial" w:hAnsi="Arial" w:cs="Arial"/>
          <w:sz w:val="20"/>
          <w:szCs w:val="20"/>
        </w:rPr>
        <w:t>:</w:t>
      </w:r>
      <w:r w:rsidRPr="00A5709E">
        <w:t xml:space="preserve"> </w:t>
      </w:r>
      <w:r w:rsidRPr="005C7BDD">
        <w:rPr>
          <w:rFonts w:ascii="Calibri" w:hAnsi="Calibri"/>
          <w:color w:val="000000"/>
          <w:sz w:val="22"/>
          <w:szCs w:val="22"/>
        </w:rPr>
        <w:t>KS 1671-1:2005</w:t>
      </w:r>
    </w:p>
    <w:p w:rsidR="005C7BDD" w:rsidRPr="009747B3" w:rsidRDefault="005C7BDD" w:rsidP="005C7BDD">
      <w:pPr>
        <w:autoSpaceDE w:val="0"/>
        <w:autoSpaceDN w:val="0"/>
        <w:adjustRightInd w:val="0"/>
        <w:ind w:left="54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w:t>
      </w:r>
      <w:r w:rsidRPr="005C7BDD">
        <w:rPr>
          <w:rFonts w:ascii="Arial" w:hAnsi="Arial" w:cs="Arial"/>
          <w:sz w:val="20"/>
          <w:szCs w:val="20"/>
          <w:u w:val="dotted"/>
        </w:rPr>
        <w:t>Domestic and similar electronic equipment interconnection requirements - Audiovisual link - Specification - Part 1: General requirements</w:t>
      </w:r>
    </w:p>
    <w:p w:rsidR="005C7BDD" w:rsidRPr="00DE4393" w:rsidRDefault="005C7BDD" w:rsidP="00DE4393">
      <w:pPr>
        <w:autoSpaceDE w:val="0"/>
        <w:autoSpaceDN w:val="0"/>
        <w:adjustRightInd w:val="0"/>
        <w:spacing w:before="0" w:after="0"/>
        <w:jc w:val="left"/>
        <w:rPr>
          <w:rFonts w:ascii="Arial" w:hAnsi="Arial" w:cs="Arial"/>
          <w:sz w:val="20"/>
          <w:szCs w:val="20"/>
        </w:rPr>
      </w:pPr>
      <w:r w:rsidRPr="00DE4393">
        <w:rPr>
          <w:rFonts w:ascii="Arial" w:hAnsi="Arial" w:cs="Arial"/>
          <w:b/>
          <w:sz w:val="20"/>
          <w:szCs w:val="20"/>
        </w:rPr>
        <w:t>Scope</w:t>
      </w:r>
      <w:r w:rsidRPr="00DE4393">
        <w:rPr>
          <w:rFonts w:ascii="Arial" w:hAnsi="Arial" w:cs="Arial"/>
          <w:sz w:val="20"/>
          <w:szCs w:val="20"/>
        </w:rPr>
        <w:t>:</w:t>
      </w:r>
      <w:r w:rsidR="00DE4393" w:rsidRPr="00DE4393">
        <w:rPr>
          <w:rFonts w:ascii="Arial" w:hAnsi="Arial" w:cs="Arial"/>
          <w:sz w:val="20"/>
          <w:szCs w:val="20"/>
        </w:rPr>
        <w:t xml:space="preserve"> This Part 1 of this Kenya Standard provides the general requirements for the AV. links and their standardization structure.</w:t>
      </w:r>
    </w:p>
    <w:p w:rsidR="005C7BDD" w:rsidRDefault="005C7BDD" w:rsidP="005C7BDD">
      <w:pPr>
        <w:tabs>
          <w:tab w:val="right" w:leader="dot" w:pos="3600"/>
        </w:tabs>
        <w:autoSpaceDE w:val="0"/>
        <w:autoSpaceDN w:val="0"/>
        <w:adjustRightInd w:val="0"/>
        <w:rPr>
          <w:rFonts w:ascii="Arial" w:hAnsi="Arial" w:cs="Arial"/>
          <w:bCs/>
          <w:sz w:val="20"/>
          <w:szCs w:val="20"/>
        </w:rPr>
      </w:pPr>
    </w:p>
    <w:p w:rsidR="005C7BDD" w:rsidRPr="008E54FC" w:rsidRDefault="005C7BDD" w:rsidP="005C7BDD">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t>Number</w:t>
      </w:r>
      <w:r w:rsidRPr="008E54FC">
        <w:rPr>
          <w:rFonts w:ascii="Arial" w:hAnsi="Arial" w:cs="Arial"/>
          <w:sz w:val="20"/>
          <w:szCs w:val="20"/>
        </w:rPr>
        <w:t>:</w:t>
      </w:r>
      <w:r w:rsidRPr="00A5709E">
        <w:t xml:space="preserve"> </w:t>
      </w:r>
      <w:r w:rsidRPr="005C7BDD">
        <w:rPr>
          <w:rFonts w:ascii="Calibri" w:hAnsi="Calibri"/>
          <w:color w:val="000000"/>
          <w:sz w:val="22"/>
          <w:szCs w:val="22"/>
        </w:rPr>
        <w:t>KS 1671-2.1:2005</w:t>
      </w:r>
    </w:p>
    <w:p w:rsidR="005C7BDD" w:rsidRPr="009747B3" w:rsidRDefault="005C7BDD" w:rsidP="005C7BDD">
      <w:pPr>
        <w:autoSpaceDE w:val="0"/>
        <w:autoSpaceDN w:val="0"/>
        <w:adjustRightInd w:val="0"/>
        <w:ind w:left="54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w:t>
      </w:r>
      <w:r w:rsidRPr="005C7BDD">
        <w:rPr>
          <w:rFonts w:ascii="Arial" w:hAnsi="Arial" w:cs="Arial"/>
          <w:sz w:val="20"/>
          <w:szCs w:val="20"/>
          <w:u w:val="dotted"/>
        </w:rPr>
        <w:t>Domestic and similar electronic equipment interconnection requirements - Audiovisual link - Specification - Part 2-1: Signal quality matching and automatic selection of source devices</w:t>
      </w:r>
    </w:p>
    <w:p w:rsidR="005C7BDD" w:rsidRDefault="005C7BDD" w:rsidP="00DE4393">
      <w:pPr>
        <w:autoSpaceDE w:val="0"/>
        <w:autoSpaceDN w:val="0"/>
        <w:adjustRightInd w:val="0"/>
        <w:spacing w:before="0" w:after="0"/>
        <w:jc w:val="left"/>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DE4393" w:rsidRPr="00DE4393">
        <w:rPr>
          <w:rFonts w:ascii="Arial" w:hAnsi="Arial" w:cs="Arial"/>
          <w:sz w:val="20"/>
          <w:szCs w:val="20"/>
        </w:rPr>
        <w:t xml:space="preserve"> </w:t>
      </w:r>
      <w:r w:rsidR="00DE4393">
        <w:rPr>
          <w:rFonts w:ascii="Arial" w:hAnsi="Arial" w:cs="Arial"/>
          <w:sz w:val="20"/>
          <w:szCs w:val="20"/>
        </w:rPr>
        <w:t>This Part 2-1 of this Kenya Standard specifies an extension [with the possibility to start with only two devices as a point-to-point interconnection (only a display unit combined with a low end VTR) and then building it up] towards a chain configuration (serial interconnection of devices) with respect to the existing standard which specifies only the characteristics of the point-to-point interconnection system for audiovisual equipment.</w:t>
      </w:r>
    </w:p>
    <w:p w:rsidR="005C7BDD" w:rsidRDefault="005C7BDD" w:rsidP="005C7BDD">
      <w:pPr>
        <w:tabs>
          <w:tab w:val="right" w:leader="dot" w:pos="3600"/>
        </w:tabs>
        <w:autoSpaceDE w:val="0"/>
        <w:autoSpaceDN w:val="0"/>
        <w:adjustRightInd w:val="0"/>
        <w:rPr>
          <w:rFonts w:ascii="Arial" w:hAnsi="Arial" w:cs="Arial"/>
          <w:bCs/>
          <w:sz w:val="20"/>
          <w:szCs w:val="20"/>
        </w:rPr>
      </w:pPr>
    </w:p>
    <w:p w:rsidR="005C7BDD" w:rsidRPr="008E54FC" w:rsidRDefault="005C7BDD" w:rsidP="005C7BDD">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t>Number</w:t>
      </w:r>
      <w:r w:rsidRPr="008E54FC">
        <w:rPr>
          <w:rFonts w:ascii="Arial" w:hAnsi="Arial" w:cs="Arial"/>
          <w:sz w:val="20"/>
          <w:szCs w:val="20"/>
        </w:rPr>
        <w:t>:</w:t>
      </w:r>
      <w:r w:rsidRPr="00A5709E">
        <w:t xml:space="preserve"> </w:t>
      </w:r>
      <w:r w:rsidRPr="005C7BDD">
        <w:rPr>
          <w:rFonts w:ascii="Calibri" w:hAnsi="Calibri"/>
          <w:color w:val="000000"/>
          <w:sz w:val="22"/>
          <w:szCs w:val="22"/>
        </w:rPr>
        <w:t>KS 1671-2.2:2005</w:t>
      </w:r>
    </w:p>
    <w:p w:rsidR="005C7BDD" w:rsidRPr="009747B3" w:rsidRDefault="005C7BDD" w:rsidP="005C7BDD">
      <w:pPr>
        <w:autoSpaceDE w:val="0"/>
        <w:autoSpaceDN w:val="0"/>
        <w:adjustRightInd w:val="0"/>
        <w:ind w:left="54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w:t>
      </w:r>
      <w:r w:rsidRPr="005C7BDD">
        <w:rPr>
          <w:rFonts w:ascii="Arial" w:hAnsi="Arial" w:cs="Arial"/>
          <w:sz w:val="20"/>
          <w:szCs w:val="20"/>
          <w:u w:val="dotted"/>
        </w:rPr>
        <w:t>Domestic and similar electronic equipment interconnection requirements - Audiovisual link - Specification - Part 2-2: Basic system oriented commands</w:t>
      </w:r>
    </w:p>
    <w:p w:rsidR="005C7BDD" w:rsidRDefault="005C7BDD" w:rsidP="00DE4393">
      <w:pPr>
        <w:autoSpaceDE w:val="0"/>
        <w:autoSpaceDN w:val="0"/>
        <w:adjustRightInd w:val="0"/>
        <w:spacing w:before="0" w:after="0"/>
        <w:jc w:val="left"/>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DE4393" w:rsidRPr="00DE4393">
        <w:rPr>
          <w:rFonts w:ascii="Arial" w:hAnsi="Arial" w:cs="Arial"/>
          <w:sz w:val="20"/>
          <w:szCs w:val="20"/>
        </w:rPr>
        <w:t xml:space="preserve"> </w:t>
      </w:r>
      <w:r w:rsidR="00DE4393">
        <w:rPr>
          <w:rFonts w:ascii="Arial" w:hAnsi="Arial" w:cs="Arial"/>
          <w:sz w:val="20"/>
          <w:szCs w:val="20"/>
        </w:rPr>
        <w:t>This Kenya Standard specifies the AV link communication protocols and the basic AV link commands within mode 2.</w:t>
      </w:r>
    </w:p>
    <w:p w:rsidR="00DE4393" w:rsidRDefault="00DE4393" w:rsidP="00DE4393">
      <w:pPr>
        <w:autoSpaceDE w:val="0"/>
        <w:autoSpaceDN w:val="0"/>
        <w:adjustRightInd w:val="0"/>
        <w:spacing w:before="0" w:after="0"/>
        <w:jc w:val="left"/>
        <w:rPr>
          <w:rFonts w:ascii="Arial" w:hAnsi="Arial" w:cs="Arial"/>
          <w:sz w:val="20"/>
          <w:szCs w:val="20"/>
        </w:rPr>
      </w:pPr>
    </w:p>
    <w:p w:rsidR="00DE4393" w:rsidRDefault="00DE4393" w:rsidP="00DE4393">
      <w:pPr>
        <w:autoSpaceDE w:val="0"/>
        <w:autoSpaceDN w:val="0"/>
        <w:adjustRightInd w:val="0"/>
        <w:spacing w:before="0" w:after="0"/>
        <w:jc w:val="left"/>
        <w:rPr>
          <w:rFonts w:ascii="Arial" w:hAnsi="Arial" w:cs="Arial"/>
          <w:sz w:val="20"/>
          <w:szCs w:val="20"/>
        </w:rPr>
      </w:pPr>
      <w:r>
        <w:rPr>
          <w:rFonts w:ascii="Arial" w:hAnsi="Arial" w:cs="Arial"/>
          <w:sz w:val="20"/>
          <w:szCs w:val="20"/>
        </w:rPr>
        <w:t xml:space="preserve">AV link devices may communicate with each other in AV link mode 2 by sending and receiving basic system oriented commands. The AV link mode 2 communication takes place via the AV link on contact 10 of the </w:t>
      </w:r>
      <w:proofErr w:type="spellStart"/>
      <w:r>
        <w:rPr>
          <w:rFonts w:ascii="Arial" w:hAnsi="Arial" w:cs="Arial"/>
          <w:sz w:val="20"/>
          <w:szCs w:val="20"/>
        </w:rPr>
        <w:t>peritelevision</w:t>
      </w:r>
      <w:proofErr w:type="spellEnd"/>
      <w:r>
        <w:rPr>
          <w:rFonts w:ascii="Arial" w:hAnsi="Arial" w:cs="Arial"/>
          <w:sz w:val="20"/>
          <w:szCs w:val="20"/>
        </w:rPr>
        <w:t xml:space="preserve"> connector as specified in EN 50049-1.</w:t>
      </w:r>
    </w:p>
    <w:p w:rsidR="00DE4393" w:rsidRDefault="00DE4393" w:rsidP="00DE4393">
      <w:pPr>
        <w:autoSpaceDE w:val="0"/>
        <w:autoSpaceDN w:val="0"/>
        <w:adjustRightInd w:val="0"/>
        <w:spacing w:before="0" w:after="0"/>
        <w:jc w:val="left"/>
        <w:rPr>
          <w:rFonts w:ascii="Arial" w:hAnsi="Arial" w:cs="Arial"/>
          <w:sz w:val="20"/>
          <w:szCs w:val="20"/>
        </w:rPr>
      </w:pPr>
    </w:p>
    <w:p w:rsidR="009747B3" w:rsidRDefault="00DE4393" w:rsidP="00DE4393">
      <w:pPr>
        <w:autoSpaceDE w:val="0"/>
        <w:autoSpaceDN w:val="0"/>
        <w:adjustRightInd w:val="0"/>
        <w:spacing w:before="0" w:after="0"/>
        <w:jc w:val="left"/>
        <w:rPr>
          <w:rFonts w:ascii="Arial" w:hAnsi="Arial" w:cs="Arial"/>
          <w:bCs/>
          <w:sz w:val="20"/>
          <w:szCs w:val="20"/>
        </w:rPr>
      </w:pPr>
      <w:r>
        <w:rPr>
          <w:rFonts w:ascii="Arial" w:hAnsi="Arial" w:cs="Arial"/>
          <w:sz w:val="20"/>
          <w:szCs w:val="20"/>
        </w:rPr>
        <w:t>By sending AV link system oriented commands a device may control some basic functions of other devices. For instance, an AV link television may control some functions of an AV link video cassette recorder.</w:t>
      </w:r>
    </w:p>
    <w:p w:rsidR="005C7BDD" w:rsidRPr="008E54FC" w:rsidRDefault="005C7BDD" w:rsidP="005C7BDD">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t>Number</w:t>
      </w:r>
      <w:r w:rsidRPr="008E54FC">
        <w:rPr>
          <w:rFonts w:ascii="Arial" w:hAnsi="Arial" w:cs="Arial"/>
          <w:sz w:val="20"/>
          <w:szCs w:val="20"/>
        </w:rPr>
        <w:t>:</w:t>
      </w:r>
      <w:r w:rsidRPr="00A5709E">
        <w:t xml:space="preserve"> </w:t>
      </w:r>
      <w:r w:rsidRPr="005C7BDD">
        <w:rPr>
          <w:rFonts w:ascii="Calibri" w:hAnsi="Calibri"/>
          <w:color w:val="000000"/>
          <w:sz w:val="22"/>
          <w:szCs w:val="22"/>
        </w:rPr>
        <w:t>KS 1671-2.3:2005</w:t>
      </w:r>
    </w:p>
    <w:p w:rsidR="005C7BDD" w:rsidRPr="009747B3" w:rsidRDefault="005C7BDD" w:rsidP="005C7BDD">
      <w:pPr>
        <w:autoSpaceDE w:val="0"/>
        <w:autoSpaceDN w:val="0"/>
        <w:adjustRightInd w:val="0"/>
        <w:ind w:left="54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w:t>
      </w:r>
      <w:r>
        <w:rPr>
          <w:rFonts w:ascii="Arial" w:hAnsi="Arial" w:cs="Arial"/>
          <w:sz w:val="20"/>
          <w:szCs w:val="20"/>
          <w:u w:val="dotted"/>
        </w:rPr>
        <w:t xml:space="preserve"> </w:t>
      </w:r>
      <w:r w:rsidRPr="005C7BDD">
        <w:rPr>
          <w:rFonts w:ascii="Arial" w:hAnsi="Arial" w:cs="Arial"/>
          <w:sz w:val="20"/>
          <w:szCs w:val="20"/>
          <w:u w:val="dotted"/>
        </w:rPr>
        <w:t>Domestic and similar electronic equipment interconnection requirements - Audiovisual link - Specification - Part 2-3: System oriented application</w:t>
      </w:r>
    </w:p>
    <w:p w:rsidR="00DE4393" w:rsidRDefault="005C7BDD" w:rsidP="00DE4393">
      <w:pPr>
        <w:autoSpaceDE w:val="0"/>
        <w:autoSpaceDN w:val="0"/>
        <w:adjustRightInd w:val="0"/>
        <w:spacing w:before="0" w:after="0"/>
        <w:jc w:val="left"/>
        <w:rPr>
          <w:rFonts w:ascii="Arial" w:hAnsi="Arial" w:cs="Arial"/>
          <w:sz w:val="20"/>
          <w:szCs w:val="20"/>
        </w:rPr>
      </w:pPr>
      <w:r w:rsidRPr="00A5709E">
        <w:rPr>
          <w:rFonts w:ascii="Arial" w:hAnsi="Arial" w:cs="Arial"/>
          <w:b/>
          <w:sz w:val="20"/>
          <w:szCs w:val="20"/>
        </w:rPr>
        <w:t>Scope</w:t>
      </w:r>
      <w:r>
        <w:rPr>
          <w:rFonts w:ascii="Arial" w:hAnsi="Arial" w:cs="Arial"/>
          <w:sz w:val="20"/>
          <w:szCs w:val="20"/>
        </w:rPr>
        <w:t>:</w:t>
      </w:r>
      <w:r w:rsidR="00DE4393" w:rsidRPr="00DE4393">
        <w:rPr>
          <w:rFonts w:ascii="Arial" w:hAnsi="Arial" w:cs="Arial"/>
          <w:sz w:val="20"/>
          <w:szCs w:val="20"/>
        </w:rPr>
        <w:t xml:space="preserve"> </w:t>
      </w:r>
      <w:r w:rsidR="00DE4393">
        <w:rPr>
          <w:rFonts w:ascii="Arial" w:hAnsi="Arial" w:cs="Arial"/>
          <w:sz w:val="20"/>
          <w:szCs w:val="20"/>
        </w:rPr>
        <w:t>This Kenya Standard specifies the AV link mode 3 communication protocols.</w:t>
      </w:r>
    </w:p>
    <w:p w:rsidR="00DE4393" w:rsidRDefault="00DE4393" w:rsidP="00DE4393">
      <w:pPr>
        <w:autoSpaceDE w:val="0"/>
        <w:autoSpaceDN w:val="0"/>
        <w:adjustRightInd w:val="0"/>
        <w:spacing w:before="0" w:after="0"/>
        <w:jc w:val="left"/>
        <w:rPr>
          <w:rFonts w:ascii="Arial" w:hAnsi="Arial" w:cs="Arial"/>
          <w:sz w:val="20"/>
          <w:szCs w:val="20"/>
        </w:rPr>
      </w:pPr>
    </w:p>
    <w:p w:rsidR="00DE4393" w:rsidRDefault="00DE4393" w:rsidP="00DE4393">
      <w:pPr>
        <w:autoSpaceDE w:val="0"/>
        <w:autoSpaceDN w:val="0"/>
        <w:adjustRightInd w:val="0"/>
        <w:spacing w:before="0" w:after="0"/>
        <w:jc w:val="left"/>
        <w:rPr>
          <w:rFonts w:ascii="Arial" w:hAnsi="Arial" w:cs="Arial"/>
          <w:sz w:val="20"/>
          <w:szCs w:val="20"/>
        </w:rPr>
      </w:pPr>
      <w:r>
        <w:rPr>
          <w:rFonts w:ascii="Arial" w:hAnsi="Arial" w:cs="Arial"/>
          <w:sz w:val="20"/>
          <w:szCs w:val="20"/>
        </w:rPr>
        <w:lastRenderedPageBreak/>
        <w:t xml:space="preserve">AV link mode 3 is an audio/video communication system AV link mode 3 devices communicate with each other by sending and receiving &lt;AV link mode 3&gt; messages. The communication of AV link takes place via contact 10 of the </w:t>
      </w:r>
      <w:proofErr w:type="spellStart"/>
      <w:r>
        <w:rPr>
          <w:rFonts w:ascii="Arial" w:hAnsi="Arial" w:cs="Arial"/>
          <w:sz w:val="20"/>
          <w:szCs w:val="20"/>
        </w:rPr>
        <w:t>peritelevision</w:t>
      </w:r>
      <w:proofErr w:type="spellEnd"/>
      <w:r>
        <w:rPr>
          <w:rFonts w:ascii="Arial" w:hAnsi="Arial" w:cs="Arial"/>
          <w:sz w:val="20"/>
          <w:szCs w:val="20"/>
        </w:rPr>
        <w:t xml:space="preserve"> connector as specified in EN 50049-1.</w:t>
      </w:r>
    </w:p>
    <w:p w:rsidR="00DE4393" w:rsidRDefault="00DE4393" w:rsidP="00DE4393">
      <w:pPr>
        <w:autoSpaceDE w:val="0"/>
        <w:autoSpaceDN w:val="0"/>
        <w:adjustRightInd w:val="0"/>
        <w:spacing w:before="0" w:after="0"/>
        <w:jc w:val="left"/>
        <w:rPr>
          <w:rFonts w:ascii="Arial" w:hAnsi="Arial" w:cs="Arial"/>
          <w:sz w:val="20"/>
          <w:szCs w:val="20"/>
        </w:rPr>
      </w:pPr>
      <w:r>
        <w:rPr>
          <w:rFonts w:ascii="Arial" w:hAnsi="Arial" w:cs="Arial"/>
          <w:sz w:val="20"/>
          <w:szCs w:val="20"/>
        </w:rPr>
        <w:t>Within the protocol a 3-bit "Application identifier" is present.</w:t>
      </w:r>
    </w:p>
    <w:p w:rsidR="00DE4393" w:rsidRDefault="00DE4393" w:rsidP="00DE4393">
      <w:pPr>
        <w:autoSpaceDE w:val="0"/>
        <w:autoSpaceDN w:val="0"/>
        <w:adjustRightInd w:val="0"/>
        <w:spacing w:before="0" w:after="0"/>
        <w:jc w:val="left"/>
        <w:rPr>
          <w:rFonts w:ascii="Arial" w:hAnsi="Arial" w:cs="Arial"/>
          <w:sz w:val="20"/>
          <w:szCs w:val="20"/>
        </w:rPr>
      </w:pPr>
    </w:p>
    <w:p w:rsidR="005C7BDD" w:rsidRDefault="00DE4393" w:rsidP="00DE4393">
      <w:pPr>
        <w:autoSpaceDE w:val="0"/>
        <w:autoSpaceDN w:val="0"/>
        <w:adjustRightInd w:val="0"/>
        <w:spacing w:before="0" w:after="0"/>
        <w:jc w:val="left"/>
        <w:rPr>
          <w:rFonts w:ascii="Arial" w:hAnsi="Arial" w:cs="Arial"/>
          <w:sz w:val="20"/>
          <w:szCs w:val="20"/>
        </w:rPr>
      </w:pPr>
      <w:r>
        <w:rPr>
          <w:rFonts w:ascii="Arial" w:hAnsi="Arial" w:cs="Arial"/>
          <w:sz w:val="20"/>
          <w:szCs w:val="20"/>
        </w:rPr>
        <w:t>If a company wishes to use the mode 3 protocol for its own application an "Application identifier" code can be allocated by EACEM Secretariat.</w:t>
      </w:r>
    </w:p>
    <w:p w:rsidR="009747B3" w:rsidRDefault="009747B3" w:rsidP="0017389A">
      <w:pPr>
        <w:tabs>
          <w:tab w:val="right" w:leader="dot" w:pos="3600"/>
        </w:tabs>
        <w:autoSpaceDE w:val="0"/>
        <w:autoSpaceDN w:val="0"/>
        <w:adjustRightInd w:val="0"/>
        <w:rPr>
          <w:rFonts w:ascii="Arial" w:hAnsi="Arial" w:cs="Arial"/>
          <w:bCs/>
          <w:sz w:val="20"/>
          <w:szCs w:val="20"/>
        </w:rPr>
      </w:pPr>
    </w:p>
    <w:p w:rsidR="00D6091F" w:rsidRPr="008E54FC" w:rsidRDefault="00D6091F" w:rsidP="008E54FC">
      <w:pPr>
        <w:pStyle w:val="ListParagraph"/>
        <w:numPr>
          <w:ilvl w:val="0"/>
          <w:numId w:val="53"/>
        </w:numPr>
        <w:autoSpaceDE w:val="0"/>
        <w:autoSpaceDN w:val="0"/>
        <w:adjustRightInd w:val="0"/>
        <w:rPr>
          <w:rFonts w:ascii="Calibri" w:hAnsi="Calibri"/>
          <w:color w:val="000000"/>
          <w:sz w:val="22"/>
          <w:szCs w:val="22"/>
        </w:rPr>
      </w:pPr>
      <w:r w:rsidRPr="008E54FC">
        <w:rPr>
          <w:rFonts w:ascii="Arial" w:hAnsi="Arial" w:cs="Arial"/>
          <w:b/>
          <w:sz w:val="20"/>
          <w:szCs w:val="20"/>
        </w:rPr>
        <w:t>Number</w:t>
      </w:r>
      <w:r w:rsidRPr="008E54FC">
        <w:rPr>
          <w:rFonts w:ascii="Arial" w:hAnsi="Arial" w:cs="Arial"/>
          <w:sz w:val="20"/>
          <w:szCs w:val="20"/>
        </w:rPr>
        <w:t>:</w:t>
      </w:r>
      <w:r w:rsidRPr="00A5709E">
        <w:t xml:space="preserve"> </w:t>
      </w:r>
      <w:r w:rsidR="008E54FC" w:rsidRPr="008E54FC">
        <w:rPr>
          <w:rFonts w:ascii="Calibri" w:hAnsi="Calibri"/>
          <w:color w:val="000000"/>
          <w:sz w:val="22"/>
          <w:szCs w:val="22"/>
        </w:rPr>
        <w:t>KS IEC 62002-1:2008</w:t>
      </w:r>
    </w:p>
    <w:p w:rsidR="00D6091F" w:rsidRDefault="00D6091F" w:rsidP="00D6091F">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008E54FC" w:rsidRPr="008E54FC">
        <w:rPr>
          <w:rFonts w:ascii="Arial" w:hAnsi="Arial" w:cs="Arial"/>
          <w:sz w:val="20"/>
          <w:szCs w:val="20"/>
          <w:u w:val="dotted"/>
        </w:rPr>
        <w:t>Kenya Standard — Mobile and portable DVB-T/H radio access Part 1: Interface specification, First Edition</w:t>
      </w:r>
    </w:p>
    <w:p w:rsidR="00D6091F" w:rsidRPr="00CE5A25" w:rsidRDefault="00D6091F" w:rsidP="00D6091F">
      <w:pPr>
        <w:tabs>
          <w:tab w:val="right" w:leader="dot" w:pos="9000"/>
        </w:tabs>
        <w:autoSpaceDE w:val="0"/>
        <w:autoSpaceDN w:val="0"/>
        <w:adjustRightInd w:val="0"/>
        <w:rPr>
          <w:rFonts w:ascii="Arial" w:hAnsi="Arial" w:cs="Arial"/>
          <w:sz w:val="20"/>
          <w:szCs w:val="20"/>
        </w:rPr>
      </w:pPr>
      <w:r w:rsidRPr="00CE5A25">
        <w:rPr>
          <w:rFonts w:ascii="Arial" w:hAnsi="Arial" w:cs="Arial"/>
          <w:b/>
          <w:sz w:val="20"/>
          <w:szCs w:val="20"/>
        </w:rPr>
        <w:t>Scope</w:t>
      </w:r>
      <w:r w:rsidRPr="00CE5A25">
        <w:rPr>
          <w:rFonts w:ascii="Arial" w:hAnsi="Arial" w:cs="Arial"/>
          <w:sz w:val="20"/>
          <w:szCs w:val="20"/>
        </w:rPr>
        <w:t>:</w:t>
      </w:r>
      <w:r w:rsidR="00CE5A25" w:rsidRPr="00CE5A25">
        <w:rPr>
          <w:rFonts w:ascii="Arial" w:hAnsi="Arial" w:cs="Arial"/>
          <w:sz w:val="20"/>
          <w:szCs w:val="20"/>
        </w:rPr>
        <w:t xml:space="preserve"> This part of IEC 62002 is a radio access specification for mobile, portable and hand-held portable devices capable of receiving DVB-T/H services. It includes informative system aspects as well as specifications for minimum RF-performance. It covers terminals in three main classes, namely integrated car terminals, portable digital TV sets and hand-held portable convergence terminals. Interoperability with integrated cellular radios is also considered.</w:t>
      </w:r>
    </w:p>
    <w:p w:rsidR="00CE5A25" w:rsidRDefault="00ED2DB7" w:rsidP="00D6091F">
      <w:pPr>
        <w:tabs>
          <w:tab w:val="right" w:leader="dot" w:pos="9000"/>
        </w:tabs>
        <w:autoSpaceDE w:val="0"/>
        <w:autoSpaceDN w:val="0"/>
        <w:adjustRightInd w:val="0"/>
      </w:pPr>
      <w:hyperlink r:id="rId8" w:history="1">
        <w:r w:rsidR="00CE5A25">
          <w:rPr>
            <w:rStyle w:val="Hyperlink"/>
          </w:rPr>
          <w:t>https://webstore.iec.ch/preview/info_iec62002-1%7Bed2.0%7Den.pdf</w:t>
        </w:r>
      </w:hyperlink>
    </w:p>
    <w:p w:rsidR="00CE5A25" w:rsidRDefault="00CE5A25" w:rsidP="00D6091F">
      <w:pPr>
        <w:tabs>
          <w:tab w:val="right" w:leader="dot" w:pos="9000"/>
        </w:tabs>
        <w:autoSpaceDE w:val="0"/>
        <w:autoSpaceDN w:val="0"/>
        <w:adjustRightInd w:val="0"/>
        <w:rPr>
          <w:rFonts w:ascii="Arial" w:hAnsi="Arial" w:cs="Arial"/>
          <w:sz w:val="20"/>
          <w:szCs w:val="20"/>
        </w:rPr>
      </w:pPr>
    </w:p>
    <w:p w:rsidR="008E54FC" w:rsidRPr="008E54FC" w:rsidRDefault="008E54FC" w:rsidP="008E54FC">
      <w:pPr>
        <w:pStyle w:val="ListParagraph"/>
        <w:numPr>
          <w:ilvl w:val="0"/>
          <w:numId w:val="53"/>
        </w:numPr>
        <w:autoSpaceDE w:val="0"/>
        <w:autoSpaceDN w:val="0"/>
        <w:adjustRightInd w:val="0"/>
        <w:rPr>
          <w:rFonts w:ascii="Calibri" w:hAnsi="Calibri"/>
          <w:color w:val="000000"/>
          <w:sz w:val="22"/>
          <w:szCs w:val="22"/>
        </w:rPr>
      </w:pPr>
      <w:r w:rsidRPr="00A5709E">
        <w:rPr>
          <w:rFonts w:ascii="Arial" w:hAnsi="Arial" w:cs="Arial"/>
          <w:b/>
          <w:sz w:val="20"/>
          <w:szCs w:val="20"/>
        </w:rPr>
        <w:t>Number</w:t>
      </w:r>
      <w:r>
        <w:rPr>
          <w:rFonts w:ascii="Arial" w:hAnsi="Arial" w:cs="Arial"/>
          <w:sz w:val="20"/>
          <w:szCs w:val="20"/>
        </w:rPr>
        <w:t>:</w:t>
      </w:r>
      <w:r w:rsidRPr="00A5709E">
        <w:t xml:space="preserve"> </w:t>
      </w:r>
      <w:r w:rsidRPr="008E54FC">
        <w:rPr>
          <w:rFonts w:ascii="Calibri" w:hAnsi="Calibri"/>
          <w:color w:val="000000"/>
          <w:sz w:val="22"/>
          <w:szCs w:val="22"/>
        </w:rPr>
        <w:t>KS IEC 62002-2:2008</w:t>
      </w:r>
    </w:p>
    <w:p w:rsidR="008E54FC" w:rsidRDefault="008E54FC" w:rsidP="008E54FC">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 Mobile and portable DVB-T/H radio access Part 2: Interface conformance testing, First Edition</w:t>
      </w:r>
    </w:p>
    <w:p w:rsidR="008E54FC" w:rsidRPr="00CE5A25" w:rsidRDefault="008E54FC" w:rsidP="008E54FC">
      <w:pPr>
        <w:tabs>
          <w:tab w:val="right" w:leader="dot" w:pos="9000"/>
        </w:tabs>
        <w:autoSpaceDE w:val="0"/>
        <w:autoSpaceDN w:val="0"/>
        <w:adjustRightInd w:val="0"/>
        <w:rPr>
          <w:rFonts w:ascii="Arial" w:hAnsi="Arial" w:cs="Arial"/>
          <w:sz w:val="20"/>
          <w:szCs w:val="20"/>
        </w:rPr>
      </w:pPr>
      <w:r w:rsidRPr="00CE5A25">
        <w:rPr>
          <w:rFonts w:ascii="Arial" w:hAnsi="Arial" w:cs="Arial"/>
          <w:b/>
          <w:sz w:val="20"/>
          <w:szCs w:val="20"/>
        </w:rPr>
        <w:t>Scope</w:t>
      </w:r>
      <w:r w:rsidRPr="00CE5A25">
        <w:rPr>
          <w:rFonts w:ascii="Arial" w:hAnsi="Arial" w:cs="Arial"/>
          <w:sz w:val="20"/>
          <w:szCs w:val="20"/>
        </w:rPr>
        <w:t>:</w:t>
      </w:r>
      <w:r w:rsidR="00CE5A25" w:rsidRPr="00CE5A25">
        <w:rPr>
          <w:rFonts w:ascii="Arial" w:hAnsi="Arial" w:cs="Arial"/>
          <w:sz w:val="20"/>
          <w:szCs w:val="20"/>
        </w:rPr>
        <w:t xml:space="preserve"> This part of IEC 62002 provides the conformance testing rules and guidelines for equipment built to meet the Mobile and portable DVB-T/H radio access interface specification (IEC 62002-1)</w:t>
      </w:r>
    </w:p>
    <w:p w:rsidR="00CE5A25" w:rsidRPr="00CE5A25" w:rsidRDefault="00CE5A25" w:rsidP="008E54FC">
      <w:pPr>
        <w:tabs>
          <w:tab w:val="right" w:leader="dot" w:pos="9000"/>
        </w:tabs>
        <w:autoSpaceDE w:val="0"/>
        <w:autoSpaceDN w:val="0"/>
        <w:adjustRightInd w:val="0"/>
        <w:rPr>
          <w:rFonts w:ascii="Arial" w:hAnsi="Arial" w:cs="Arial"/>
          <w:sz w:val="20"/>
          <w:szCs w:val="20"/>
        </w:rPr>
      </w:pPr>
      <w:r w:rsidRPr="00CE5A25">
        <w:rPr>
          <w:rFonts w:ascii="Arial" w:hAnsi="Arial" w:cs="Arial"/>
          <w:sz w:val="20"/>
          <w:szCs w:val="20"/>
        </w:rPr>
        <w:t>One aim is to limit the number of tests to a practical level. Nevertheless, the manufacturer is responsible of guaranteeing that the terminal fulfils all aspects of the mobile and portable DVB-T/H radio access interface specification (see IEC 62002-1)</w:t>
      </w:r>
    </w:p>
    <w:p w:rsidR="00CE5A25" w:rsidRDefault="00ED2DB7" w:rsidP="008E54FC">
      <w:pPr>
        <w:tabs>
          <w:tab w:val="right" w:leader="dot" w:pos="9000"/>
        </w:tabs>
        <w:autoSpaceDE w:val="0"/>
        <w:autoSpaceDN w:val="0"/>
        <w:adjustRightInd w:val="0"/>
      </w:pPr>
      <w:hyperlink r:id="rId9" w:history="1">
        <w:r w:rsidR="00CE5A25">
          <w:rPr>
            <w:rStyle w:val="Hyperlink"/>
          </w:rPr>
          <w:t>https://webstore.iec.ch/preview/info_iec62002-2%7Bed2.0%7Den.pdf</w:t>
        </w:r>
      </w:hyperlink>
    </w:p>
    <w:p w:rsidR="00CE5A25" w:rsidRDefault="00CE5A25" w:rsidP="008E54FC">
      <w:pPr>
        <w:tabs>
          <w:tab w:val="right" w:leader="dot" w:pos="9000"/>
        </w:tabs>
        <w:autoSpaceDE w:val="0"/>
        <w:autoSpaceDN w:val="0"/>
        <w:adjustRightInd w:val="0"/>
        <w:rPr>
          <w:rFonts w:ascii="Arial" w:hAnsi="Arial" w:cs="Arial"/>
          <w:sz w:val="20"/>
          <w:szCs w:val="20"/>
        </w:rPr>
      </w:pPr>
    </w:p>
    <w:p w:rsidR="008E54FC" w:rsidRPr="008E54FC" w:rsidRDefault="008E54FC" w:rsidP="008E54FC">
      <w:pPr>
        <w:pStyle w:val="ListParagraph"/>
        <w:numPr>
          <w:ilvl w:val="0"/>
          <w:numId w:val="53"/>
        </w:numPr>
        <w:autoSpaceDE w:val="0"/>
        <w:autoSpaceDN w:val="0"/>
        <w:adjustRightInd w:val="0"/>
        <w:rPr>
          <w:rFonts w:ascii="Calibri" w:hAnsi="Calibri"/>
          <w:color w:val="000000"/>
          <w:sz w:val="22"/>
          <w:szCs w:val="22"/>
        </w:rPr>
      </w:pPr>
      <w:r w:rsidRPr="00A5709E">
        <w:rPr>
          <w:rFonts w:ascii="Arial" w:hAnsi="Arial" w:cs="Arial"/>
          <w:b/>
          <w:sz w:val="20"/>
          <w:szCs w:val="20"/>
        </w:rPr>
        <w:t>Number</w:t>
      </w:r>
      <w:r>
        <w:rPr>
          <w:rFonts w:ascii="Arial" w:hAnsi="Arial" w:cs="Arial"/>
          <w:sz w:val="20"/>
          <w:szCs w:val="20"/>
        </w:rPr>
        <w:t>:</w:t>
      </w:r>
      <w:r w:rsidRPr="00A5709E">
        <w:t xml:space="preserve"> </w:t>
      </w:r>
      <w:r w:rsidRPr="008E54FC">
        <w:rPr>
          <w:rFonts w:ascii="Calibri" w:hAnsi="Calibri"/>
          <w:color w:val="000000"/>
          <w:sz w:val="22"/>
          <w:szCs w:val="22"/>
        </w:rPr>
        <w:t>KS IEC/TR 62002-3:2008</w:t>
      </w:r>
    </w:p>
    <w:p w:rsidR="008E54FC" w:rsidRDefault="008E54FC" w:rsidP="008E54FC">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 Mobile and portable DVB-T/H radio access Part 3: Measurement Interface, First Edition</w:t>
      </w:r>
    </w:p>
    <w:p w:rsidR="008E54FC" w:rsidRPr="00CE5A25" w:rsidRDefault="008E54FC" w:rsidP="00CE5A25">
      <w:pPr>
        <w:tabs>
          <w:tab w:val="right" w:leader="dot" w:pos="9000"/>
        </w:tabs>
        <w:autoSpaceDE w:val="0"/>
        <w:autoSpaceDN w:val="0"/>
        <w:adjustRightInd w:val="0"/>
        <w:rPr>
          <w:rFonts w:ascii="Arial" w:hAnsi="Arial" w:cs="Arial"/>
          <w:sz w:val="20"/>
          <w:szCs w:val="20"/>
        </w:rPr>
      </w:pPr>
      <w:r w:rsidRPr="00CE5A25">
        <w:rPr>
          <w:rFonts w:ascii="Arial" w:hAnsi="Arial" w:cs="Arial"/>
          <w:b/>
          <w:sz w:val="20"/>
          <w:szCs w:val="20"/>
        </w:rPr>
        <w:t>Scope</w:t>
      </w:r>
      <w:r w:rsidRPr="00CE5A25">
        <w:rPr>
          <w:rFonts w:ascii="Arial" w:hAnsi="Arial" w:cs="Arial"/>
          <w:sz w:val="20"/>
          <w:szCs w:val="20"/>
        </w:rPr>
        <w:t>:</w:t>
      </w:r>
      <w:r w:rsidR="00CE5A25" w:rsidRPr="00CE5A25">
        <w:rPr>
          <w:rFonts w:ascii="Arial" w:hAnsi="Arial" w:cs="Arial"/>
          <w:sz w:val="20"/>
          <w:szCs w:val="20"/>
        </w:rPr>
        <w:t xml:space="preserve"> This Technical Report is defining the minimum requirements for a terminal measurement interface to be used in test systems designed to verify the terminal conformance according IEC 62002-1 and IEC 62002-2. The interface is especially designed to be used with terminal category c), hand-held portable convergence terminals, but can obviously be used with other terminal categories as well (see IEC 62002-1, Clause 4). The measurement interface is used to control the terminal and read the degradation information from the terminal. The test signal interface (terminal input) is specified in the IEC 62002-2 and is not part of this Technical Report.</w:t>
      </w:r>
    </w:p>
    <w:p w:rsidR="00CE5A25" w:rsidRDefault="00ED2DB7" w:rsidP="008E54FC">
      <w:pPr>
        <w:tabs>
          <w:tab w:val="right" w:leader="dot" w:pos="9000"/>
        </w:tabs>
        <w:autoSpaceDE w:val="0"/>
        <w:autoSpaceDN w:val="0"/>
        <w:adjustRightInd w:val="0"/>
      </w:pPr>
      <w:hyperlink r:id="rId10" w:history="1">
        <w:r w:rsidR="00CE5A25">
          <w:rPr>
            <w:rStyle w:val="Hyperlink"/>
          </w:rPr>
          <w:t>https://webstore.iec.ch/preview/info_iec62002-3%7Bed1.0%7Den.pdf</w:t>
        </w:r>
      </w:hyperlink>
    </w:p>
    <w:p w:rsidR="00CE5A25" w:rsidRDefault="00CE5A25" w:rsidP="008E54FC">
      <w:pPr>
        <w:tabs>
          <w:tab w:val="right" w:leader="dot" w:pos="9000"/>
        </w:tabs>
        <w:autoSpaceDE w:val="0"/>
        <w:autoSpaceDN w:val="0"/>
        <w:adjustRightInd w:val="0"/>
        <w:rPr>
          <w:rFonts w:ascii="Arial" w:hAnsi="Arial" w:cs="Arial"/>
          <w:sz w:val="20"/>
          <w:szCs w:val="20"/>
        </w:rPr>
      </w:pPr>
    </w:p>
    <w:p w:rsidR="008E54FC" w:rsidRPr="008E54FC" w:rsidRDefault="008E54FC" w:rsidP="008E54FC">
      <w:pPr>
        <w:pStyle w:val="ListParagraph"/>
        <w:numPr>
          <w:ilvl w:val="0"/>
          <w:numId w:val="53"/>
        </w:numPr>
        <w:autoSpaceDE w:val="0"/>
        <w:autoSpaceDN w:val="0"/>
        <w:adjustRightInd w:val="0"/>
        <w:rPr>
          <w:rFonts w:ascii="Calibri" w:hAnsi="Calibri"/>
          <w:color w:val="000000"/>
          <w:sz w:val="22"/>
          <w:szCs w:val="22"/>
        </w:rPr>
      </w:pPr>
      <w:r w:rsidRPr="00A5709E">
        <w:rPr>
          <w:rFonts w:ascii="Arial" w:hAnsi="Arial" w:cs="Arial"/>
          <w:b/>
          <w:sz w:val="20"/>
          <w:szCs w:val="20"/>
        </w:rPr>
        <w:t>Number</w:t>
      </w:r>
      <w:r>
        <w:rPr>
          <w:rFonts w:ascii="Arial" w:hAnsi="Arial" w:cs="Arial"/>
          <w:sz w:val="20"/>
          <w:szCs w:val="20"/>
        </w:rPr>
        <w:t>:</w:t>
      </w:r>
      <w:r w:rsidRPr="00A5709E">
        <w:t xml:space="preserve"> </w:t>
      </w:r>
      <w:r w:rsidRPr="008E54FC">
        <w:rPr>
          <w:rFonts w:ascii="Calibri" w:hAnsi="Calibri"/>
          <w:color w:val="000000"/>
          <w:sz w:val="22"/>
          <w:szCs w:val="22"/>
        </w:rPr>
        <w:t>KS IEC/TR 62002-4:2009</w:t>
      </w:r>
    </w:p>
    <w:p w:rsidR="008E54FC" w:rsidRDefault="008E54FC" w:rsidP="008E54FC">
      <w:pPr>
        <w:autoSpaceDE w:val="0"/>
        <w:autoSpaceDN w:val="0"/>
        <w:adjustRightInd w:val="0"/>
        <w:ind w:left="54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Pr="008E54FC">
        <w:rPr>
          <w:rFonts w:ascii="Arial" w:hAnsi="Arial" w:cs="Arial"/>
          <w:sz w:val="20"/>
          <w:szCs w:val="20"/>
          <w:u w:val="dotted"/>
        </w:rPr>
        <w:t>Kenya Standard — Mobile and portable DVB-T/H radio access Part 4: Measurement methods for total radiated sensitivity in hand-held broadcast terminals, First Edition</w:t>
      </w:r>
    </w:p>
    <w:p w:rsidR="008E54FC" w:rsidRDefault="008E54FC" w:rsidP="008E54FC">
      <w:pPr>
        <w:tabs>
          <w:tab w:val="right" w:leader="dot" w:pos="9000"/>
        </w:tabs>
        <w:autoSpaceDE w:val="0"/>
        <w:autoSpaceDN w:val="0"/>
        <w:adjustRightInd w:val="0"/>
        <w:rPr>
          <w:rFonts w:ascii="Arial" w:hAnsi="Arial" w:cs="Arial"/>
          <w:sz w:val="20"/>
          <w:szCs w:val="20"/>
        </w:rPr>
      </w:pPr>
      <w:r w:rsidRPr="00CE5A25">
        <w:rPr>
          <w:rFonts w:ascii="Arial" w:hAnsi="Arial" w:cs="Arial"/>
          <w:b/>
          <w:sz w:val="20"/>
          <w:szCs w:val="20"/>
        </w:rPr>
        <w:t>Scope</w:t>
      </w:r>
      <w:r w:rsidRPr="00CE5A25">
        <w:rPr>
          <w:rFonts w:ascii="Arial" w:hAnsi="Arial" w:cs="Arial"/>
          <w:sz w:val="20"/>
          <w:szCs w:val="20"/>
        </w:rPr>
        <w:t>:</w:t>
      </w:r>
      <w:r w:rsidR="00CE5A25" w:rsidRPr="00CE5A25">
        <w:rPr>
          <w:rFonts w:ascii="Arial" w:hAnsi="Arial" w:cs="Arial"/>
          <w:sz w:val="20"/>
          <w:szCs w:val="20"/>
        </w:rPr>
        <w:t xml:space="preserve"> This part of IEC 62002 gives a standard method to test Total Radiated Sensitivity (TRS) of a category c) terminal specified in IEC 62002-1. This is a practical measure of the radiated sensitivity as it takes into account both the terminal antenna efficiency and possible terminal generated additional noise. Moreover, it can be used directly in the link budget calculations for the network coverage predictions. The motivation for the TR has been the lack of suitable measurement methods to </w:t>
      </w:r>
      <w:proofErr w:type="spellStart"/>
      <w:r w:rsidR="00CE5A25" w:rsidRPr="00CE5A25">
        <w:rPr>
          <w:rFonts w:ascii="Arial" w:hAnsi="Arial" w:cs="Arial"/>
          <w:sz w:val="20"/>
          <w:szCs w:val="20"/>
        </w:rPr>
        <w:t>characterise</w:t>
      </w:r>
      <w:proofErr w:type="spellEnd"/>
      <w:r w:rsidR="00CE5A25" w:rsidRPr="00CE5A25">
        <w:rPr>
          <w:rFonts w:ascii="Arial" w:hAnsi="Arial" w:cs="Arial"/>
          <w:sz w:val="20"/>
          <w:szCs w:val="20"/>
        </w:rPr>
        <w:t xml:space="preserve"> the terminal antenna in a common and practical way. As the 3GPP TR 25.914 method is </w:t>
      </w:r>
      <w:r w:rsidR="00CE5A25" w:rsidRPr="00CE5A25">
        <w:rPr>
          <w:rFonts w:ascii="Arial" w:hAnsi="Arial" w:cs="Arial"/>
          <w:sz w:val="20"/>
          <w:szCs w:val="20"/>
        </w:rPr>
        <w:lastRenderedPageBreak/>
        <w:t>in many ways suitable for the task, it was decided to develop a simplified version of this method by taking into account the special requirements for broadcast terminals. The test method applies to terminals in terminal category c) with either internal or external antennas. The effect of the user on the antenna radiation pattern is not taken into account</w:t>
      </w:r>
      <w:r w:rsidR="00CE5A25">
        <w:rPr>
          <w:rFonts w:ascii="Arial" w:hAnsi="Arial" w:cs="Arial"/>
          <w:sz w:val="20"/>
          <w:szCs w:val="20"/>
        </w:rPr>
        <w:t>.</w:t>
      </w:r>
    </w:p>
    <w:p w:rsidR="00CE5A25" w:rsidRPr="00CE5A25" w:rsidRDefault="00CE5A25" w:rsidP="00CE5A25">
      <w:pPr>
        <w:tabs>
          <w:tab w:val="right" w:leader="dot" w:pos="9000"/>
        </w:tabs>
        <w:autoSpaceDE w:val="0"/>
        <w:autoSpaceDN w:val="0"/>
        <w:adjustRightInd w:val="0"/>
        <w:rPr>
          <w:rFonts w:ascii="Arial" w:hAnsi="Arial" w:cs="Arial"/>
          <w:sz w:val="20"/>
          <w:szCs w:val="20"/>
        </w:rPr>
      </w:pPr>
      <w:r w:rsidRPr="00CE5A25">
        <w:rPr>
          <w:rFonts w:ascii="Arial" w:hAnsi="Arial" w:cs="Arial"/>
          <w:sz w:val="20"/>
          <w:szCs w:val="20"/>
        </w:rPr>
        <w:t xml:space="preserve">The method is based on a 3-D radiation pattern measurement. At first a full 3-D 4π sensitivity measurement is performed at three frequencies with both </w:t>
      </w:r>
      <w:proofErr w:type="spellStart"/>
      <w:r w:rsidRPr="00CE5A25">
        <w:rPr>
          <w:rFonts w:ascii="Arial" w:hAnsi="Arial" w:cs="Arial"/>
          <w:sz w:val="20"/>
          <w:szCs w:val="20"/>
        </w:rPr>
        <w:t>polarisations</w:t>
      </w:r>
      <w:proofErr w:type="spellEnd"/>
      <w:r w:rsidRPr="00CE5A25">
        <w:rPr>
          <w:rFonts w:ascii="Arial" w:hAnsi="Arial" w:cs="Arial"/>
          <w:sz w:val="20"/>
          <w:szCs w:val="20"/>
        </w:rPr>
        <w:t>. From this measurement the TRS at these frequencies can be calculated. The best direction for sensitivity at the middle frequency is observed and then the Effective Isotropic Sensitivity (EIS) is measured in this direction at all specified reception channels. It is assumed that the average difference between the measured EIS and TRS is valid also for the other frequencies and thus the TRS at all specified channels can be calculated.</w:t>
      </w:r>
    </w:p>
    <w:p w:rsidR="008E54FC" w:rsidRDefault="00ED2DB7" w:rsidP="008E54FC">
      <w:pPr>
        <w:tabs>
          <w:tab w:val="right" w:leader="dot" w:pos="3600"/>
        </w:tabs>
        <w:autoSpaceDE w:val="0"/>
        <w:autoSpaceDN w:val="0"/>
        <w:adjustRightInd w:val="0"/>
        <w:rPr>
          <w:rFonts w:ascii="Arial" w:hAnsi="Arial" w:cs="Arial"/>
          <w:bCs/>
          <w:sz w:val="20"/>
          <w:szCs w:val="20"/>
        </w:rPr>
      </w:pPr>
      <w:hyperlink r:id="rId11" w:history="1">
        <w:r w:rsidR="00CE5A25">
          <w:rPr>
            <w:rStyle w:val="Hyperlink"/>
          </w:rPr>
          <w:t>https://webstore.iec.ch/preview/info_iec62002-4%7Bed1.0%7Den.pdf</w:t>
        </w:r>
      </w:hyperlink>
    </w:p>
    <w:p w:rsidR="00D6091F" w:rsidRDefault="00D6091F" w:rsidP="0017389A">
      <w:pPr>
        <w:tabs>
          <w:tab w:val="right" w:leader="dot" w:pos="3600"/>
        </w:tabs>
        <w:autoSpaceDE w:val="0"/>
        <w:autoSpaceDN w:val="0"/>
        <w:adjustRightInd w:val="0"/>
        <w:rPr>
          <w:rFonts w:ascii="Arial" w:hAnsi="Arial" w:cs="Arial"/>
          <w:bCs/>
          <w:sz w:val="20"/>
          <w:szCs w:val="20"/>
        </w:rPr>
      </w:pPr>
    </w:p>
    <w:p w:rsidR="00D6091F" w:rsidRDefault="00D6091F" w:rsidP="0017389A">
      <w:pPr>
        <w:tabs>
          <w:tab w:val="right" w:leader="dot" w:pos="3600"/>
        </w:tabs>
        <w:autoSpaceDE w:val="0"/>
        <w:autoSpaceDN w:val="0"/>
        <w:adjustRightInd w:val="0"/>
        <w:rPr>
          <w:rFonts w:ascii="Arial" w:hAnsi="Arial" w:cs="Arial"/>
          <w:bCs/>
          <w:sz w:val="20"/>
          <w:szCs w:val="20"/>
        </w:rPr>
      </w:pPr>
    </w:p>
    <w:p w:rsidR="00B44C09" w:rsidRDefault="00B44C09" w:rsidP="0017389A">
      <w:pPr>
        <w:tabs>
          <w:tab w:val="right" w:leader="dot" w:pos="3600"/>
        </w:tabs>
        <w:autoSpaceDE w:val="0"/>
        <w:autoSpaceDN w:val="0"/>
        <w:adjustRightInd w:val="0"/>
        <w:rPr>
          <w:rFonts w:ascii="Arial" w:hAnsi="Arial" w:cs="Arial"/>
          <w:bCs/>
          <w:sz w:val="20"/>
          <w:szCs w:val="20"/>
        </w:rPr>
        <w:sectPr w:rsidR="00B44C09" w:rsidSect="00E70218">
          <w:pgSz w:w="11909" w:h="16834" w:code="9"/>
          <w:pgMar w:top="1260" w:right="1440" w:bottom="1440" w:left="1440" w:header="720" w:footer="720" w:gutter="0"/>
          <w:pgNumType w:start="1"/>
          <w:cols w:space="720"/>
          <w:titlePg/>
          <w:docGrid w:linePitch="360"/>
        </w:sectPr>
      </w:pPr>
    </w:p>
    <w:p w:rsidR="00B44C09" w:rsidRPr="000112E3" w:rsidRDefault="00D6091F" w:rsidP="00B44C09">
      <w:pPr>
        <w:autoSpaceDE w:val="0"/>
        <w:autoSpaceDN w:val="0"/>
        <w:adjustRightInd w:val="0"/>
        <w:jc w:val="center"/>
        <w:rPr>
          <w:rFonts w:ascii="Arial" w:hAnsi="Arial" w:cs="Arial"/>
          <w:b/>
          <w:lang w:val="en-GB"/>
        </w:rPr>
      </w:pPr>
      <w:r>
        <w:rPr>
          <w:rFonts w:ascii="Arial" w:hAnsi="Arial" w:cs="Arial"/>
          <w:b/>
          <w:bCs/>
          <w:sz w:val="20"/>
          <w:szCs w:val="20"/>
        </w:rPr>
        <w:lastRenderedPageBreak/>
        <w:t>CONFIRMATION</w:t>
      </w:r>
      <w:r w:rsidRPr="00E70218">
        <w:rPr>
          <w:rFonts w:ascii="Arial" w:hAnsi="Arial" w:cs="Arial"/>
          <w:b/>
          <w:bCs/>
          <w:sz w:val="20"/>
          <w:szCs w:val="20"/>
        </w:rPr>
        <w:t xml:space="preserve"> PROPOSAL</w:t>
      </w:r>
    </w:p>
    <w:p w:rsidR="00B44C09" w:rsidRDefault="00B44C09" w:rsidP="00B44C09">
      <w:pPr>
        <w:rPr>
          <w:rFonts w:ascii="Arial" w:hAnsi="Arial" w:cs="Arial"/>
          <w:sz w:val="20"/>
        </w:rPr>
      </w:pPr>
    </w:p>
    <w:p w:rsidR="00B44C09" w:rsidRDefault="00B44C09" w:rsidP="00B44C09">
      <w:pPr>
        <w:jc w:val="right"/>
        <w:rPr>
          <w:rFonts w:ascii="Arial" w:hAnsi="Arial" w:cs="Arial"/>
          <w:sz w:val="20"/>
        </w:rPr>
      </w:pPr>
    </w:p>
    <w:tbl>
      <w:tblPr>
        <w:tblW w:w="153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890"/>
        <w:gridCol w:w="1800"/>
        <w:gridCol w:w="2160"/>
        <w:gridCol w:w="1350"/>
        <w:gridCol w:w="1350"/>
        <w:gridCol w:w="1350"/>
        <w:gridCol w:w="4410"/>
      </w:tblGrid>
      <w:tr w:rsidR="00042921" w:rsidTr="00042921">
        <w:tc>
          <w:tcPr>
            <w:tcW w:w="990" w:type="dxa"/>
            <w:tcBorders>
              <w:bottom w:val="nil"/>
            </w:tcBorders>
          </w:tcPr>
          <w:p w:rsidR="00042921" w:rsidRPr="001D7A55" w:rsidRDefault="00042921" w:rsidP="00166644">
            <w:pPr>
              <w:jc w:val="left"/>
              <w:rPr>
                <w:rFonts w:ascii="Arial" w:hAnsi="Arial" w:cs="Arial"/>
                <w:b/>
                <w:sz w:val="20"/>
              </w:rPr>
            </w:pPr>
            <w:r>
              <w:rPr>
                <w:rFonts w:ascii="Arial" w:hAnsi="Arial" w:cs="Arial"/>
                <w:b/>
                <w:sz w:val="20"/>
              </w:rPr>
              <w:t>S/N0.</w:t>
            </w:r>
          </w:p>
        </w:tc>
        <w:tc>
          <w:tcPr>
            <w:tcW w:w="1890" w:type="dxa"/>
            <w:vMerge w:val="restart"/>
          </w:tcPr>
          <w:p w:rsidR="00042921" w:rsidRPr="001D7A55" w:rsidRDefault="00042921" w:rsidP="00166644">
            <w:pPr>
              <w:jc w:val="left"/>
              <w:rPr>
                <w:rFonts w:ascii="Arial" w:hAnsi="Arial" w:cs="Arial"/>
                <w:b/>
                <w:sz w:val="20"/>
              </w:rPr>
            </w:pPr>
            <w:r w:rsidRPr="001D7A55">
              <w:rPr>
                <w:rFonts w:ascii="Arial" w:hAnsi="Arial" w:cs="Arial"/>
                <w:b/>
                <w:sz w:val="20"/>
              </w:rPr>
              <w:t>Standard Number</w:t>
            </w:r>
          </w:p>
        </w:tc>
        <w:tc>
          <w:tcPr>
            <w:tcW w:w="1800" w:type="dxa"/>
            <w:vMerge w:val="restart"/>
          </w:tcPr>
          <w:p w:rsidR="00042921" w:rsidRPr="001D7A55" w:rsidRDefault="00042921" w:rsidP="00166644">
            <w:pPr>
              <w:jc w:val="left"/>
              <w:rPr>
                <w:rFonts w:ascii="Arial" w:hAnsi="Arial" w:cs="Arial"/>
                <w:b/>
                <w:sz w:val="20"/>
              </w:rPr>
            </w:pPr>
            <w:r w:rsidRPr="00B44C09">
              <w:rPr>
                <w:rFonts w:ascii="Arial" w:hAnsi="Arial" w:cs="Arial"/>
                <w:b/>
                <w:sz w:val="20"/>
                <w:szCs w:val="20"/>
              </w:rPr>
              <w:t>I accept the proposal to confirm the Kenya Standard(s) as current</w:t>
            </w:r>
          </w:p>
        </w:tc>
        <w:tc>
          <w:tcPr>
            <w:tcW w:w="2160" w:type="dxa"/>
            <w:vMerge w:val="restart"/>
          </w:tcPr>
          <w:p w:rsidR="00042921" w:rsidRPr="001D7A55" w:rsidRDefault="00042921" w:rsidP="00166644">
            <w:pPr>
              <w:jc w:val="left"/>
              <w:rPr>
                <w:rFonts w:ascii="Arial" w:hAnsi="Arial" w:cs="Arial"/>
                <w:b/>
                <w:sz w:val="20"/>
              </w:rPr>
            </w:pPr>
            <w:r w:rsidRPr="00B44C09">
              <w:rPr>
                <w:rFonts w:ascii="Arial" w:hAnsi="Arial" w:cs="Arial"/>
                <w:b/>
                <w:sz w:val="20"/>
                <w:szCs w:val="20"/>
              </w:rPr>
              <w:t>I object to the proposal to confirm the Kenya Standard as current</w:t>
            </w:r>
          </w:p>
        </w:tc>
        <w:tc>
          <w:tcPr>
            <w:tcW w:w="4050" w:type="dxa"/>
            <w:gridSpan w:val="3"/>
          </w:tcPr>
          <w:p w:rsidR="00042921" w:rsidRPr="001D7A55" w:rsidRDefault="00042921" w:rsidP="00FB0305">
            <w:pPr>
              <w:jc w:val="left"/>
              <w:rPr>
                <w:rFonts w:ascii="Arial" w:hAnsi="Arial" w:cs="Arial"/>
                <w:b/>
                <w:sz w:val="20"/>
              </w:rPr>
            </w:pPr>
            <w:r w:rsidRPr="00FB0305">
              <w:rPr>
                <w:rFonts w:ascii="Arial" w:hAnsi="Arial" w:cs="Arial"/>
                <w:b/>
                <w:sz w:val="20"/>
              </w:rPr>
              <w:t>Our proposed action</w:t>
            </w:r>
            <w:r>
              <w:rPr>
                <w:rFonts w:ascii="Arial" w:hAnsi="Arial" w:cs="Arial"/>
                <w:b/>
                <w:sz w:val="20"/>
              </w:rPr>
              <w:t xml:space="preserve"> (to be filled in case of objection to confirmation)</w:t>
            </w:r>
          </w:p>
        </w:tc>
        <w:tc>
          <w:tcPr>
            <w:tcW w:w="4410" w:type="dxa"/>
            <w:vMerge w:val="restart"/>
          </w:tcPr>
          <w:p w:rsidR="00042921" w:rsidRPr="001D7A55" w:rsidRDefault="00042921" w:rsidP="00166644">
            <w:pPr>
              <w:jc w:val="left"/>
              <w:rPr>
                <w:rFonts w:ascii="Arial" w:hAnsi="Arial" w:cs="Arial"/>
                <w:b/>
                <w:sz w:val="20"/>
              </w:rPr>
            </w:pPr>
            <w:r w:rsidRPr="00B44C09">
              <w:rPr>
                <w:rFonts w:ascii="Arial" w:hAnsi="Arial" w:cs="Arial"/>
                <w:b/>
                <w:sz w:val="20"/>
              </w:rPr>
              <w:t>Our justification for the objection of the proposed confirmation is as follows (cite specific clauses and wording preferred)</w:t>
            </w:r>
          </w:p>
        </w:tc>
      </w:tr>
      <w:tr w:rsidR="00042921" w:rsidTr="00042921">
        <w:tc>
          <w:tcPr>
            <w:tcW w:w="990" w:type="dxa"/>
            <w:tcBorders>
              <w:top w:val="nil"/>
              <w:bottom w:val="single" w:sz="4" w:space="0" w:color="auto"/>
            </w:tcBorders>
          </w:tcPr>
          <w:p w:rsidR="00042921" w:rsidRPr="001D7A55" w:rsidRDefault="00042921" w:rsidP="00166644">
            <w:pPr>
              <w:jc w:val="left"/>
              <w:rPr>
                <w:rFonts w:ascii="Arial" w:hAnsi="Arial" w:cs="Arial"/>
                <w:b/>
                <w:sz w:val="20"/>
              </w:rPr>
            </w:pPr>
          </w:p>
        </w:tc>
        <w:tc>
          <w:tcPr>
            <w:tcW w:w="1890" w:type="dxa"/>
            <w:vMerge/>
          </w:tcPr>
          <w:p w:rsidR="00042921" w:rsidRPr="001D7A55" w:rsidRDefault="00042921" w:rsidP="00166644">
            <w:pPr>
              <w:jc w:val="left"/>
              <w:rPr>
                <w:rFonts w:ascii="Arial" w:hAnsi="Arial" w:cs="Arial"/>
                <w:b/>
                <w:sz w:val="20"/>
              </w:rPr>
            </w:pPr>
          </w:p>
        </w:tc>
        <w:tc>
          <w:tcPr>
            <w:tcW w:w="1800" w:type="dxa"/>
            <w:vMerge/>
          </w:tcPr>
          <w:p w:rsidR="00042921" w:rsidRPr="00B44C09" w:rsidRDefault="00042921" w:rsidP="00166644">
            <w:pPr>
              <w:jc w:val="left"/>
              <w:rPr>
                <w:rFonts w:ascii="Arial" w:hAnsi="Arial" w:cs="Arial"/>
                <w:b/>
                <w:sz w:val="20"/>
                <w:szCs w:val="20"/>
              </w:rPr>
            </w:pPr>
          </w:p>
        </w:tc>
        <w:tc>
          <w:tcPr>
            <w:tcW w:w="2160" w:type="dxa"/>
            <w:vMerge/>
          </w:tcPr>
          <w:p w:rsidR="00042921" w:rsidRPr="00B44C09" w:rsidRDefault="00042921" w:rsidP="00166644">
            <w:pPr>
              <w:jc w:val="left"/>
              <w:rPr>
                <w:rFonts w:ascii="Arial" w:hAnsi="Arial" w:cs="Arial"/>
                <w:b/>
                <w:sz w:val="20"/>
                <w:szCs w:val="20"/>
              </w:rPr>
            </w:pPr>
          </w:p>
        </w:tc>
        <w:tc>
          <w:tcPr>
            <w:tcW w:w="1350" w:type="dxa"/>
          </w:tcPr>
          <w:p w:rsidR="00042921" w:rsidRDefault="00042921" w:rsidP="00166644">
            <w:pPr>
              <w:jc w:val="left"/>
              <w:rPr>
                <w:rFonts w:ascii="Arial" w:hAnsi="Arial" w:cs="Arial"/>
                <w:b/>
                <w:sz w:val="20"/>
              </w:rPr>
            </w:pPr>
            <w:r>
              <w:rPr>
                <w:rFonts w:ascii="Arial" w:hAnsi="Arial" w:cs="Arial"/>
                <w:color w:val="000000"/>
                <w:sz w:val="20"/>
                <w:szCs w:val="20"/>
              </w:rPr>
              <w:t xml:space="preserve">Revision     </w:t>
            </w:r>
          </w:p>
        </w:tc>
        <w:tc>
          <w:tcPr>
            <w:tcW w:w="1350" w:type="dxa"/>
          </w:tcPr>
          <w:p w:rsidR="00042921" w:rsidRDefault="00042921" w:rsidP="00166644">
            <w:pPr>
              <w:jc w:val="left"/>
              <w:rPr>
                <w:rFonts w:ascii="Arial" w:hAnsi="Arial" w:cs="Arial"/>
                <w:b/>
                <w:sz w:val="20"/>
              </w:rPr>
            </w:pPr>
            <w:r>
              <w:rPr>
                <w:rFonts w:ascii="Arial" w:hAnsi="Arial" w:cs="Arial"/>
                <w:color w:val="000000"/>
                <w:sz w:val="20"/>
                <w:szCs w:val="20"/>
              </w:rPr>
              <w:t xml:space="preserve">Amendment  </w:t>
            </w:r>
          </w:p>
        </w:tc>
        <w:tc>
          <w:tcPr>
            <w:tcW w:w="1350" w:type="dxa"/>
          </w:tcPr>
          <w:p w:rsidR="00042921" w:rsidRDefault="00042921" w:rsidP="00166644">
            <w:pPr>
              <w:jc w:val="left"/>
              <w:rPr>
                <w:rFonts w:ascii="Arial" w:hAnsi="Arial" w:cs="Arial"/>
                <w:b/>
                <w:sz w:val="20"/>
              </w:rPr>
            </w:pPr>
            <w:r>
              <w:rPr>
                <w:rFonts w:ascii="Arial" w:hAnsi="Arial" w:cs="Arial"/>
                <w:color w:val="000000"/>
                <w:sz w:val="20"/>
                <w:szCs w:val="20"/>
              </w:rPr>
              <w:t xml:space="preserve">Withdrawal    </w:t>
            </w:r>
          </w:p>
        </w:tc>
        <w:tc>
          <w:tcPr>
            <w:tcW w:w="4410" w:type="dxa"/>
            <w:vMerge/>
          </w:tcPr>
          <w:p w:rsidR="00042921" w:rsidRPr="00B44C09" w:rsidRDefault="00042921" w:rsidP="00166644">
            <w:pPr>
              <w:jc w:val="left"/>
              <w:rPr>
                <w:rFonts w:ascii="Arial" w:hAnsi="Arial" w:cs="Arial"/>
                <w:b/>
                <w:sz w:val="20"/>
              </w:rPr>
            </w:pPr>
          </w:p>
        </w:tc>
      </w:tr>
      <w:tr w:rsidR="00BB2AC8" w:rsidTr="00BB2A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BB2AC8" w:rsidRPr="00042921" w:rsidRDefault="00BB2AC8"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BB2AC8" w:rsidRPr="009747B3" w:rsidRDefault="00BB2AC8" w:rsidP="008E54FC">
            <w:pPr>
              <w:jc w:val="left"/>
              <w:rPr>
                <w:rFonts w:ascii="Calibri" w:hAnsi="Calibri"/>
                <w:color w:val="000000"/>
                <w:sz w:val="22"/>
                <w:szCs w:val="22"/>
              </w:rPr>
            </w:pPr>
            <w:r w:rsidRPr="009747B3">
              <w:rPr>
                <w:rFonts w:ascii="Calibri" w:hAnsi="Calibri"/>
                <w:color w:val="000000"/>
                <w:sz w:val="22"/>
                <w:szCs w:val="22"/>
              </w:rPr>
              <w:t xml:space="preserve">KS </w:t>
            </w:r>
            <w:r>
              <w:rPr>
                <w:rFonts w:ascii="Calibri" w:hAnsi="Calibri"/>
                <w:color w:val="000000"/>
                <w:sz w:val="22"/>
                <w:szCs w:val="22"/>
              </w:rPr>
              <w:t>600</w:t>
            </w:r>
            <w:r w:rsidRPr="009747B3">
              <w:rPr>
                <w:rFonts w:ascii="Calibri" w:hAnsi="Calibri"/>
                <w:color w:val="000000"/>
                <w:sz w:val="22"/>
                <w:szCs w:val="22"/>
              </w:rPr>
              <w:t>:</w:t>
            </w:r>
            <w:r>
              <w:rPr>
                <w:rFonts w:ascii="Calibri" w:hAnsi="Calibri"/>
                <w:color w:val="000000"/>
                <w:sz w:val="22"/>
                <w:szCs w:val="22"/>
              </w:rPr>
              <w:t>1985</w:t>
            </w:r>
          </w:p>
        </w:tc>
        <w:tc>
          <w:tcPr>
            <w:tcW w:w="18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BB2AC8" w:rsidRDefault="00BB2AC8"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BB2AC8" w:rsidRDefault="00BB2AC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BB2AC8" w:rsidRDefault="00BB2AC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BB2AC8" w:rsidRDefault="00BB2AC8"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BB2AC8" w:rsidRDefault="00BB2AC8"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BB2AC8" w:rsidRDefault="00BB2AC8" w:rsidP="00166644">
            <w:pPr>
              <w:rPr>
                <w:rFonts w:ascii="Calibri" w:hAnsi="Calibri"/>
                <w:color w:val="000000"/>
                <w:sz w:val="22"/>
                <w:szCs w:val="22"/>
              </w:rPr>
            </w:pPr>
          </w:p>
        </w:tc>
      </w:tr>
      <w:tr w:rsidR="00042921" w:rsidTr="000429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42921" w:rsidRPr="008E54FC" w:rsidRDefault="00042921" w:rsidP="008E54FC">
            <w:pPr>
              <w:jc w:val="left"/>
              <w:rPr>
                <w:rFonts w:ascii="Calibri" w:hAnsi="Calibri"/>
                <w:color w:val="000000"/>
                <w:sz w:val="22"/>
                <w:szCs w:val="22"/>
              </w:rPr>
            </w:pPr>
            <w:r w:rsidRPr="009747B3">
              <w:rPr>
                <w:rFonts w:ascii="Calibri" w:hAnsi="Calibri"/>
                <w:color w:val="000000"/>
                <w:sz w:val="22"/>
                <w:szCs w:val="22"/>
              </w:rPr>
              <w:t>KS 1590-1:2001</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r>
      <w:tr w:rsidR="00042921" w:rsidTr="00BB2A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8E54FC" w:rsidRDefault="00042921" w:rsidP="008E54FC">
            <w:pPr>
              <w:jc w:val="left"/>
              <w:rPr>
                <w:rFonts w:ascii="Calibri" w:hAnsi="Calibri"/>
                <w:color w:val="000000"/>
                <w:sz w:val="22"/>
                <w:szCs w:val="22"/>
              </w:rPr>
            </w:pPr>
            <w:r w:rsidRPr="009747B3">
              <w:rPr>
                <w:rFonts w:ascii="Calibri" w:hAnsi="Calibri"/>
                <w:color w:val="000000"/>
                <w:sz w:val="22"/>
                <w:szCs w:val="22"/>
              </w:rPr>
              <w:t>KS 1590-2:2001</w:t>
            </w:r>
          </w:p>
        </w:tc>
        <w:tc>
          <w:tcPr>
            <w:tcW w:w="18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r>
      <w:tr w:rsidR="00042921" w:rsidTr="000429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42921" w:rsidRPr="008E54FC" w:rsidRDefault="00042921" w:rsidP="008E54FC">
            <w:pPr>
              <w:jc w:val="left"/>
              <w:rPr>
                <w:rFonts w:ascii="Calibri" w:hAnsi="Calibri"/>
                <w:color w:val="000000"/>
                <w:sz w:val="22"/>
                <w:szCs w:val="22"/>
              </w:rPr>
            </w:pPr>
            <w:r>
              <w:rPr>
                <w:rFonts w:ascii="Calibri" w:hAnsi="Calibri"/>
                <w:color w:val="000000"/>
                <w:sz w:val="22"/>
                <w:szCs w:val="22"/>
              </w:rPr>
              <w:t>KS 1590-3</w:t>
            </w:r>
            <w:r w:rsidRPr="009747B3">
              <w:rPr>
                <w:rFonts w:ascii="Calibri" w:hAnsi="Calibri"/>
                <w:color w:val="000000"/>
                <w:sz w:val="22"/>
                <w:szCs w:val="22"/>
              </w:rPr>
              <w:t>:2001</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r>
      <w:tr w:rsidR="00042921" w:rsidTr="00BB2A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8E54FC">
            <w:pPr>
              <w:jc w:val="left"/>
              <w:rPr>
                <w:rFonts w:ascii="Calibri" w:hAnsi="Calibri"/>
                <w:color w:val="000000"/>
                <w:sz w:val="22"/>
                <w:szCs w:val="22"/>
              </w:rPr>
            </w:pPr>
            <w:r w:rsidRPr="009747B3">
              <w:rPr>
                <w:rFonts w:ascii="Calibri" w:hAnsi="Calibri"/>
                <w:color w:val="000000"/>
                <w:sz w:val="22"/>
                <w:szCs w:val="22"/>
              </w:rPr>
              <w:t>KS 1629:2001</w:t>
            </w:r>
          </w:p>
        </w:tc>
        <w:tc>
          <w:tcPr>
            <w:tcW w:w="18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r>
      <w:tr w:rsidR="00042921" w:rsidTr="000429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42921" w:rsidRPr="009747B3" w:rsidRDefault="00042921" w:rsidP="008E54FC">
            <w:pPr>
              <w:jc w:val="left"/>
              <w:rPr>
                <w:rFonts w:ascii="Calibri" w:hAnsi="Calibri"/>
                <w:color w:val="000000"/>
                <w:sz w:val="22"/>
                <w:szCs w:val="22"/>
              </w:rPr>
            </w:pPr>
            <w:r w:rsidRPr="005C7BDD">
              <w:rPr>
                <w:rFonts w:ascii="Calibri" w:hAnsi="Calibri"/>
                <w:color w:val="000000"/>
                <w:sz w:val="22"/>
                <w:szCs w:val="22"/>
              </w:rPr>
              <w:t>KS 1671-1:2005</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r>
      <w:tr w:rsidR="00042921" w:rsidTr="00BB2A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9747B3" w:rsidRDefault="00042921" w:rsidP="008E54FC">
            <w:pPr>
              <w:jc w:val="left"/>
              <w:rPr>
                <w:rFonts w:ascii="Calibri" w:hAnsi="Calibri"/>
                <w:color w:val="000000"/>
                <w:sz w:val="22"/>
                <w:szCs w:val="22"/>
              </w:rPr>
            </w:pPr>
            <w:r w:rsidRPr="005C7BDD">
              <w:rPr>
                <w:rFonts w:ascii="Calibri" w:hAnsi="Calibri"/>
                <w:color w:val="000000"/>
                <w:sz w:val="22"/>
                <w:szCs w:val="22"/>
              </w:rPr>
              <w:t>KS 1671-2.1:2005</w:t>
            </w:r>
          </w:p>
        </w:tc>
        <w:tc>
          <w:tcPr>
            <w:tcW w:w="18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bookmarkStart w:id="0" w:name="_GoBack"/>
            <w:bookmarkEnd w:id="0"/>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r>
      <w:tr w:rsidR="00042921" w:rsidTr="000429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42921" w:rsidRPr="005C7BDD" w:rsidRDefault="00042921" w:rsidP="008E54FC">
            <w:pPr>
              <w:jc w:val="left"/>
              <w:rPr>
                <w:rFonts w:ascii="Calibri" w:hAnsi="Calibri"/>
                <w:color w:val="000000"/>
                <w:sz w:val="22"/>
                <w:szCs w:val="22"/>
              </w:rPr>
            </w:pPr>
            <w:r w:rsidRPr="005C7BDD">
              <w:rPr>
                <w:rFonts w:ascii="Calibri" w:hAnsi="Calibri"/>
                <w:color w:val="000000"/>
                <w:sz w:val="22"/>
                <w:szCs w:val="22"/>
              </w:rPr>
              <w:t>KS 1671-2.2:2005</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r>
      <w:tr w:rsidR="00042921" w:rsidTr="00BB2A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5C7BDD" w:rsidRDefault="00042921" w:rsidP="008E54FC">
            <w:pPr>
              <w:jc w:val="left"/>
              <w:rPr>
                <w:rFonts w:ascii="Calibri" w:hAnsi="Calibri"/>
                <w:color w:val="000000"/>
                <w:sz w:val="22"/>
                <w:szCs w:val="22"/>
              </w:rPr>
            </w:pPr>
            <w:r w:rsidRPr="005C7BDD">
              <w:rPr>
                <w:rFonts w:ascii="Calibri" w:hAnsi="Calibri"/>
                <w:color w:val="000000"/>
                <w:sz w:val="22"/>
                <w:szCs w:val="22"/>
              </w:rPr>
              <w:t>KS 1671-2.3:2005</w:t>
            </w:r>
          </w:p>
        </w:tc>
        <w:tc>
          <w:tcPr>
            <w:tcW w:w="18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r>
      <w:tr w:rsidR="00042921" w:rsidTr="000429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8E54FC">
            <w:pPr>
              <w:jc w:val="left"/>
              <w:rPr>
                <w:rFonts w:ascii="Calibri" w:hAnsi="Calibri"/>
                <w:color w:val="000000"/>
                <w:sz w:val="22"/>
                <w:szCs w:val="22"/>
              </w:rPr>
            </w:pPr>
            <w:r w:rsidRPr="008E54FC">
              <w:rPr>
                <w:rFonts w:ascii="Calibri" w:hAnsi="Calibri"/>
                <w:color w:val="000000"/>
                <w:sz w:val="22"/>
                <w:szCs w:val="22"/>
              </w:rPr>
              <w:t>KS IEC 62002-1:2008</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r>
      <w:tr w:rsidR="00042921" w:rsidTr="00BB2A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8E54FC" w:rsidRDefault="00042921" w:rsidP="008E54FC">
            <w:pPr>
              <w:jc w:val="left"/>
              <w:rPr>
                <w:rFonts w:ascii="Calibri" w:hAnsi="Calibri"/>
                <w:color w:val="000000"/>
                <w:sz w:val="22"/>
                <w:szCs w:val="22"/>
              </w:rPr>
            </w:pPr>
            <w:r w:rsidRPr="008E54FC">
              <w:rPr>
                <w:rFonts w:ascii="Calibri" w:hAnsi="Calibri"/>
                <w:color w:val="000000"/>
                <w:sz w:val="22"/>
                <w:szCs w:val="22"/>
              </w:rPr>
              <w:t>KS IEC 62002-2:2008</w:t>
            </w:r>
          </w:p>
        </w:tc>
        <w:tc>
          <w:tcPr>
            <w:tcW w:w="18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r>
      <w:tr w:rsidR="00042921" w:rsidTr="000429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auto"/>
          </w:tcPr>
          <w:p w:rsidR="00042921" w:rsidRPr="008E54FC" w:rsidRDefault="00042921" w:rsidP="008E54FC">
            <w:pPr>
              <w:jc w:val="left"/>
              <w:rPr>
                <w:rFonts w:ascii="Calibri" w:hAnsi="Calibri"/>
                <w:color w:val="000000"/>
                <w:sz w:val="22"/>
                <w:szCs w:val="22"/>
              </w:rPr>
            </w:pPr>
            <w:r w:rsidRPr="008E54FC">
              <w:rPr>
                <w:rFonts w:ascii="Calibri" w:hAnsi="Calibri"/>
                <w:color w:val="000000"/>
                <w:sz w:val="22"/>
                <w:szCs w:val="22"/>
              </w:rPr>
              <w:t>KS IEC/TR 62002-3:2008</w:t>
            </w:r>
          </w:p>
        </w:tc>
        <w:tc>
          <w:tcPr>
            <w:tcW w:w="180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rsidR="00042921" w:rsidRDefault="00042921" w:rsidP="00166644">
            <w:pPr>
              <w:rPr>
                <w:rFonts w:ascii="Calibri" w:hAnsi="Calibri"/>
                <w:color w:val="000000"/>
                <w:sz w:val="22"/>
                <w:szCs w:val="22"/>
              </w:rPr>
            </w:pPr>
          </w:p>
        </w:tc>
      </w:tr>
      <w:tr w:rsidR="00042921" w:rsidTr="00BB2AC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9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042921" w:rsidRDefault="00042921" w:rsidP="00042921">
            <w:pPr>
              <w:pStyle w:val="ListParagraph"/>
              <w:numPr>
                <w:ilvl w:val="0"/>
                <w:numId w:val="54"/>
              </w:numPr>
              <w:jc w:val="left"/>
              <w:rPr>
                <w:rFonts w:ascii="Calibri" w:hAnsi="Calibri"/>
                <w:color w:val="000000"/>
                <w:sz w:val="22"/>
                <w:szCs w:val="22"/>
              </w:rPr>
            </w:pPr>
          </w:p>
        </w:tc>
        <w:tc>
          <w:tcPr>
            <w:tcW w:w="189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Pr="008E54FC" w:rsidRDefault="00042921" w:rsidP="008E54FC">
            <w:pPr>
              <w:jc w:val="left"/>
              <w:rPr>
                <w:rFonts w:ascii="Calibri" w:hAnsi="Calibri"/>
                <w:color w:val="000000"/>
                <w:sz w:val="22"/>
                <w:szCs w:val="22"/>
              </w:rPr>
            </w:pPr>
            <w:r w:rsidRPr="008E54FC">
              <w:rPr>
                <w:rFonts w:ascii="Calibri" w:hAnsi="Calibri"/>
                <w:color w:val="000000"/>
                <w:sz w:val="22"/>
                <w:szCs w:val="22"/>
              </w:rPr>
              <w:t>KS IEC/TR 62002-4:2009</w:t>
            </w:r>
          </w:p>
        </w:tc>
        <w:tc>
          <w:tcPr>
            <w:tcW w:w="180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216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13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042921" w:rsidRDefault="00042921" w:rsidP="00166644">
            <w:pPr>
              <w:rPr>
                <w:rFonts w:ascii="Calibri" w:hAnsi="Calibri"/>
                <w:color w:val="000000"/>
                <w:sz w:val="22"/>
                <w:szCs w:val="22"/>
              </w:rPr>
            </w:pPr>
          </w:p>
        </w:tc>
      </w:tr>
    </w:tbl>
    <w:p w:rsidR="00B44C09" w:rsidRDefault="00B44C09" w:rsidP="00B44C09">
      <w:pPr>
        <w:autoSpaceDE w:val="0"/>
        <w:autoSpaceDN w:val="0"/>
        <w:adjustRightInd w:val="0"/>
        <w:jc w:val="left"/>
        <w:rPr>
          <w:rFonts w:ascii="Arial" w:hAnsi="Arial" w:cs="Arial"/>
          <w:sz w:val="20"/>
        </w:rPr>
      </w:pPr>
    </w:p>
    <w:p w:rsidR="00B44C09" w:rsidRDefault="00B44C09" w:rsidP="00B44C09">
      <w:pPr>
        <w:spacing w:before="0" w:after="0"/>
        <w:jc w:val="left"/>
        <w:rPr>
          <w:rFonts w:ascii="Arial" w:hAnsi="Arial" w:cs="Arial"/>
          <w:b/>
          <w:sz w:val="20"/>
          <w:szCs w:val="20"/>
        </w:rPr>
      </w:pPr>
    </w:p>
    <w:p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t>Name and (of respondent)</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FB0305" w:rsidRDefault="00FB0305" w:rsidP="00FB0305">
      <w:pPr>
        <w:autoSpaceDE w:val="0"/>
        <w:autoSpaceDN w:val="0"/>
        <w:adjustRightInd w:val="0"/>
        <w:rPr>
          <w:rFonts w:ascii="Arial" w:hAnsi="Arial" w:cs="Arial"/>
          <w:sz w:val="20"/>
          <w:szCs w:val="20"/>
        </w:rPr>
      </w:pPr>
    </w:p>
    <w:p w:rsidR="00FB0305" w:rsidRDefault="00FB0305" w:rsidP="00FB0305">
      <w:pPr>
        <w:autoSpaceDE w:val="0"/>
        <w:autoSpaceDN w:val="0"/>
        <w:adjustRightInd w:val="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FB0305" w:rsidRDefault="00FB0305" w:rsidP="00FB0305">
      <w:pPr>
        <w:tabs>
          <w:tab w:val="right" w:leader="dot" w:pos="9000"/>
        </w:tabs>
        <w:autoSpaceDE w:val="0"/>
        <w:autoSpaceDN w:val="0"/>
        <w:adjustRightInd w:val="0"/>
        <w:rPr>
          <w:rFonts w:ascii="Arial" w:hAnsi="Arial" w:cs="Arial"/>
          <w:sz w:val="20"/>
          <w:szCs w:val="20"/>
        </w:rPr>
      </w:pPr>
    </w:p>
    <w:p w:rsidR="00FB0305" w:rsidRDefault="00FB0305" w:rsidP="00FB0305">
      <w:pPr>
        <w:tabs>
          <w:tab w:val="right" w:leader="dot" w:pos="9000"/>
        </w:tabs>
        <w:autoSpaceDE w:val="0"/>
        <w:autoSpaceDN w:val="0"/>
        <w:adjustRightInd w:val="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FB0305" w:rsidRDefault="00FB0305" w:rsidP="00FB0305">
      <w:pPr>
        <w:tabs>
          <w:tab w:val="right" w:leader="dot" w:pos="9000"/>
        </w:tabs>
        <w:autoSpaceDE w:val="0"/>
        <w:autoSpaceDN w:val="0"/>
        <w:adjustRightInd w:val="0"/>
        <w:rPr>
          <w:rFonts w:ascii="Arial" w:hAnsi="Arial" w:cs="Arial"/>
          <w:sz w:val="20"/>
          <w:szCs w:val="20"/>
        </w:rPr>
      </w:pPr>
    </w:p>
    <w:p w:rsidR="00FB0305" w:rsidRDefault="00FB0305" w:rsidP="00FB0305">
      <w:pPr>
        <w:tabs>
          <w:tab w:val="right" w:leader="dot" w:pos="9000"/>
        </w:tabs>
        <w:autoSpaceDE w:val="0"/>
        <w:autoSpaceDN w:val="0"/>
        <w:adjustRightInd w:val="0"/>
        <w:rPr>
          <w:rFonts w:ascii="Arial" w:hAnsi="Arial" w:cs="Arial"/>
          <w:sz w:val="20"/>
          <w:szCs w:val="20"/>
        </w:rPr>
      </w:pPr>
      <w:r>
        <w:rPr>
          <w:rFonts w:ascii="Arial" w:hAnsi="Arial" w:cs="Arial"/>
          <w:sz w:val="20"/>
          <w:szCs w:val="20"/>
        </w:rPr>
        <w:t>Date:</w:t>
      </w:r>
      <w:r>
        <w:rPr>
          <w:rFonts w:ascii="Arial" w:hAnsi="Arial" w:cs="Arial"/>
          <w:sz w:val="20"/>
          <w:szCs w:val="20"/>
        </w:rPr>
        <w:tab/>
      </w:r>
    </w:p>
    <w:p w:rsidR="00B44C09" w:rsidRDefault="00B44C09" w:rsidP="00B44C09">
      <w:pPr>
        <w:tabs>
          <w:tab w:val="right" w:leader="dot" w:pos="3600"/>
        </w:tabs>
        <w:autoSpaceDE w:val="0"/>
        <w:autoSpaceDN w:val="0"/>
        <w:adjustRightInd w:val="0"/>
        <w:rPr>
          <w:rFonts w:ascii="Arial" w:hAnsi="Arial" w:cs="Arial"/>
          <w:b/>
          <w:bCs/>
          <w:sz w:val="20"/>
          <w:szCs w:val="20"/>
        </w:rPr>
      </w:pPr>
    </w:p>
    <w:p w:rsidR="00AB181B" w:rsidRDefault="00AB181B" w:rsidP="0017389A">
      <w:pPr>
        <w:tabs>
          <w:tab w:val="right" w:leader="dot" w:pos="3600"/>
        </w:tabs>
        <w:autoSpaceDE w:val="0"/>
        <w:autoSpaceDN w:val="0"/>
        <w:adjustRightInd w:val="0"/>
        <w:rPr>
          <w:rFonts w:ascii="Arial" w:hAnsi="Arial" w:cs="Arial"/>
          <w:b/>
          <w:bCs/>
          <w:color w:val="000000"/>
          <w:sz w:val="20"/>
          <w:szCs w:val="20"/>
        </w:rPr>
      </w:pPr>
    </w:p>
    <w:sectPr w:rsidR="00AB181B" w:rsidSect="00B44C09">
      <w:headerReference w:type="first" r:id="rId12"/>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DB7" w:rsidRDefault="00ED2DB7">
      <w:r>
        <w:separator/>
      </w:r>
    </w:p>
  </w:endnote>
  <w:endnote w:type="continuationSeparator" w:id="0">
    <w:p w:rsidR="00ED2DB7" w:rsidRDefault="00ED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DB7" w:rsidRDefault="00ED2DB7">
      <w:r>
        <w:separator/>
      </w:r>
    </w:p>
  </w:footnote>
  <w:footnote w:type="continuationSeparator" w:id="0">
    <w:p w:rsidR="00ED2DB7" w:rsidRDefault="00ED2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9"/>
      <w:gridCol w:w="7097"/>
    </w:tblGrid>
    <w:tr w:rsidR="00D6091F" w:rsidRPr="00E70218" w:rsidTr="00166644">
      <w:trPr>
        <w:trHeight w:val="368"/>
      </w:trPr>
      <w:tc>
        <w:tcPr>
          <w:tcW w:w="7155" w:type="dxa"/>
          <w:tcBorders>
            <w:top w:val="single" w:sz="4" w:space="0" w:color="auto"/>
            <w:left w:val="single" w:sz="4" w:space="0" w:color="auto"/>
            <w:bottom w:val="single" w:sz="4" w:space="0" w:color="auto"/>
            <w:right w:val="single" w:sz="4" w:space="0" w:color="auto"/>
          </w:tcBorders>
        </w:tcPr>
        <w:p w:rsidR="00D6091F" w:rsidRPr="00E70218" w:rsidRDefault="00D6091F" w:rsidP="00BB2AC8">
          <w:pPr>
            <w:tabs>
              <w:tab w:val="center" w:pos="4320"/>
              <w:tab w:val="right" w:pos="8640"/>
            </w:tabs>
            <w:rPr>
              <w:rFonts w:ascii="Arial" w:hAnsi="Arial" w:cs="Arial"/>
              <w:sz w:val="20"/>
              <w:szCs w:val="20"/>
            </w:rPr>
          </w:pPr>
          <w:r w:rsidRPr="00A57928">
            <w:rPr>
              <w:rFonts w:ascii="Arial" w:hAnsi="Arial" w:cs="Arial"/>
              <w:b/>
              <w:sz w:val="20"/>
              <w:szCs w:val="20"/>
            </w:rPr>
            <w:t>Circulation date</w:t>
          </w:r>
          <w:r w:rsidR="00BB2AC8">
            <w:rPr>
              <w:rFonts w:ascii="Arial" w:hAnsi="Arial" w:cs="Arial"/>
              <w:sz w:val="20"/>
              <w:szCs w:val="20"/>
            </w:rPr>
            <w:t>: 2019</w:t>
          </w:r>
          <w:r>
            <w:rPr>
              <w:rFonts w:ascii="Arial" w:hAnsi="Arial" w:cs="Arial"/>
              <w:sz w:val="20"/>
              <w:szCs w:val="20"/>
            </w:rPr>
            <w:t>-0</w:t>
          </w:r>
          <w:r w:rsidR="00BB2AC8">
            <w:rPr>
              <w:rFonts w:ascii="Arial" w:hAnsi="Arial" w:cs="Arial"/>
              <w:sz w:val="20"/>
              <w:szCs w:val="20"/>
            </w:rPr>
            <w:t>4</w:t>
          </w:r>
          <w:r>
            <w:rPr>
              <w:rFonts w:ascii="Arial" w:hAnsi="Arial" w:cs="Arial"/>
              <w:sz w:val="20"/>
              <w:szCs w:val="20"/>
            </w:rPr>
            <w:t>-</w:t>
          </w:r>
          <w:r w:rsidR="00BB2AC8">
            <w:rPr>
              <w:rFonts w:ascii="Arial" w:hAnsi="Arial" w:cs="Arial"/>
              <w:sz w:val="20"/>
              <w:szCs w:val="20"/>
            </w:rPr>
            <w:t>24</w:t>
          </w:r>
        </w:p>
      </w:tc>
      <w:tc>
        <w:tcPr>
          <w:tcW w:w="7155" w:type="dxa"/>
          <w:tcBorders>
            <w:top w:val="single" w:sz="4" w:space="0" w:color="auto"/>
            <w:left w:val="single" w:sz="4" w:space="0" w:color="auto"/>
            <w:bottom w:val="single" w:sz="4" w:space="0" w:color="auto"/>
            <w:right w:val="single" w:sz="4" w:space="0" w:color="auto"/>
          </w:tcBorders>
        </w:tcPr>
        <w:p w:rsidR="00D6091F" w:rsidRPr="00E70218" w:rsidRDefault="00D6091F" w:rsidP="00BB2AC8">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Pr>
              <w:rFonts w:ascii="Arial" w:hAnsi="Arial" w:cs="Arial"/>
              <w:sz w:val="20"/>
              <w:szCs w:val="20"/>
            </w:rPr>
            <w:t>: 201</w:t>
          </w:r>
          <w:r w:rsidR="00BB2AC8">
            <w:rPr>
              <w:rFonts w:ascii="Arial" w:hAnsi="Arial" w:cs="Arial"/>
              <w:sz w:val="20"/>
              <w:szCs w:val="20"/>
            </w:rPr>
            <w:t>9</w:t>
          </w:r>
          <w:r>
            <w:rPr>
              <w:rFonts w:ascii="Arial" w:hAnsi="Arial" w:cs="Arial"/>
              <w:sz w:val="20"/>
              <w:szCs w:val="20"/>
            </w:rPr>
            <w:t>-04-1</w:t>
          </w:r>
          <w:r w:rsidR="00BB2AC8">
            <w:rPr>
              <w:rFonts w:ascii="Arial" w:hAnsi="Arial" w:cs="Arial"/>
              <w:sz w:val="20"/>
              <w:szCs w:val="20"/>
            </w:rPr>
            <w:t>5</w:t>
          </w:r>
        </w:p>
      </w:tc>
    </w:tr>
  </w:tbl>
  <w:p w:rsidR="00D6091F" w:rsidRDefault="00D609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FC76031"/>
    <w:multiLevelType w:val="multilevel"/>
    <w:tmpl w:val="D2E8C328"/>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9"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1"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4"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5"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6" w15:restartNumberingAfterBreak="0">
    <w:nsid w:val="386B28E1"/>
    <w:multiLevelType w:val="multilevel"/>
    <w:tmpl w:val="20AE0B12"/>
    <w:lvl w:ilvl="0">
      <w:start w:val="1"/>
      <w:numFmt w:val="decimal"/>
      <w:lvlText w:val="%1."/>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30"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1"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5"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6"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49"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2"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7"/>
  </w:num>
  <w:num w:numId="2">
    <w:abstractNumId w:val="44"/>
  </w:num>
  <w:num w:numId="3">
    <w:abstractNumId w:val="40"/>
  </w:num>
  <w:num w:numId="4">
    <w:abstractNumId w:val="2"/>
  </w:num>
  <w:num w:numId="5">
    <w:abstractNumId w:val="50"/>
  </w:num>
  <w:num w:numId="6">
    <w:abstractNumId w:val="34"/>
  </w:num>
  <w:num w:numId="7">
    <w:abstractNumId w:val="25"/>
  </w:num>
  <w:num w:numId="8">
    <w:abstractNumId w:val="24"/>
  </w:num>
  <w:num w:numId="9">
    <w:abstractNumId w:val="43"/>
  </w:num>
  <w:num w:numId="10">
    <w:abstractNumId w:val="21"/>
  </w:num>
  <w:num w:numId="11">
    <w:abstractNumId w:val="30"/>
  </w:num>
  <w:num w:numId="12">
    <w:abstractNumId w:val="33"/>
  </w:num>
  <w:num w:numId="13">
    <w:abstractNumId w:val="28"/>
  </w:num>
  <w:num w:numId="14">
    <w:abstractNumId w:val="7"/>
  </w:num>
  <w:num w:numId="15">
    <w:abstractNumId w:val="20"/>
  </w:num>
  <w:num w:numId="16">
    <w:abstractNumId w:val="27"/>
  </w:num>
  <w:num w:numId="17">
    <w:abstractNumId w:val="13"/>
  </w:num>
  <w:num w:numId="18">
    <w:abstractNumId w:val="36"/>
  </w:num>
  <w:num w:numId="19">
    <w:abstractNumId w:val="10"/>
  </w:num>
  <w:num w:numId="20">
    <w:abstractNumId w:val="32"/>
  </w:num>
  <w:num w:numId="21">
    <w:abstractNumId w:val="39"/>
  </w:num>
  <w:num w:numId="22">
    <w:abstractNumId w:val="52"/>
  </w:num>
  <w:num w:numId="23">
    <w:abstractNumId w:val="23"/>
  </w:num>
  <w:num w:numId="24">
    <w:abstractNumId w:val="8"/>
  </w:num>
  <w:num w:numId="25">
    <w:abstractNumId w:val="9"/>
  </w:num>
  <w:num w:numId="26">
    <w:abstractNumId w:val="46"/>
  </w:num>
  <w:num w:numId="27">
    <w:abstractNumId w:val="15"/>
  </w:num>
  <w:num w:numId="28">
    <w:abstractNumId w:val="16"/>
  </w:num>
  <w:num w:numId="29">
    <w:abstractNumId w:val="5"/>
  </w:num>
  <w:num w:numId="30">
    <w:abstractNumId w:val="4"/>
  </w:num>
  <w:num w:numId="31">
    <w:abstractNumId w:val="49"/>
  </w:num>
  <w:num w:numId="32">
    <w:abstractNumId w:val="1"/>
  </w:num>
  <w:num w:numId="33">
    <w:abstractNumId w:val="3"/>
  </w:num>
  <w:num w:numId="34">
    <w:abstractNumId w:val="14"/>
  </w:num>
  <w:num w:numId="35">
    <w:abstractNumId w:val="35"/>
  </w:num>
  <w:num w:numId="36">
    <w:abstractNumId w:val="48"/>
  </w:num>
  <w:num w:numId="37">
    <w:abstractNumId w:val="51"/>
  </w:num>
  <w:num w:numId="38">
    <w:abstractNumId w:val="42"/>
  </w:num>
  <w:num w:numId="39">
    <w:abstractNumId w:val="6"/>
  </w:num>
  <w:num w:numId="40">
    <w:abstractNumId w:val="53"/>
  </w:num>
  <w:num w:numId="41">
    <w:abstractNumId w:val="18"/>
  </w:num>
  <w:num w:numId="42">
    <w:abstractNumId w:val="45"/>
  </w:num>
  <w:num w:numId="43">
    <w:abstractNumId w:val="41"/>
  </w:num>
  <w:num w:numId="44">
    <w:abstractNumId w:val="31"/>
  </w:num>
  <w:num w:numId="45">
    <w:abstractNumId w:val="47"/>
  </w:num>
  <w:num w:numId="46">
    <w:abstractNumId w:val="38"/>
  </w:num>
  <w:num w:numId="47">
    <w:abstractNumId w:val="0"/>
  </w:num>
  <w:num w:numId="48">
    <w:abstractNumId w:val="12"/>
  </w:num>
  <w:num w:numId="49">
    <w:abstractNumId w:val="29"/>
  </w:num>
  <w:num w:numId="50">
    <w:abstractNumId w:val="11"/>
  </w:num>
  <w:num w:numId="51">
    <w:abstractNumId w:val="19"/>
  </w:num>
  <w:num w:numId="52">
    <w:abstractNumId w:val="22"/>
  </w:num>
  <w:num w:numId="53">
    <w:abstractNumId w:val="17"/>
  </w:num>
  <w:num w:numId="54">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7A5F"/>
    <w:rsid w:val="000203A3"/>
    <w:rsid w:val="000233D3"/>
    <w:rsid w:val="00024973"/>
    <w:rsid w:val="00024996"/>
    <w:rsid w:val="00024D8A"/>
    <w:rsid w:val="000257D6"/>
    <w:rsid w:val="00027C23"/>
    <w:rsid w:val="00031070"/>
    <w:rsid w:val="00032999"/>
    <w:rsid w:val="00033ABB"/>
    <w:rsid w:val="00042921"/>
    <w:rsid w:val="00043B38"/>
    <w:rsid w:val="000457CA"/>
    <w:rsid w:val="00045FC9"/>
    <w:rsid w:val="00050CDC"/>
    <w:rsid w:val="0005647D"/>
    <w:rsid w:val="000569CE"/>
    <w:rsid w:val="00061E5E"/>
    <w:rsid w:val="00065813"/>
    <w:rsid w:val="00067636"/>
    <w:rsid w:val="00072627"/>
    <w:rsid w:val="000751F4"/>
    <w:rsid w:val="000768C1"/>
    <w:rsid w:val="00085194"/>
    <w:rsid w:val="000853A4"/>
    <w:rsid w:val="00091BEC"/>
    <w:rsid w:val="00094EDA"/>
    <w:rsid w:val="000A1933"/>
    <w:rsid w:val="000A631A"/>
    <w:rsid w:val="000A708C"/>
    <w:rsid w:val="000B1EA0"/>
    <w:rsid w:val="000B6330"/>
    <w:rsid w:val="000B752F"/>
    <w:rsid w:val="000B7C32"/>
    <w:rsid w:val="000B7E0B"/>
    <w:rsid w:val="000C0D75"/>
    <w:rsid w:val="000C4F2A"/>
    <w:rsid w:val="000D1F40"/>
    <w:rsid w:val="000E1353"/>
    <w:rsid w:val="000E1F73"/>
    <w:rsid w:val="000F3EC3"/>
    <w:rsid w:val="000F4963"/>
    <w:rsid w:val="00102C1B"/>
    <w:rsid w:val="001056AE"/>
    <w:rsid w:val="00113300"/>
    <w:rsid w:val="00113FB3"/>
    <w:rsid w:val="00117C5F"/>
    <w:rsid w:val="001207E5"/>
    <w:rsid w:val="00121450"/>
    <w:rsid w:val="001272B7"/>
    <w:rsid w:val="00133174"/>
    <w:rsid w:val="00134E92"/>
    <w:rsid w:val="00135159"/>
    <w:rsid w:val="00135631"/>
    <w:rsid w:val="00144EBE"/>
    <w:rsid w:val="0014730D"/>
    <w:rsid w:val="001502DC"/>
    <w:rsid w:val="00165744"/>
    <w:rsid w:val="00170BA4"/>
    <w:rsid w:val="00172583"/>
    <w:rsid w:val="00172CD1"/>
    <w:rsid w:val="0017389A"/>
    <w:rsid w:val="00174380"/>
    <w:rsid w:val="00183FFD"/>
    <w:rsid w:val="00184755"/>
    <w:rsid w:val="001B427A"/>
    <w:rsid w:val="001C26F7"/>
    <w:rsid w:val="001C43C7"/>
    <w:rsid w:val="001C6CD8"/>
    <w:rsid w:val="001D1163"/>
    <w:rsid w:val="001D5922"/>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38CE"/>
    <w:rsid w:val="00237436"/>
    <w:rsid w:val="00237E02"/>
    <w:rsid w:val="002457BD"/>
    <w:rsid w:val="0025235F"/>
    <w:rsid w:val="002541EC"/>
    <w:rsid w:val="0025434A"/>
    <w:rsid w:val="00262DAC"/>
    <w:rsid w:val="00262DD1"/>
    <w:rsid w:val="00265981"/>
    <w:rsid w:val="002714B6"/>
    <w:rsid w:val="00271AAE"/>
    <w:rsid w:val="002765B2"/>
    <w:rsid w:val="002809BF"/>
    <w:rsid w:val="00286F99"/>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1C4E"/>
    <w:rsid w:val="002E67EB"/>
    <w:rsid w:val="002F4EFE"/>
    <w:rsid w:val="0030471F"/>
    <w:rsid w:val="003107A6"/>
    <w:rsid w:val="00320036"/>
    <w:rsid w:val="0032195B"/>
    <w:rsid w:val="00321F8E"/>
    <w:rsid w:val="00322C20"/>
    <w:rsid w:val="00330EA5"/>
    <w:rsid w:val="003335CB"/>
    <w:rsid w:val="0033382F"/>
    <w:rsid w:val="00336F0F"/>
    <w:rsid w:val="003501B9"/>
    <w:rsid w:val="003549C8"/>
    <w:rsid w:val="003566B9"/>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2E88"/>
    <w:rsid w:val="003A611E"/>
    <w:rsid w:val="003B5F69"/>
    <w:rsid w:val="003C0CCD"/>
    <w:rsid w:val="003C6CB7"/>
    <w:rsid w:val="003D14BD"/>
    <w:rsid w:val="003D22A3"/>
    <w:rsid w:val="003D3FC8"/>
    <w:rsid w:val="003D54F4"/>
    <w:rsid w:val="003D6633"/>
    <w:rsid w:val="003E0429"/>
    <w:rsid w:val="003E3908"/>
    <w:rsid w:val="003E5D03"/>
    <w:rsid w:val="003E7D58"/>
    <w:rsid w:val="004078ED"/>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B0"/>
    <w:rsid w:val="004763E1"/>
    <w:rsid w:val="004829F5"/>
    <w:rsid w:val="004861D0"/>
    <w:rsid w:val="00491684"/>
    <w:rsid w:val="004A16FE"/>
    <w:rsid w:val="004A494A"/>
    <w:rsid w:val="004B2CAA"/>
    <w:rsid w:val="004C0519"/>
    <w:rsid w:val="004C214F"/>
    <w:rsid w:val="004C332F"/>
    <w:rsid w:val="004C5E07"/>
    <w:rsid w:val="004C72A1"/>
    <w:rsid w:val="004D14C0"/>
    <w:rsid w:val="004D27E3"/>
    <w:rsid w:val="004E403F"/>
    <w:rsid w:val="004E43F1"/>
    <w:rsid w:val="004E6AD1"/>
    <w:rsid w:val="004F363F"/>
    <w:rsid w:val="004F3DBC"/>
    <w:rsid w:val="0050016F"/>
    <w:rsid w:val="00506AF0"/>
    <w:rsid w:val="005070EC"/>
    <w:rsid w:val="00507251"/>
    <w:rsid w:val="0051043C"/>
    <w:rsid w:val="00512BAA"/>
    <w:rsid w:val="00516C4C"/>
    <w:rsid w:val="00516C9A"/>
    <w:rsid w:val="0052474F"/>
    <w:rsid w:val="00526A11"/>
    <w:rsid w:val="00530888"/>
    <w:rsid w:val="00531F6C"/>
    <w:rsid w:val="00534D58"/>
    <w:rsid w:val="00535750"/>
    <w:rsid w:val="00540417"/>
    <w:rsid w:val="0054230A"/>
    <w:rsid w:val="005446EC"/>
    <w:rsid w:val="00551129"/>
    <w:rsid w:val="005542D7"/>
    <w:rsid w:val="00555EC0"/>
    <w:rsid w:val="00574BCC"/>
    <w:rsid w:val="00583EB1"/>
    <w:rsid w:val="00584B21"/>
    <w:rsid w:val="00586F07"/>
    <w:rsid w:val="00591BC3"/>
    <w:rsid w:val="005A03B2"/>
    <w:rsid w:val="005A5141"/>
    <w:rsid w:val="005A5372"/>
    <w:rsid w:val="005A7377"/>
    <w:rsid w:val="005B2345"/>
    <w:rsid w:val="005B4A8E"/>
    <w:rsid w:val="005B7D43"/>
    <w:rsid w:val="005C7BDD"/>
    <w:rsid w:val="005D5638"/>
    <w:rsid w:val="005D6F12"/>
    <w:rsid w:val="005E147E"/>
    <w:rsid w:val="005E1E94"/>
    <w:rsid w:val="0061060B"/>
    <w:rsid w:val="00610E09"/>
    <w:rsid w:val="00612B22"/>
    <w:rsid w:val="00612D33"/>
    <w:rsid w:val="00613FDD"/>
    <w:rsid w:val="0061471D"/>
    <w:rsid w:val="00616315"/>
    <w:rsid w:val="00616689"/>
    <w:rsid w:val="006279EA"/>
    <w:rsid w:val="006305A2"/>
    <w:rsid w:val="0063457A"/>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5F12"/>
    <w:rsid w:val="00676041"/>
    <w:rsid w:val="006A0F70"/>
    <w:rsid w:val="006A7B4A"/>
    <w:rsid w:val="006B30B4"/>
    <w:rsid w:val="006B3266"/>
    <w:rsid w:val="006B474D"/>
    <w:rsid w:val="006B57EC"/>
    <w:rsid w:val="006B7CE1"/>
    <w:rsid w:val="006C0675"/>
    <w:rsid w:val="006C378E"/>
    <w:rsid w:val="006C422E"/>
    <w:rsid w:val="006C7DDA"/>
    <w:rsid w:val="006D04AC"/>
    <w:rsid w:val="006D2A77"/>
    <w:rsid w:val="006D2D0C"/>
    <w:rsid w:val="006D52D3"/>
    <w:rsid w:val="006D62AE"/>
    <w:rsid w:val="006E4C56"/>
    <w:rsid w:val="006E68B8"/>
    <w:rsid w:val="006F5FD7"/>
    <w:rsid w:val="00700A43"/>
    <w:rsid w:val="00701766"/>
    <w:rsid w:val="00702E41"/>
    <w:rsid w:val="00711142"/>
    <w:rsid w:val="007113B8"/>
    <w:rsid w:val="00713BFB"/>
    <w:rsid w:val="00713C40"/>
    <w:rsid w:val="0071524D"/>
    <w:rsid w:val="00720E1D"/>
    <w:rsid w:val="00723285"/>
    <w:rsid w:val="007265F3"/>
    <w:rsid w:val="007275F1"/>
    <w:rsid w:val="00741BEB"/>
    <w:rsid w:val="00746368"/>
    <w:rsid w:val="007503EA"/>
    <w:rsid w:val="0076175F"/>
    <w:rsid w:val="00771086"/>
    <w:rsid w:val="00771C94"/>
    <w:rsid w:val="00780ED1"/>
    <w:rsid w:val="00792871"/>
    <w:rsid w:val="007A6B3B"/>
    <w:rsid w:val="007A7B22"/>
    <w:rsid w:val="007B4380"/>
    <w:rsid w:val="007B7ED6"/>
    <w:rsid w:val="007C212E"/>
    <w:rsid w:val="007C2143"/>
    <w:rsid w:val="007C285B"/>
    <w:rsid w:val="007C47AD"/>
    <w:rsid w:val="007D13B5"/>
    <w:rsid w:val="007D5564"/>
    <w:rsid w:val="007D6C8E"/>
    <w:rsid w:val="007D6E10"/>
    <w:rsid w:val="007E0BB9"/>
    <w:rsid w:val="007E3EBA"/>
    <w:rsid w:val="007E4AF0"/>
    <w:rsid w:val="007E64D9"/>
    <w:rsid w:val="007E76DF"/>
    <w:rsid w:val="007F13A1"/>
    <w:rsid w:val="007F28A8"/>
    <w:rsid w:val="0080283A"/>
    <w:rsid w:val="00803441"/>
    <w:rsid w:val="008047FE"/>
    <w:rsid w:val="00806004"/>
    <w:rsid w:val="008117C8"/>
    <w:rsid w:val="00817165"/>
    <w:rsid w:val="008361CC"/>
    <w:rsid w:val="00837B47"/>
    <w:rsid w:val="008441D1"/>
    <w:rsid w:val="00847E22"/>
    <w:rsid w:val="00850922"/>
    <w:rsid w:val="008553E6"/>
    <w:rsid w:val="0085714A"/>
    <w:rsid w:val="00864935"/>
    <w:rsid w:val="00866AD9"/>
    <w:rsid w:val="008706A1"/>
    <w:rsid w:val="0087118E"/>
    <w:rsid w:val="00873E37"/>
    <w:rsid w:val="00875E8E"/>
    <w:rsid w:val="00876147"/>
    <w:rsid w:val="00877F3E"/>
    <w:rsid w:val="008802F9"/>
    <w:rsid w:val="0088060B"/>
    <w:rsid w:val="0089066F"/>
    <w:rsid w:val="00893821"/>
    <w:rsid w:val="0089745E"/>
    <w:rsid w:val="00897642"/>
    <w:rsid w:val="008B4D15"/>
    <w:rsid w:val="008C0203"/>
    <w:rsid w:val="008C281E"/>
    <w:rsid w:val="008C4C9B"/>
    <w:rsid w:val="008C6CA3"/>
    <w:rsid w:val="008D0120"/>
    <w:rsid w:val="008D6D41"/>
    <w:rsid w:val="008D75FE"/>
    <w:rsid w:val="008E493D"/>
    <w:rsid w:val="008E54FC"/>
    <w:rsid w:val="008F7578"/>
    <w:rsid w:val="00901DAA"/>
    <w:rsid w:val="00912F97"/>
    <w:rsid w:val="009173CA"/>
    <w:rsid w:val="009173D2"/>
    <w:rsid w:val="009223B7"/>
    <w:rsid w:val="0094333F"/>
    <w:rsid w:val="00952184"/>
    <w:rsid w:val="00963907"/>
    <w:rsid w:val="009714B9"/>
    <w:rsid w:val="009747B3"/>
    <w:rsid w:val="00975730"/>
    <w:rsid w:val="00980888"/>
    <w:rsid w:val="00981837"/>
    <w:rsid w:val="00985E0A"/>
    <w:rsid w:val="00995725"/>
    <w:rsid w:val="009A7915"/>
    <w:rsid w:val="009A7E25"/>
    <w:rsid w:val="009B23EB"/>
    <w:rsid w:val="009C5EEB"/>
    <w:rsid w:val="009D0ED1"/>
    <w:rsid w:val="009D2374"/>
    <w:rsid w:val="009D3F9D"/>
    <w:rsid w:val="009E4A6A"/>
    <w:rsid w:val="009E5700"/>
    <w:rsid w:val="009E699C"/>
    <w:rsid w:val="009E6FCD"/>
    <w:rsid w:val="009F6BFE"/>
    <w:rsid w:val="009F6EC9"/>
    <w:rsid w:val="00A0501F"/>
    <w:rsid w:val="00A06FD7"/>
    <w:rsid w:val="00A11AC8"/>
    <w:rsid w:val="00A15D69"/>
    <w:rsid w:val="00A171F6"/>
    <w:rsid w:val="00A20D4F"/>
    <w:rsid w:val="00A21F44"/>
    <w:rsid w:val="00A22773"/>
    <w:rsid w:val="00A2313D"/>
    <w:rsid w:val="00A27335"/>
    <w:rsid w:val="00A315D1"/>
    <w:rsid w:val="00A3368A"/>
    <w:rsid w:val="00A35ECF"/>
    <w:rsid w:val="00A37A78"/>
    <w:rsid w:val="00A40390"/>
    <w:rsid w:val="00A415E4"/>
    <w:rsid w:val="00A45C80"/>
    <w:rsid w:val="00A4747A"/>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4A92"/>
    <w:rsid w:val="00AA77BE"/>
    <w:rsid w:val="00AB045A"/>
    <w:rsid w:val="00AB181B"/>
    <w:rsid w:val="00AB1DDF"/>
    <w:rsid w:val="00AB4B6A"/>
    <w:rsid w:val="00AC7A65"/>
    <w:rsid w:val="00AD3A75"/>
    <w:rsid w:val="00AD6210"/>
    <w:rsid w:val="00AD68F6"/>
    <w:rsid w:val="00AD696E"/>
    <w:rsid w:val="00AE25AA"/>
    <w:rsid w:val="00AE3EDF"/>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4C09"/>
    <w:rsid w:val="00B45778"/>
    <w:rsid w:val="00B45DE1"/>
    <w:rsid w:val="00B466C4"/>
    <w:rsid w:val="00B50EE6"/>
    <w:rsid w:val="00B6163B"/>
    <w:rsid w:val="00B75282"/>
    <w:rsid w:val="00B76238"/>
    <w:rsid w:val="00B77986"/>
    <w:rsid w:val="00B82057"/>
    <w:rsid w:val="00B83393"/>
    <w:rsid w:val="00B83411"/>
    <w:rsid w:val="00B86095"/>
    <w:rsid w:val="00B97D4A"/>
    <w:rsid w:val="00BA2DEC"/>
    <w:rsid w:val="00BA7615"/>
    <w:rsid w:val="00BB2AC8"/>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1013E"/>
    <w:rsid w:val="00C10988"/>
    <w:rsid w:val="00C12AF8"/>
    <w:rsid w:val="00C154EE"/>
    <w:rsid w:val="00C25ED4"/>
    <w:rsid w:val="00C2745F"/>
    <w:rsid w:val="00C275A4"/>
    <w:rsid w:val="00C32DAA"/>
    <w:rsid w:val="00C37B36"/>
    <w:rsid w:val="00C40473"/>
    <w:rsid w:val="00C43BEF"/>
    <w:rsid w:val="00C4537A"/>
    <w:rsid w:val="00C50777"/>
    <w:rsid w:val="00C52690"/>
    <w:rsid w:val="00C52CD9"/>
    <w:rsid w:val="00C549AD"/>
    <w:rsid w:val="00C55505"/>
    <w:rsid w:val="00C61B1E"/>
    <w:rsid w:val="00C6271C"/>
    <w:rsid w:val="00C6336C"/>
    <w:rsid w:val="00C64FD2"/>
    <w:rsid w:val="00C657AA"/>
    <w:rsid w:val="00C67F0F"/>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B53EF"/>
    <w:rsid w:val="00CC0273"/>
    <w:rsid w:val="00CC5C45"/>
    <w:rsid w:val="00CD4B4E"/>
    <w:rsid w:val="00CD4DBA"/>
    <w:rsid w:val="00CE5A25"/>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91F"/>
    <w:rsid w:val="00D60A6A"/>
    <w:rsid w:val="00D67193"/>
    <w:rsid w:val="00D71B5C"/>
    <w:rsid w:val="00D97E74"/>
    <w:rsid w:val="00DA0B61"/>
    <w:rsid w:val="00DA116B"/>
    <w:rsid w:val="00DA1E1C"/>
    <w:rsid w:val="00DA21E1"/>
    <w:rsid w:val="00DA5DF0"/>
    <w:rsid w:val="00DA72A5"/>
    <w:rsid w:val="00DA7B6D"/>
    <w:rsid w:val="00DB2839"/>
    <w:rsid w:val="00DB406D"/>
    <w:rsid w:val="00DB4BA0"/>
    <w:rsid w:val="00DB64E0"/>
    <w:rsid w:val="00DC0273"/>
    <w:rsid w:val="00DC08CA"/>
    <w:rsid w:val="00DC19BA"/>
    <w:rsid w:val="00DD756A"/>
    <w:rsid w:val="00DE1463"/>
    <w:rsid w:val="00DE4393"/>
    <w:rsid w:val="00DE4CC1"/>
    <w:rsid w:val="00DE66D1"/>
    <w:rsid w:val="00DF2772"/>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7F33"/>
    <w:rsid w:val="00E70218"/>
    <w:rsid w:val="00E80A94"/>
    <w:rsid w:val="00E910C9"/>
    <w:rsid w:val="00E92036"/>
    <w:rsid w:val="00EA47CB"/>
    <w:rsid w:val="00EA6BAD"/>
    <w:rsid w:val="00EB0FC5"/>
    <w:rsid w:val="00EB1B8B"/>
    <w:rsid w:val="00EB2419"/>
    <w:rsid w:val="00EB56F9"/>
    <w:rsid w:val="00EC0C0B"/>
    <w:rsid w:val="00ED0AE9"/>
    <w:rsid w:val="00ED2C1E"/>
    <w:rsid w:val="00ED2DB7"/>
    <w:rsid w:val="00ED5C52"/>
    <w:rsid w:val="00ED61A0"/>
    <w:rsid w:val="00EF34BE"/>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DE0"/>
    <w:rsid w:val="00F426A9"/>
    <w:rsid w:val="00F5011A"/>
    <w:rsid w:val="00F5354D"/>
    <w:rsid w:val="00F654C5"/>
    <w:rsid w:val="00F71A4F"/>
    <w:rsid w:val="00F7374A"/>
    <w:rsid w:val="00F73767"/>
    <w:rsid w:val="00F909F5"/>
    <w:rsid w:val="00F944E5"/>
    <w:rsid w:val="00FA0EAF"/>
    <w:rsid w:val="00FB0305"/>
    <w:rsid w:val="00FB0B10"/>
    <w:rsid w:val="00FB5A3C"/>
    <w:rsid w:val="00FB5D95"/>
    <w:rsid w:val="00FB6878"/>
    <w:rsid w:val="00FB7575"/>
    <w:rsid w:val="00FC1577"/>
    <w:rsid w:val="00FC365E"/>
    <w:rsid w:val="00FC7A84"/>
    <w:rsid w:val="00FD344C"/>
    <w:rsid w:val="00FD6FDB"/>
    <w:rsid w:val="00FE13AF"/>
    <w:rsid w:val="00FE2331"/>
    <w:rsid w:val="00FE5702"/>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B3EEDAB"/>
  <w15:docId w15:val="{32396416-6002-43B7-AF1F-062FA884B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8E5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555860">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200620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2002-1%7Bed2.0%7Den.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review/info_iec62002-4%7Bed1.0%7Den.pdf" TargetMode="External"/><Relationship Id="rId5" Type="http://schemas.openxmlformats.org/officeDocument/2006/relationships/webSettings" Target="webSettings.xml"/><Relationship Id="rId10" Type="http://schemas.openxmlformats.org/officeDocument/2006/relationships/hyperlink" Target="https://webstore.iec.ch/preview/info_iec62002-3%7Bed1.0%7Den.pdf" TargetMode="External"/><Relationship Id="rId4" Type="http://schemas.openxmlformats.org/officeDocument/2006/relationships/settings" Target="settings.xml"/><Relationship Id="rId9" Type="http://schemas.openxmlformats.org/officeDocument/2006/relationships/hyperlink" Target="https://webstore.iec.ch/preview/info_iec62002-2%7Bed2.0%7Den.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93705-5455-4105-ABE9-8277C63E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Zacheus Mwatha</cp:lastModifiedBy>
  <cp:revision>11</cp:revision>
  <cp:lastPrinted>2008-07-11T13:15:00Z</cp:lastPrinted>
  <dcterms:created xsi:type="dcterms:W3CDTF">2019-04-20T12:35:00Z</dcterms:created>
  <dcterms:modified xsi:type="dcterms:W3CDTF">2019-04-24T12:00:00Z</dcterms:modified>
</cp:coreProperties>
</file>