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EBBC8" w14:textId="77777777" w:rsidR="001B427A" w:rsidRPr="00E84249" w:rsidRDefault="001B427A" w:rsidP="000F4AF3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color w:val="000000"/>
          <w:sz w:val="20"/>
          <w:szCs w:val="20"/>
        </w:rPr>
      </w:pPr>
      <w:r w:rsidRPr="00E84249">
        <w:rPr>
          <w:rFonts w:ascii="Arial Narrow" w:hAnsi="Arial Narrow" w:cs="Arial"/>
          <w:b/>
          <w:bCs/>
          <w:color w:val="000000"/>
          <w:sz w:val="20"/>
          <w:szCs w:val="20"/>
        </w:rPr>
        <w:t>KENYA BUREAU OF STANDARDS</w:t>
      </w:r>
    </w:p>
    <w:p w14:paraId="2F46E949" w14:textId="77777777" w:rsidR="00AB181B" w:rsidRPr="00E84249" w:rsidRDefault="00CA287F" w:rsidP="00AB181B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color w:val="000000"/>
        </w:rPr>
      </w:pPr>
      <w:bookmarkStart w:id="0" w:name="_Toc471815045"/>
      <w:bookmarkStart w:id="1" w:name="_Toc471815533"/>
      <w:bookmarkStart w:id="2" w:name="_Toc471815688"/>
      <w:bookmarkStart w:id="3" w:name="_Toc471815948"/>
      <w:bookmarkStart w:id="4" w:name="_Toc471816104"/>
      <w:bookmarkStart w:id="5" w:name="_Toc474741740"/>
      <w:bookmarkStart w:id="6" w:name="_Toc474741898"/>
      <w:bookmarkStart w:id="7" w:name="_Toc474742056"/>
      <w:bookmarkStart w:id="8" w:name="_Toc474742213"/>
      <w:bookmarkStart w:id="9" w:name="_Toc474742546"/>
      <w:r w:rsidRPr="00E84249">
        <w:rPr>
          <w:rFonts w:ascii="Arial Narrow" w:hAnsi="Arial Narrow" w:cs="Arial"/>
          <w:b/>
        </w:rPr>
        <w:t>CONFIRMATION PROPOSAL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AB181B" w:rsidRPr="00E84249" w14:paraId="2D3E6A88" w14:textId="77777777" w:rsidTr="00897642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5249" w14:textId="77777777" w:rsidR="00AB181B" w:rsidRPr="00E84249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A046" w14:textId="77777777" w:rsidR="00AB181B" w:rsidRPr="00E84249" w:rsidRDefault="00AB181B" w:rsidP="0089764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b/>
                <w:bCs/>
                <w:sz w:val="20"/>
                <w:szCs w:val="20"/>
              </w:rPr>
              <w:t>Confirmation proposal</w:t>
            </w:r>
          </w:p>
        </w:tc>
      </w:tr>
      <w:tr w:rsidR="00AB181B" w:rsidRPr="00E84249" w14:paraId="4EA16C4D" w14:textId="77777777" w:rsidTr="00897642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B9B9" w14:textId="77777777" w:rsidR="00AB181B" w:rsidRPr="00E84249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D1A4" w14:textId="77777777" w:rsidR="00AB181B" w:rsidRPr="00E84249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357A" w14:textId="77777777" w:rsidR="00AB181B" w:rsidRPr="00E84249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sz w:val="20"/>
                <w:szCs w:val="20"/>
              </w:rPr>
              <w:t>Closing date</w:t>
            </w:r>
          </w:p>
        </w:tc>
        <w:bookmarkStart w:id="10" w:name="_GoBack"/>
        <w:bookmarkEnd w:id="10"/>
      </w:tr>
      <w:tr w:rsidR="00AB181B" w:rsidRPr="00E84249" w14:paraId="3B426530" w14:textId="77777777" w:rsidTr="003E297A">
        <w:trPr>
          <w:trHeight w:val="4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49DCA" w14:textId="77777777" w:rsidR="00AB181B" w:rsidRPr="00E84249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23BB" w14:textId="1B79BC8B" w:rsidR="00AB181B" w:rsidRPr="000F4AF3" w:rsidRDefault="00BB2AC8" w:rsidP="00C549AD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0F4AF3">
              <w:rPr>
                <w:rFonts w:ascii="Arial Narrow" w:hAnsi="Arial Narrow" w:cs="Arial"/>
                <w:sz w:val="20"/>
                <w:szCs w:val="20"/>
              </w:rPr>
              <w:t>2019</w:t>
            </w:r>
            <w:r w:rsidR="008E54FC" w:rsidRPr="000F4AF3">
              <w:rPr>
                <w:rFonts w:ascii="Arial Narrow" w:hAnsi="Arial Narrow" w:cs="Arial"/>
                <w:sz w:val="20"/>
                <w:szCs w:val="20"/>
              </w:rPr>
              <w:t>-0</w:t>
            </w:r>
            <w:r w:rsidR="00325507" w:rsidRPr="000F4AF3">
              <w:rPr>
                <w:rFonts w:ascii="Arial Narrow" w:hAnsi="Arial Narrow" w:cs="Arial"/>
                <w:sz w:val="20"/>
                <w:szCs w:val="20"/>
              </w:rPr>
              <w:t>7</w:t>
            </w:r>
            <w:r w:rsidR="00B44C09" w:rsidRPr="000F4AF3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325507" w:rsidRPr="000F4AF3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6C24" w14:textId="176B8151" w:rsidR="00AB181B" w:rsidRPr="000F4AF3" w:rsidRDefault="00BB2AC8" w:rsidP="00C549AD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0F4AF3">
              <w:rPr>
                <w:rFonts w:ascii="Arial Narrow" w:hAnsi="Arial Narrow" w:cs="Arial"/>
                <w:sz w:val="20"/>
                <w:szCs w:val="20"/>
              </w:rPr>
              <w:t>2019</w:t>
            </w:r>
            <w:r w:rsidR="008E54FC" w:rsidRPr="000F4AF3">
              <w:rPr>
                <w:rFonts w:ascii="Arial Narrow" w:hAnsi="Arial Narrow" w:cs="Arial"/>
                <w:sz w:val="20"/>
                <w:szCs w:val="20"/>
              </w:rPr>
              <w:t>-0</w:t>
            </w:r>
            <w:r w:rsidR="000F4AF3" w:rsidRPr="000F4AF3">
              <w:rPr>
                <w:rFonts w:ascii="Arial Narrow" w:hAnsi="Arial Narrow" w:cs="Arial"/>
                <w:sz w:val="20"/>
                <w:szCs w:val="20"/>
              </w:rPr>
              <w:t>8</w:t>
            </w:r>
            <w:r w:rsidR="00B44C09" w:rsidRPr="000F4AF3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325507" w:rsidRPr="000F4AF3">
              <w:rPr>
                <w:rFonts w:ascii="Arial Narrow" w:hAnsi="Arial Narrow" w:cs="Arial"/>
                <w:sz w:val="20"/>
                <w:szCs w:val="20"/>
              </w:rPr>
              <w:t>29</w:t>
            </w:r>
          </w:p>
        </w:tc>
      </w:tr>
      <w:tr w:rsidR="00AB181B" w:rsidRPr="00E84249" w14:paraId="05BF5F77" w14:textId="77777777" w:rsidTr="00897642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C08B" w14:textId="77777777" w:rsidR="00AB181B" w:rsidRPr="00E84249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9A18" w14:textId="2C02EDF5" w:rsidR="00AB181B" w:rsidRPr="00E84249" w:rsidRDefault="00AB181B" w:rsidP="00B44C09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C26C3E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Daniel Kitui</w:t>
            </w:r>
            <w:r w:rsidR="00C26C3E">
              <w:rPr>
                <w:rFonts w:ascii="Arial Narrow" w:eastAsia="Arial Narrow" w:hAnsi="Arial Narrow" w:cs="Arial Narrow"/>
                <w:b/>
                <w:color w:val="0070C0"/>
                <w:sz w:val="20"/>
                <w:szCs w:val="20"/>
              </w:rPr>
              <w:t xml:space="preserve"> </w:t>
            </w:r>
            <w:r w:rsidR="00C26C3E">
              <w:rPr>
                <w:rFonts w:ascii="Arial Narrow" w:eastAsia="Arial Narrow" w:hAnsi="Arial Narrow" w:cs="Arial Narrow"/>
                <w:b/>
                <w:color w:val="0070C0"/>
                <w:sz w:val="20"/>
                <w:szCs w:val="20"/>
                <w:u w:val="single"/>
              </w:rPr>
              <w:t>kituid@kebs.org</w:t>
            </w:r>
          </w:p>
        </w:tc>
      </w:tr>
    </w:tbl>
    <w:p w14:paraId="19BE1C6B" w14:textId="77777777" w:rsidR="00CA287F" w:rsidRPr="00E84249" w:rsidRDefault="00CA287F" w:rsidP="00422A61">
      <w:pPr>
        <w:autoSpaceDE w:val="0"/>
        <w:autoSpaceDN w:val="0"/>
        <w:adjustRightInd w:val="0"/>
        <w:rPr>
          <w:rFonts w:ascii="Arial Narrow" w:hAnsi="Arial Narrow" w:cs="Arial"/>
          <w:sz w:val="20"/>
          <w:szCs w:val="20"/>
        </w:rPr>
      </w:pPr>
    </w:p>
    <w:p w14:paraId="2D54F396" w14:textId="77777777" w:rsidR="00CA287F" w:rsidRPr="00E84249" w:rsidRDefault="00CA287F" w:rsidP="00422A61">
      <w:pPr>
        <w:autoSpaceDE w:val="0"/>
        <w:autoSpaceDN w:val="0"/>
        <w:adjustRightInd w:val="0"/>
        <w:rPr>
          <w:rFonts w:ascii="Arial Narrow" w:hAnsi="Arial Narrow" w:cs="Arial"/>
          <w:sz w:val="20"/>
          <w:szCs w:val="20"/>
        </w:rPr>
      </w:pPr>
      <w:r w:rsidRPr="00E84249">
        <w:rPr>
          <w:rFonts w:ascii="Arial Narrow" w:hAnsi="Arial Narrow" w:cs="Arial"/>
          <w:sz w:val="20"/>
          <w:szCs w:val="20"/>
        </w:rPr>
        <w:t>The Kenya Bureau of Standards intends to confirm the Kenya Standards as detailed in the attached list of Kenya Standards for Systematic Review.</w:t>
      </w:r>
    </w:p>
    <w:p w14:paraId="2F119C9B" w14:textId="77777777" w:rsidR="00CA287F" w:rsidRPr="00E84249" w:rsidRDefault="00CA287F" w:rsidP="00422A61">
      <w:pPr>
        <w:autoSpaceDE w:val="0"/>
        <w:autoSpaceDN w:val="0"/>
        <w:adjustRightInd w:val="0"/>
        <w:rPr>
          <w:rFonts w:ascii="Arial Narrow" w:hAnsi="Arial Narrow" w:cs="Arial"/>
          <w:sz w:val="20"/>
          <w:szCs w:val="20"/>
        </w:rPr>
      </w:pPr>
      <w:r w:rsidRPr="00E84249">
        <w:rPr>
          <w:rFonts w:ascii="Arial Narrow" w:hAnsi="Arial Narrow" w:cs="Arial"/>
          <w:sz w:val="20"/>
          <w:szCs w:val="20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51B1BB5A" w14:textId="77777777" w:rsidR="00CA287F" w:rsidRPr="00E84249" w:rsidRDefault="009F7EC6" w:rsidP="00422A61">
      <w:pPr>
        <w:autoSpaceDE w:val="0"/>
        <w:autoSpaceDN w:val="0"/>
        <w:adjustRightInd w:val="0"/>
        <w:rPr>
          <w:rFonts w:ascii="Arial Narrow" w:hAnsi="Arial Narrow" w:cs="Arial"/>
          <w:sz w:val="20"/>
          <w:szCs w:val="20"/>
        </w:rPr>
      </w:pPr>
      <w:r w:rsidRPr="00E84249">
        <w:rPr>
          <w:rFonts w:ascii="Arial Narrow" w:hAnsi="Arial Narrow" w:cs="Arial"/>
          <w:sz w:val="20"/>
          <w:szCs w:val="20"/>
        </w:rPr>
        <w:t>The Standard</w:t>
      </w:r>
      <w:r w:rsidR="00CA287F" w:rsidRPr="00E84249">
        <w:rPr>
          <w:rFonts w:ascii="Arial Narrow" w:hAnsi="Arial Narrow" w:cs="Arial"/>
          <w:sz w:val="20"/>
          <w:szCs w:val="20"/>
        </w:rPr>
        <w:t xml:space="preserve"> </w:t>
      </w:r>
      <w:r w:rsidRPr="00E84249">
        <w:rPr>
          <w:rFonts w:ascii="Arial Narrow" w:hAnsi="Arial Narrow" w:cs="Arial"/>
          <w:sz w:val="20"/>
          <w:szCs w:val="20"/>
        </w:rPr>
        <w:t>is</w:t>
      </w:r>
      <w:r w:rsidR="00CA287F" w:rsidRPr="00E84249">
        <w:rPr>
          <w:rFonts w:ascii="Arial Narrow" w:hAnsi="Arial Narrow" w:cs="Arial"/>
          <w:sz w:val="20"/>
          <w:szCs w:val="20"/>
        </w:rPr>
        <w:t xml:space="preserve"> available at the Kenya Bureau of Standards Information Resource Centre.  Please tick (mark) and fill your preference of the listed option.  (If the spaces provided are not enough, please attach a separate sheet of paper).</w:t>
      </w:r>
    </w:p>
    <w:p w14:paraId="2A6D4BC1" w14:textId="50A780F6" w:rsidR="00CA287F" w:rsidRDefault="00CA287F" w:rsidP="00422A61">
      <w:pPr>
        <w:autoSpaceDE w:val="0"/>
        <w:autoSpaceDN w:val="0"/>
        <w:adjustRightInd w:val="0"/>
        <w:rPr>
          <w:rFonts w:ascii="Arial Narrow" w:hAnsi="Arial Narrow" w:cs="Arial"/>
          <w:sz w:val="20"/>
          <w:szCs w:val="20"/>
        </w:rPr>
      </w:pPr>
    </w:p>
    <w:p w14:paraId="7FF1D0C0" w14:textId="5357D233" w:rsidR="00FB24F8" w:rsidRPr="00FB24F8" w:rsidRDefault="00FB24F8" w:rsidP="00663196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FB24F8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E37F84" w:rsidRPr="00E37F84">
        <w:rPr>
          <w:rFonts w:ascii="Arial Narrow" w:eastAsia="Arial Narrow" w:hAnsi="Arial Narrow" w:cs="Arial Narrow"/>
          <w:color w:val="000000"/>
          <w:sz w:val="20"/>
          <w:szCs w:val="20"/>
        </w:rPr>
        <w:t>KS IEC 60598-2-1:1997</w:t>
      </w:r>
    </w:p>
    <w:p w14:paraId="2C68D764" w14:textId="77777777" w:rsidR="00E37F84" w:rsidRDefault="00E37F84" w:rsidP="00E37F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</w:p>
    <w:p w14:paraId="6B27C332" w14:textId="7225BA4C" w:rsidR="00E37F84" w:rsidRPr="00595FFB" w:rsidRDefault="00FB24F8" w:rsidP="00E37F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E37F84" w:rsidRPr="00E37F84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Luminaires - Part 2: Particular requirements - Section 1: - Fixed </w:t>
      </w:r>
      <w:proofErr w:type="gramStart"/>
      <w:r w:rsidR="00E37F84" w:rsidRPr="00E37F84">
        <w:rPr>
          <w:rFonts w:ascii="Arial Narrow" w:eastAsia="Arial Narrow" w:hAnsi="Arial Narrow" w:cs="Arial Narrow"/>
          <w:color w:val="000000"/>
          <w:sz w:val="20"/>
          <w:szCs w:val="20"/>
        </w:rPr>
        <w:t>general purpose</w:t>
      </w:r>
      <w:proofErr w:type="gramEnd"/>
      <w:r w:rsidR="00E37F84" w:rsidRPr="00E37F84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luminaires.</w:t>
      </w:r>
    </w:p>
    <w:p w14:paraId="753AD4ED" w14:textId="77777777" w:rsidR="00FB24F8" w:rsidRPr="00FB24F8" w:rsidRDefault="00FB24F8" w:rsidP="00FB24F8">
      <w:pPr>
        <w:spacing w:before="0" w:after="0"/>
        <w:ind w:left="720"/>
        <w:contextualSpacing/>
        <w:rPr>
          <w:rFonts w:ascii="Arial Narrow" w:eastAsia="Arial Narrow" w:hAnsi="Arial Narrow" w:cs="Arial Narrow"/>
          <w:sz w:val="20"/>
          <w:szCs w:val="20"/>
        </w:rPr>
      </w:pPr>
    </w:p>
    <w:p w14:paraId="4C445795" w14:textId="77777777" w:rsidR="007D3694" w:rsidRPr="007D3694" w:rsidRDefault="00FB24F8" w:rsidP="007D3694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7D3694" w:rsidRPr="007D3694">
        <w:rPr>
          <w:rFonts w:ascii="Arial Narrow" w:eastAsia="Arial Narrow" w:hAnsi="Arial Narrow" w:cs="Arial Narrow"/>
          <w:sz w:val="20"/>
          <w:szCs w:val="20"/>
        </w:rPr>
        <w:t>This section of Part 2 of I E C Publication 598 specifies requirements for fixed general purpose</w:t>
      </w:r>
    </w:p>
    <w:p w14:paraId="74E0D661" w14:textId="77777777" w:rsidR="007D3694" w:rsidRPr="007D3694" w:rsidRDefault="007D3694" w:rsidP="007D3694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7D3694">
        <w:rPr>
          <w:rFonts w:ascii="Arial Narrow" w:eastAsia="Arial Narrow" w:hAnsi="Arial Narrow" w:cs="Arial Narrow"/>
          <w:sz w:val="20"/>
          <w:szCs w:val="20"/>
        </w:rPr>
        <w:t>luminaires for use with tungsten filament, tubular fluorescent and other discharge lamps on supply</w:t>
      </w:r>
    </w:p>
    <w:p w14:paraId="708D2C9D" w14:textId="77777777" w:rsidR="007D3694" w:rsidRPr="007D3694" w:rsidRDefault="007D3694" w:rsidP="007D3694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7D3694">
        <w:rPr>
          <w:rFonts w:ascii="Arial Narrow" w:eastAsia="Arial Narrow" w:hAnsi="Arial Narrow" w:cs="Arial Narrow"/>
          <w:sz w:val="20"/>
          <w:szCs w:val="20"/>
        </w:rPr>
        <w:t>voltages not exceeding 1 000 V. It is to be read in conjunction with those sections of Part 1 to which</w:t>
      </w:r>
    </w:p>
    <w:p w14:paraId="7572B8C2" w14:textId="1918AE3C" w:rsidR="00FB24F8" w:rsidRPr="00FB24F8" w:rsidRDefault="007D3694" w:rsidP="00271CB1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7D3694">
        <w:rPr>
          <w:rFonts w:ascii="Arial Narrow" w:eastAsia="Arial Narrow" w:hAnsi="Arial Narrow" w:cs="Arial Narrow"/>
          <w:sz w:val="20"/>
          <w:szCs w:val="20"/>
        </w:rPr>
        <w:t>reference is made.</w:t>
      </w:r>
      <w:r w:rsidRPr="007D3694">
        <w:rPr>
          <w:rFonts w:ascii="Arial Narrow" w:eastAsia="Arial Narrow" w:hAnsi="Arial Narrow" w:cs="Arial Narrow"/>
          <w:sz w:val="20"/>
          <w:szCs w:val="20"/>
        </w:rPr>
        <w:cr/>
      </w:r>
    </w:p>
    <w:p w14:paraId="3C90250F" w14:textId="67794137" w:rsidR="00FB24F8" w:rsidRPr="00271CB1" w:rsidRDefault="00FB24F8" w:rsidP="0019603F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FB24F8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271CB1" w:rsidRPr="00271CB1">
        <w:rPr>
          <w:rFonts w:ascii="Arial Narrow" w:eastAsia="Arial Narrow" w:hAnsi="Arial Narrow" w:cs="Arial Narrow"/>
          <w:color w:val="000000"/>
          <w:sz w:val="20"/>
          <w:szCs w:val="20"/>
        </w:rPr>
        <w:t>KS IEC 60598-2-10:2003</w:t>
      </w:r>
    </w:p>
    <w:p w14:paraId="31C7BA84" w14:textId="77777777" w:rsidR="00FB24F8" w:rsidRPr="00FB24F8" w:rsidRDefault="00FB24F8" w:rsidP="00271CB1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</w:p>
    <w:p w14:paraId="00EA94A2" w14:textId="6A2E5A3F" w:rsidR="00FB24F8" w:rsidRPr="00FB24F8" w:rsidRDefault="00FB24F8" w:rsidP="00595FFB">
      <w:pPr>
        <w:spacing w:before="0" w:after="0"/>
        <w:ind w:left="1134" w:hanging="41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271CB1" w:rsidRPr="00271CB1">
        <w:rPr>
          <w:rFonts w:ascii="Arial Narrow" w:eastAsia="Arial Narrow" w:hAnsi="Arial Narrow" w:cs="Arial Narrow"/>
          <w:sz w:val="20"/>
          <w:szCs w:val="20"/>
        </w:rPr>
        <w:t xml:space="preserve">Luminaires - Part 2: </w:t>
      </w:r>
      <w:proofErr w:type="gramStart"/>
      <w:r w:rsidR="00271CB1" w:rsidRPr="00271CB1">
        <w:rPr>
          <w:rFonts w:ascii="Arial Narrow" w:eastAsia="Arial Narrow" w:hAnsi="Arial Narrow" w:cs="Arial Narrow"/>
          <w:sz w:val="20"/>
          <w:szCs w:val="20"/>
        </w:rPr>
        <w:t>Particular requirements</w:t>
      </w:r>
      <w:proofErr w:type="gramEnd"/>
      <w:r w:rsidR="00271CB1" w:rsidRPr="00271CB1">
        <w:rPr>
          <w:rFonts w:ascii="Arial Narrow" w:eastAsia="Arial Narrow" w:hAnsi="Arial Narrow" w:cs="Arial Narrow"/>
          <w:sz w:val="20"/>
          <w:szCs w:val="20"/>
        </w:rPr>
        <w:t>. Section 10: Portable child-appealing luminaires.</w:t>
      </w:r>
    </w:p>
    <w:p w14:paraId="4254B8B5" w14:textId="77777777" w:rsidR="00FB24F8" w:rsidRPr="00FB24F8" w:rsidRDefault="00FB24F8" w:rsidP="00595FFB">
      <w:pPr>
        <w:spacing w:before="0" w:after="0"/>
        <w:ind w:left="720"/>
        <w:contextualSpacing/>
        <w:rPr>
          <w:rFonts w:ascii="Arial Narrow" w:eastAsia="Arial Narrow" w:hAnsi="Arial Narrow" w:cs="Arial Narrow"/>
          <w:sz w:val="20"/>
          <w:szCs w:val="20"/>
        </w:rPr>
      </w:pPr>
    </w:p>
    <w:p w14:paraId="1CFB5433" w14:textId="77777777" w:rsidR="008D60D3" w:rsidRPr="008D60D3" w:rsidRDefault="00FB24F8" w:rsidP="008D60D3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8D60D3" w:rsidRPr="008D60D3">
        <w:rPr>
          <w:rFonts w:ascii="Arial Narrow" w:eastAsia="Arial Narrow" w:hAnsi="Arial Narrow" w:cs="Arial Narrow"/>
          <w:sz w:val="20"/>
          <w:szCs w:val="20"/>
        </w:rPr>
        <w:t>This part of IEC 60598 specifies requirements for portable luminaires for children and for use</w:t>
      </w:r>
    </w:p>
    <w:p w14:paraId="70D9DDF3" w14:textId="77777777" w:rsidR="008D60D3" w:rsidRPr="008D60D3" w:rsidRDefault="008D60D3" w:rsidP="008D60D3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8D60D3">
        <w:rPr>
          <w:rFonts w:ascii="Arial Narrow" w:eastAsia="Arial Narrow" w:hAnsi="Arial Narrow" w:cs="Arial Narrow"/>
          <w:sz w:val="20"/>
          <w:szCs w:val="20"/>
        </w:rPr>
        <w:t>with tungsten filament lamps or single capped fluorescent lamps on a supply voltage not</w:t>
      </w:r>
    </w:p>
    <w:p w14:paraId="7124A0AC" w14:textId="77777777" w:rsidR="008D60D3" w:rsidRPr="008D60D3" w:rsidRDefault="008D60D3" w:rsidP="008D60D3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8D60D3">
        <w:rPr>
          <w:rFonts w:ascii="Arial Narrow" w:eastAsia="Arial Narrow" w:hAnsi="Arial Narrow" w:cs="Arial Narrow"/>
          <w:sz w:val="20"/>
          <w:szCs w:val="20"/>
        </w:rPr>
        <w:t>exceeding 250 V. It is to be read in conjunction with those sections of Part 1 to which</w:t>
      </w:r>
    </w:p>
    <w:p w14:paraId="473ED7E3" w14:textId="2534C7D1" w:rsidR="00FB24F8" w:rsidRDefault="008D60D3" w:rsidP="008D60D3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8D60D3">
        <w:rPr>
          <w:rFonts w:ascii="Arial Narrow" w:eastAsia="Arial Narrow" w:hAnsi="Arial Narrow" w:cs="Arial Narrow"/>
          <w:sz w:val="20"/>
          <w:szCs w:val="20"/>
        </w:rPr>
        <w:t>reference is made.</w:t>
      </w:r>
    </w:p>
    <w:p w14:paraId="67EC33A1" w14:textId="77777777" w:rsidR="00FB24F8" w:rsidRPr="00FB24F8" w:rsidRDefault="00FB24F8" w:rsidP="00595FFB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50ED067E" w14:textId="3DF131A2" w:rsidR="00595FFB" w:rsidRPr="00595FFB" w:rsidRDefault="00FB24F8" w:rsidP="00595FFB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FB24F8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224A4D" w:rsidRPr="00224A4D">
        <w:rPr>
          <w:rFonts w:ascii="Arial Narrow" w:eastAsia="Arial Narrow" w:hAnsi="Arial Narrow" w:cs="Arial Narrow"/>
          <w:color w:val="000000"/>
          <w:sz w:val="20"/>
          <w:szCs w:val="20"/>
        </w:rPr>
        <w:t>KS IEC 60598-2-18:1993 </w:t>
      </w:r>
    </w:p>
    <w:p w14:paraId="301EE03F" w14:textId="77777777" w:rsidR="00FB24F8" w:rsidRPr="00FB24F8" w:rsidRDefault="00FB24F8" w:rsidP="00595FF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</w:p>
    <w:p w14:paraId="2B8DADE0" w14:textId="569A523F" w:rsidR="00FB24F8" w:rsidRPr="00FB24F8" w:rsidRDefault="00FB24F8" w:rsidP="00595FFB">
      <w:pPr>
        <w:spacing w:before="0" w:after="0"/>
        <w:ind w:left="1134" w:hanging="41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224A4D" w:rsidRPr="00224A4D">
        <w:rPr>
          <w:rFonts w:ascii="Arial Narrow" w:eastAsia="Arial Narrow" w:hAnsi="Arial Narrow" w:cs="Arial Narrow"/>
          <w:sz w:val="20"/>
          <w:szCs w:val="20"/>
        </w:rPr>
        <w:t xml:space="preserve">Luminaires - Part 2: </w:t>
      </w:r>
      <w:proofErr w:type="gramStart"/>
      <w:r w:rsidR="00224A4D" w:rsidRPr="00224A4D">
        <w:rPr>
          <w:rFonts w:ascii="Arial Narrow" w:eastAsia="Arial Narrow" w:hAnsi="Arial Narrow" w:cs="Arial Narrow"/>
          <w:sz w:val="20"/>
          <w:szCs w:val="20"/>
        </w:rPr>
        <w:t>Particular requirements</w:t>
      </w:r>
      <w:proofErr w:type="gramEnd"/>
      <w:r w:rsidR="00224A4D" w:rsidRPr="00224A4D">
        <w:rPr>
          <w:rFonts w:ascii="Arial Narrow" w:eastAsia="Arial Narrow" w:hAnsi="Arial Narrow" w:cs="Arial Narrow"/>
          <w:sz w:val="20"/>
          <w:szCs w:val="20"/>
        </w:rPr>
        <w:t xml:space="preserve"> - Section 18: Luminaires for swimming pools and similar applications.</w:t>
      </w:r>
    </w:p>
    <w:p w14:paraId="75542DCF" w14:textId="77777777" w:rsidR="00FB24F8" w:rsidRPr="00FB24F8" w:rsidRDefault="00FB24F8" w:rsidP="00595FFB">
      <w:pPr>
        <w:spacing w:before="0" w:after="0"/>
        <w:ind w:left="720"/>
        <w:contextualSpacing/>
        <w:rPr>
          <w:rFonts w:ascii="Arial Narrow" w:eastAsia="Arial Narrow" w:hAnsi="Arial Narrow" w:cs="Arial Narrow"/>
          <w:sz w:val="20"/>
          <w:szCs w:val="20"/>
        </w:rPr>
      </w:pPr>
    </w:p>
    <w:p w14:paraId="64EB9F8B" w14:textId="77777777" w:rsidR="00045649" w:rsidRPr="00045649" w:rsidRDefault="00FB24F8" w:rsidP="00045649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045649" w:rsidRPr="00045649">
        <w:rPr>
          <w:rFonts w:ascii="Arial Narrow" w:eastAsia="Arial Narrow" w:hAnsi="Arial Narrow" w:cs="Arial Narrow"/>
          <w:sz w:val="20"/>
          <w:szCs w:val="20"/>
        </w:rPr>
        <w:t>This section of Part 2 of IEC 598 specifies requirements for fixed luminaires intended for</w:t>
      </w:r>
    </w:p>
    <w:p w14:paraId="3E548DBC" w14:textId="77777777" w:rsidR="00045649" w:rsidRPr="00045649" w:rsidRDefault="00045649" w:rsidP="00045649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045649">
        <w:rPr>
          <w:rFonts w:ascii="Arial Narrow" w:eastAsia="Arial Narrow" w:hAnsi="Arial Narrow" w:cs="Arial Narrow"/>
          <w:sz w:val="20"/>
          <w:szCs w:val="20"/>
        </w:rPr>
        <w:t>use in the water, or in contact with the water, in, for example, the basins of swimming</w:t>
      </w:r>
    </w:p>
    <w:p w14:paraId="4CCE30E6" w14:textId="77777777" w:rsidR="00045649" w:rsidRPr="00045649" w:rsidRDefault="00045649" w:rsidP="00045649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045649">
        <w:rPr>
          <w:rFonts w:ascii="Arial Narrow" w:eastAsia="Arial Narrow" w:hAnsi="Arial Narrow" w:cs="Arial Narrow"/>
          <w:sz w:val="20"/>
          <w:szCs w:val="20"/>
        </w:rPr>
        <w:t>pools, fountains, paddling pools, and garden pools, and for use with tungsten filament</w:t>
      </w:r>
    </w:p>
    <w:p w14:paraId="396E4A52" w14:textId="1A0948B6" w:rsidR="00FB24F8" w:rsidRDefault="00045649" w:rsidP="00045649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045649">
        <w:rPr>
          <w:rFonts w:ascii="Arial Narrow" w:eastAsia="Arial Narrow" w:hAnsi="Arial Narrow" w:cs="Arial Narrow"/>
          <w:sz w:val="20"/>
          <w:szCs w:val="20"/>
        </w:rPr>
        <w:t>lamps.</w:t>
      </w:r>
      <w:r w:rsidRPr="00045649">
        <w:rPr>
          <w:rFonts w:ascii="Arial Narrow" w:eastAsia="Arial Narrow" w:hAnsi="Arial Narrow" w:cs="Arial Narrow"/>
          <w:sz w:val="20"/>
          <w:szCs w:val="20"/>
        </w:rPr>
        <w:cr/>
      </w:r>
    </w:p>
    <w:p w14:paraId="2EAA4161" w14:textId="77777777" w:rsidR="00FB24F8" w:rsidRPr="00FB24F8" w:rsidRDefault="00FB24F8" w:rsidP="004D7AA5">
      <w:pPr>
        <w:spacing w:before="0" w:after="0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572609D3" w14:textId="53F9962C" w:rsidR="00595FFB" w:rsidRPr="00595FFB" w:rsidRDefault="00FB24F8" w:rsidP="00595FFB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color w:val="000000"/>
          <w:sz w:val="20"/>
          <w:szCs w:val="20"/>
        </w:rPr>
        <w:lastRenderedPageBreak/>
        <w:t>Number:</w:t>
      </w:r>
      <w:r w:rsidRPr="00FB24F8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BE333B" w:rsidRPr="00BE333B">
        <w:rPr>
          <w:rFonts w:ascii="Arial Narrow" w:eastAsia="Arial Narrow" w:hAnsi="Arial Narrow" w:cs="Arial Narrow"/>
          <w:color w:val="000000"/>
          <w:sz w:val="20"/>
          <w:szCs w:val="20"/>
        </w:rPr>
        <w:t>KS IEC 60598-2-19:1997</w:t>
      </w:r>
    </w:p>
    <w:p w14:paraId="6953BBEA" w14:textId="77777777" w:rsidR="00FB24F8" w:rsidRPr="00FB24F8" w:rsidRDefault="00FB24F8" w:rsidP="00595FF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</w:p>
    <w:p w14:paraId="4C5CFF29" w14:textId="2902F48C" w:rsidR="00FB24F8" w:rsidRPr="00FB24F8" w:rsidRDefault="00FB24F8" w:rsidP="00595FFB">
      <w:pPr>
        <w:spacing w:before="0" w:after="0"/>
        <w:ind w:left="1134" w:hanging="41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BE333B" w:rsidRPr="00BE333B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Luminaires - Part 2: </w:t>
      </w:r>
      <w:proofErr w:type="gramStart"/>
      <w:r w:rsidR="00BE333B" w:rsidRPr="00BE333B">
        <w:rPr>
          <w:rFonts w:ascii="Arial Narrow" w:eastAsia="Arial Narrow" w:hAnsi="Arial Narrow" w:cs="Arial Narrow"/>
          <w:color w:val="000000"/>
          <w:sz w:val="20"/>
          <w:szCs w:val="20"/>
        </w:rPr>
        <w:t>Particular requirements</w:t>
      </w:r>
      <w:proofErr w:type="gramEnd"/>
      <w:r w:rsidR="00BE333B" w:rsidRPr="00BE333B">
        <w:rPr>
          <w:rFonts w:ascii="Arial Narrow" w:eastAsia="Arial Narrow" w:hAnsi="Arial Narrow" w:cs="Arial Narrow"/>
          <w:color w:val="000000"/>
          <w:sz w:val="20"/>
          <w:szCs w:val="20"/>
        </w:rPr>
        <w:t>. Section 19: Air-handling luminaires (safety requirements).</w:t>
      </w:r>
    </w:p>
    <w:p w14:paraId="26B5AB1A" w14:textId="77777777" w:rsidR="00FB24F8" w:rsidRPr="00FB24F8" w:rsidRDefault="00FB24F8" w:rsidP="00595FFB">
      <w:pPr>
        <w:spacing w:before="0" w:after="0"/>
        <w:ind w:left="720"/>
        <w:contextualSpacing/>
        <w:rPr>
          <w:rFonts w:ascii="Arial Narrow" w:eastAsia="Arial Narrow" w:hAnsi="Arial Narrow" w:cs="Arial Narrow"/>
          <w:sz w:val="20"/>
          <w:szCs w:val="20"/>
        </w:rPr>
      </w:pPr>
    </w:p>
    <w:p w14:paraId="62A8008D" w14:textId="726B51C3" w:rsidR="00FB24F8" w:rsidRPr="00FB24F8" w:rsidRDefault="00FB24F8" w:rsidP="004D7AA5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E8390E" w:rsidRPr="00E8390E">
        <w:rPr>
          <w:rFonts w:ascii="Arial Narrow" w:eastAsia="Arial Narrow" w:hAnsi="Arial Narrow" w:cs="Arial Narrow"/>
          <w:sz w:val="20"/>
          <w:szCs w:val="20"/>
        </w:rPr>
        <w:t>This section of Part 2 of IEC Publication 598 specifies safety requirements for air-handling</w:t>
      </w:r>
      <w:r w:rsidR="00606C54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E8390E" w:rsidRPr="00E8390E">
        <w:rPr>
          <w:rFonts w:ascii="Arial Narrow" w:eastAsia="Arial Narrow" w:hAnsi="Arial Narrow" w:cs="Arial Narrow"/>
          <w:sz w:val="20"/>
          <w:szCs w:val="20"/>
        </w:rPr>
        <w:t>luminaires for use with a ventilation duct or ventilated space (plenum), for use with tubular fluorescent lamps</w:t>
      </w:r>
      <w:r w:rsidR="00606C54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E8390E" w:rsidRPr="00E8390E">
        <w:rPr>
          <w:rFonts w:ascii="Arial Narrow" w:eastAsia="Arial Narrow" w:hAnsi="Arial Narrow" w:cs="Arial Narrow"/>
          <w:sz w:val="20"/>
          <w:szCs w:val="20"/>
        </w:rPr>
        <w:t>on</w:t>
      </w:r>
      <w:r w:rsidR="00E8390E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E8390E" w:rsidRPr="00E8390E">
        <w:rPr>
          <w:rFonts w:ascii="Arial Narrow" w:eastAsia="Arial Narrow" w:hAnsi="Arial Narrow" w:cs="Arial Narrow"/>
          <w:sz w:val="20"/>
          <w:szCs w:val="20"/>
        </w:rPr>
        <w:t>supply voltages not exceeding 1 000 V. It is to be read in conjunction with those</w:t>
      </w:r>
      <w:r w:rsidR="00BD1483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E8390E" w:rsidRPr="00E8390E">
        <w:rPr>
          <w:rFonts w:ascii="Arial Narrow" w:eastAsia="Arial Narrow" w:hAnsi="Arial Narrow" w:cs="Arial Narrow"/>
          <w:sz w:val="20"/>
          <w:szCs w:val="20"/>
        </w:rPr>
        <w:t>sections of Part 1 to which reference is made.</w:t>
      </w:r>
    </w:p>
    <w:p w14:paraId="027E09D2" w14:textId="2862926F" w:rsidR="00595FFB" w:rsidRPr="00595FFB" w:rsidRDefault="00FB24F8" w:rsidP="00595FFB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FB24F8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BD1483" w:rsidRPr="00BD1483">
        <w:rPr>
          <w:rFonts w:ascii="Arial Narrow" w:eastAsia="Arial Narrow" w:hAnsi="Arial Narrow" w:cs="Arial Narrow"/>
          <w:color w:val="000000"/>
          <w:sz w:val="20"/>
          <w:szCs w:val="20"/>
        </w:rPr>
        <w:t>KS</w:t>
      </w:r>
      <w:r w:rsidR="00BD1483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BD1483" w:rsidRPr="00BD1483">
        <w:rPr>
          <w:rFonts w:ascii="Arial Narrow" w:eastAsia="Arial Narrow" w:hAnsi="Arial Narrow" w:cs="Arial Narrow"/>
          <w:color w:val="000000"/>
          <w:sz w:val="20"/>
          <w:szCs w:val="20"/>
        </w:rPr>
        <w:t>IEC 60598-2-23:2001</w:t>
      </w:r>
      <w:r w:rsidR="00BD1483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</w:p>
    <w:p w14:paraId="384B6D9E" w14:textId="77777777" w:rsidR="00FB24F8" w:rsidRPr="00FB24F8" w:rsidRDefault="00FB24F8" w:rsidP="00595FF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</w:p>
    <w:p w14:paraId="40B9264F" w14:textId="06EC4D0C" w:rsidR="00FB24F8" w:rsidRPr="00FB24F8" w:rsidRDefault="00FB24F8" w:rsidP="00595FFB">
      <w:pPr>
        <w:spacing w:before="0" w:after="0"/>
        <w:ind w:left="1134" w:hanging="41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BD1483" w:rsidRPr="00BD1483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Luminaires - Part 2: </w:t>
      </w:r>
      <w:proofErr w:type="gramStart"/>
      <w:r w:rsidR="00BD1483" w:rsidRPr="00BD1483">
        <w:rPr>
          <w:rFonts w:ascii="Arial Narrow" w:eastAsia="Arial Narrow" w:hAnsi="Arial Narrow" w:cs="Arial Narrow"/>
          <w:color w:val="000000"/>
          <w:sz w:val="20"/>
          <w:szCs w:val="20"/>
        </w:rPr>
        <w:t>Particular requirements</w:t>
      </w:r>
      <w:proofErr w:type="gramEnd"/>
      <w:r w:rsidR="00BD1483" w:rsidRPr="00BD1483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- Section 23: Extra low voltage lighting systems for filament lamps.</w:t>
      </w:r>
    </w:p>
    <w:p w14:paraId="19FF825D" w14:textId="77777777" w:rsidR="00FB24F8" w:rsidRPr="00FB24F8" w:rsidRDefault="00FB24F8" w:rsidP="00595FFB">
      <w:pPr>
        <w:spacing w:before="0" w:after="0"/>
        <w:ind w:left="720"/>
        <w:contextualSpacing/>
        <w:rPr>
          <w:rFonts w:ascii="Arial Narrow" w:eastAsia="Arial Narrow" w:hAnsi="Arial Narrow" w:cs="Arial Narrow"/>
          <w:sz w:val="20"/>
          <w:szCs w:val="20"/>
        </w:rPr>
      </w:pPr>
    </w:p>
    <w:p w14:paraId="04C2DFF7" w14:textId="77777777" w:rsidR="00AE452C" w:rsidRPr="00AE452C" w:rsidRDefault="00FB24F8" w:rsidP="00AE452C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AE452C" w:rsidRPr="00AE452C">
        <w:rPr>
          <w:rFonts w:ascii="Arial Narrow" w:eastAsia="Arial Narrow" w:hAnsi="Arial Narrow" w:cs="Arial Narrow"/>
          <w:sz w:val="20"/>
          <w:szCs w:val="20"/>
        </w:rPr>
        <w:t>This section of IEC 60598-2 specifies requirements for extra low voltage lighting systems for</w:t>
      </w:r>
    </w:p>
    <w:p w14:paraId="4316B629" w14:textId="77777777" w:rsidR="00AE452C" w:rsidRPr="00AE452C" w:rsidRDefault="00AE452C" w:rsidP="00AE452C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AE452C">
        <w:rPr>
          <w:rFonts w:ascii="Arial Narrow" w:eastAsia="Arial Narrow" w:hAnsi="Arial Narrow" w:cs="Arial Narrow"/>
          <w:sz w:val="20"/>
          <w:szCs w:val="20"/>
        </w:rPr>
        <w:t>filament lamps intended for ordinary interior use on supply voltages not exceeding 1 000 V.</w:t>
      </w:r>
    </w:p>
    <w:p w14:paraId="59571BE8" w14:textId="77777777" w:rsidR="00AE452C" w:rsidRPr="00AE452C" w:rsidRDefault="00AE452C" w:rsidP="00AE452C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AE452C">
        <w:rPr>
          <w:rFonts w:ascii="Arial Narrow" w:eastAsia="Arial Narrow" w:hAnsi="Arial Narrow" w:cs="Arial Narrow"/>
          <w:sz w:val="20"/>
          <w:szCs w:val="20"/>
        </w:rPr>
        <w:t>The luminaires, being connected in parallel, are supplied via freely suspended continuous</w:t>
      </w:r>
    </w:p>
    <w:p w14:paraId="7DD68B63" w14:textId="77777777" w:rsidR="00AE452C" w:rsidRPr="00AE452C" w:rsidRDefault="00AE452C" w:rsidP="00AE452C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AE452C">
        <w:rPr>
          <w:rFonts w:ascii="Arial Narrow" w:eastAsia="Arial Narrow" w:hAnsi="Arial Narrow" w:cs="Arial Narrow"/>
          <w:sz w:val="20"/>
          <w:szCs w:val="20"/>
        </w:rPr>
        <w:t>supporting conductors or profiles. The current in the output circuit of the system is limited</w:t>
      </w:r>
    </w:p>
    <w:p w14:paraId="7A38DF35" w14:textId="25DE7019" w:rsidR="00FB24F8" w:rsidRDefault="00AE452C" w:rsidP="00AE452C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AE452C">
        <w:rPr>
          <w:rFonts w:ascii="Arial Narrow" w:eastAsia="Arial Narrow" w:hAnsi="Arial Narrow" w:cs="Arial Narrow"/>
          <w:sz w:val="20"/>
          <w:szCs w:val="20"/>
        </w:rPr>
        <w:t>to 25 A.</w:t>
      </w:r>
    </w:p>
    <w:p w14:paraId="617F2B2C" w14:textId="77777777" w:rsidR="00FB24F8" w:rsidRPr="00FB24F8" w:rsidRDefault="00FB24F8" w:rsidP="00AE452C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72D7E1A5" w14:textId="6FDC295E" w:rsidR="00595FFB" w:rsidRPr="00595FFB" w:rsidRDefault="00FB24F8" w:rsidP="00595FFB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="00655B98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655B98" w:rsidRPr="00655B98">
        <w:rPr>
          <w:rFonts w:ascii="Arial Narrow" w:eastAsia="Arial Narrow" w:hAnsi="Arial Narrow" w:cs="Arial Narrow"/>
          <w:color w:val="000000"/>
          <w:sz w:val="20"/>
          <w:szCs w:val="20"/>
        </w:rPr>
        <w:t>KS IEC 60598-2-25:1994</w:t>
      </w:r>
    </w:p>
    <w:p w14:paraId="5EF87EA3" w14:textId="77777777" w:rsidR="00FB24F8" w:rsidRPr="00FB24F8" w:rsidRDefault="00FB24F8" w:rsidP="00595FF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</w:p>
    <w:p w14:paraId="7E1F0B41" w14:textId="518C174C" w:rsidR="00FB24F8" w:rsidRPr="00FB24F8" w:rsidRDefault="00FB24F8" w:rsidP="00595FFB">
      <w:pPr>
        <w:spacing w:before="0" w:after="0"/>
        <w:ind w:left="1134" w:hanging="41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655B98" w:rsidRPr="00655B98">
        <w:rPr>
          <w:rFonts w:ascii="Arial Narrow" w:eastAsia="Arial Narrow" w:hAnsi="Arial Narrow" w:cs="Arial Narrow"/>
          <w:sz w:val="20"/>
          <w:szCs w:val="20"/>
        </w:rPr>
        <w:t xml:space="preserve">Luminaires - Part 2: </w:t>
      </w:r>
      <w:proofErr w:type="gramStart"/>
      <w:r w:rsidR="00655B98" w:rsidRPr="00655B98">
        <w:rPr>
          <w:rFonts w:ascii="Arial Narrow" w:eastAsia="Arial Narrow" w:hAnsi="Arial Narrow" w:cs="Arial Narrow"/>
          <w:sz w:val="20"/>
          <w:szCs w:val="20"/>
        </w:rPr>
        <w:t>Particular requirements</w:t>
      </w:r>
      <w:proofErr w:type="gramEnd"/>
      <w:r w:rsidR="00655B98" w:rsidRPr="00655B98">
        <w:rPr>
          <w:rFonts w:ascii="Arial Narrow" w:eastAsia="Arial Narrow" w:hAnsi="Arial Narrow" w:cs="Arial Narrow"/>
          <w:sz w:val="20"/>
          <w:szCs w:val="20"/>
        </w:rPr>
        <w:t xml:space="preserve"> - Section 25: Luminaires for use in clinical areas of hospitals and health care buildings.</w:t>
      </w:r>
    </w:p>
    <w:p w14:paraId="07FFA6DE" w14:textId="77777777" w:rsidR="00FB24F8" w:rsidRPr="00FB24F8" w:rsidRDefault="00FB24F8" w:rsidP="00595FFB">
      <w:pPr>
        <w:spacing w:before="0" w:after="0"/>
        <w:ind w:left="720"/>
        <w:contextualSpacing/>
        <w:rPr>
          <w:rFonts w:ascii="Arial Narrow" w:eastAsia="Arial Narrow" w:hAnsi="Arial Narrow" w:cs="Arial Narrow"/>
          <w:sz w:val="20"/>
          <w:szCs w:val="20"/>
        </w:rPr>
      </w:pPr>
    </w:p>
    <w:p w14:paraId="75B135A3" w14:textId="392F46B9" w:rsidR="00FB24F8" w:rsidRDefault="00FB24F8" w:rsidP="00E8366F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E8366F" w:rsidRPr="00E8366F">
        <w:rPr>
          <w:rFonts w:ascii="Arial Narrow" w:eastAsia="Arial Narrow" w:hAnsi="Arial Narrow" w:cs="Arial Narrow"/>
          <w:sz w:val="20"/>
          <w:szCs w:val="20"/>
        </w:rPr>
        <w:t>This section of IEC 598-2 details specific requirements for luminaires for use with tungsten</w:t>
      </w:r>
      <w:r w:rsidR="00E8366F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E8366F" w:rsidRPr="00E8366F">
        <w:rPr>
          <w:rFonts w:ascii="Arial Narrow" w:eastAsia="Arial Narrow" w:hAnsi="Arial Narrow" w:cs="Arial Narrow"/>
          <w:sz w:val="20"/>
          <w:szCs w:val="20"/>
        </w:rPr>
        <w:t>filament,</w:t>
      </w:r>
      <w:r w:rsidR="00E8366F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E8366F" w:rsidRPr="00E8366F">
        <w:rPr>
          <w:rFonts w:ascii="Arial Narrow" w:eastAsia="Arial Narrow" w:hAnsi="Arial Narrow" w:cs="Arial Narrow"/>
          <w:sz w:val="20"/>
          <w:szCs w:val="20"/>
        </w:rPr>
        <w:t>fluorescent and other discharge lamps on supply voltages not exceeding 1 000 V</w:t>
      </w:r>
      <w:r w:rsidR="00E8366F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E8366F" w:rsidRPr="00E8366F">
        <w:rPr>
          <w:rFonts w:ascii="Arial Narrow" w:eastAsia="Arial Narrow" w:hAnsi="Arial Narrow" w:cs="Arial Narrow"/>
          <w:sz w:val="20"/>
          <w:szCs w:val="20"/>
        </w:rPr>
        <w:t>for use in clinical areas in</w:t>
      </w:r>
      <w:r w:rsidR="00E8366F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E8366F" w:rsidRPr="00E8366F">
        <w:rPr>
          <w:rFonts w:ascii="Arial Narrow" w:eastAsia="Arial Narrow" w:hAnsi="Arial Narrow" w:cs="Arial Narrow"/>
          <w:sz w:val="20"/>
          <w:szCs w:val="20"/>
        </w:rPr>
        <w:t>which medical treatment, examination and medical care takes</w:t>
      </w:r>
      <w:r w:rsidR="00E8366F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E8366F" w:rsidRPr="00E8366F">
        <w:rPr>
          <w:rFonts w:ascii="Arial Narrow" w:eastAsia="Arial Narrow" w:hAnsi="Arial Narrow" w:cs="Arial Narrow"/>
          <w:sz w:val="20"/>
          <w:szCs w:val="20"/>
        </w:rPr>
        <w:t>place in hospitals and health care buildings.</w:t>
      </w:r>
    </w:p>
    <w:p w14:paraId="6721CCAA" w14:textId="77777777" w:rsidR="00FB24F8" w:rsidRPr="00FB24F8" w:rsidRDefault="00FB24F8" w:rsidP="00595FFB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4C273C34" w14:textId="51801D0F" w:rsidR="00FB24F8" w:rsidRPr="00CD6F09" w:rsidRDefault="00FB24F8" w:rsidP="00E9127E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FB24F8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CD6F09" w:rsidRPr="00CD6F09">
        <w:rPr>
          <w:rFonts w:ascii="Arial Narrow" w:eastAsia="Arial Narrow" w:hAnsi="Arial Narrow" w:cs="Arial Narrow"/>
          <w:color w:val="000000"/>
          <w:sz w:val="20"/>
          <w:szCs w:val="20"/>
        </w:rPr>
        <w:t>KS IEC 60598-2-9:1993</w:t>
      </w:r>
    </w:p>
    <w:p w14:paraId="3AE7A669" w14:textId="77777777" w:rsidR="00FB24F8" w:rsidRPr="00FB24F8" w:rsidRDefault="00FB24F8" w:rsidP="00CD6F0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</w:p>
    <w:p w14:paraId="183D6D5C" w14:textId="12A93887" w:rsidR="00FB24F8" w:rsidRPr="00FB24F8" w:rsidRDefault="00FB24F8" w:rsidP="00CD6F0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CD6F09" w:rsidRPr="00CD6F09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Luminaires - Part 2: </w:t>
      </w:r>
      <w:proofErr w:type="gramStart"/>
      <w:r w:rsidR="00CD6F09" w:rsidRPr="00CD6F09">
        <w:rPr>
          <w:rFonts w:ascii="Arial Narrow" w:eastAsia="Arial Narrow" w:hAnsi="Arial Narrow" w:cs="Arial Narrow"/>
          <w:color w:val="000000"/>
          <w:sz w:val="20"/>
          <w:szCs w:val="20"/>
        </w:rPr>
        <w:t>Particular requirements</w:t>
      </w:r>
      <w:proofErr w:type="gramEnd"/>
      <w:r w:rsidR="00CD6F09" w:rsidRPr="00CD6F09">
        <w:rPr>
          <w:rFonts w:ascii="Arial Narrow" w:eastAsia="Arial Narrow" w:hAnsi="Arial Narrow" w:cs="Arial Narrow"/>
          <w:color w:val="000000"/>
          <w:sz w:val="20"/>
          <w:szCs w:val="20"/>
        </w:rPr>
        <w:t>. Section 9: Photo and film luminaires (non-professional).</w:t>
      </w:r>
    </w:p>
    <w:p w14:paraId="07992D6E" w14:textId="77777777" w:rsidR="00FB24F8" w:rsidRPr="00FB24F8" w:rsidRDefault="00FB24F8" w:rsidP="00595FFB">
      <w:pPr>
        <w:spacing w:before="0" w:after="0"/>
        <w:ind w:left="720"/>
        <w:contextualSpacing/>
        <w:rPr>
          <w:rFonts w:ascii="Arial Narrow" w:eastAsia="Arial Narrow" w:hAnsi="Arial Narrow" w:cs="Arial Narrow"/>
          <w:sz w:val="20"/>
          <w:szCs w:val="20"/>
        </w:rPr>
      </w:pPr>
    </w:p>
    <w:p w14:paraId="6DCAEA43" w14:textId="48ECA481" w:rsidR="00CA287F" w:rsidRDefault="00FB24F8" w:rsidP="006F2746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107CD2" w:rsidRPr="00107CD2">
        <w:rPr>
          <w:rFonts w:ascii="Arial Narrow" w:eastAsia="Arial Narrow" w:hAnsi="Arial Narrow" w:cs="Arial Narrow"/>
          <w:sz w:val="20"/>
          <w:szCs w:val="20"/>
        </w:rPr>
        <w:t>This section of Part 2 of IEC Publication 598 specifies requirements</w:t>
      </w:r>
      <w:r w:rsidR="00107CD2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107CD2" w:rsidRPr="00107CD2">
        <w:rPr>
          <w:rFonts w:ascii="Arial Narrow" w:eastAsia="Arial Narrow" w:hAnsi="Arial Narrow" w:cs="Arial Narrow"/>
          <w:sz w:val="20"/>
          <w:szCs w:val="20"/>
        </w:rPr>
        <w:t>for photo and film luminaires (non-professional) for use with tungsten</w:t>
      </w:r>
      <w:r w:rsidR="00107CD2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107CD2" w:rsidRPr="00107CD2">
        <w:rPr>
          <w:rFonts w:ascii="Arial Narrow" w:eastAsia="Arial Narrow" w:hAnsi="Arial Narrow" w:cs="Arial Narrow"/>
          <w:sz w:val="20"/>
          <w:szCs w:val="20"/>
        </w:rPr>
        <w:t>filament lamps on supply voltages not exceeding 250 V, including</w:t>
      </w:r>
      <w:r w:rsidR="00107CD2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107CD2" w:rsidRPr="00107CD2">
        <w:rPr>
          <w:rFonts w:ascii="Arial Narrow" w:eastAsia="Arial Narrow" w:hAnsi="Arial Narrow" w:cs="Arial Narrow"/>
          <w:sz w:val="20"/>
          <w:szCs w:val="20"/>
        </w:rPr>
        <w:t>low-pressure tungsten halogen lamps specified in IEC Publication 357</w:t>
      </w:r>
      <w:r w:rsidR="00107CD2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107CD2" w:rsidRPr="00107CD2">
        <w:rPr>
          <w:rFonts w:ascii="Arial Narrow" w:eastAsia="Arial Narrow" w:hAnsi="Arial Narrow" w:cs="Arial Narrow"/>
          <w:sz w:val="20"/>
          <w:szCs w:val="20"/>
        </w:rPr>
        <w:t>with the reference 357-IEC-3155.</w:t>
      </w:r>
    </w:p>
    <w:p w14:paraId="396FB1D8" w14:textId="77777777" w:rsidR="001A6835" w:rsidRDefault="001A6835" w:rsidP="006F2746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6B2F4AC1" w14:textId="18B96439" w:rsidR="00FB24F8" w:rsidRPr="00424DCB" w:rsidRDefault="00FB24F8" w:rsidP="001278BF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FB24F8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424DCB" w:rsidRPr="00424DCB">
        <w:rPr>
          <w:rFonts w:ascii="Arial Narrow" w:eastAsia="Arial Narrow" w:hAnsi="Arial Narrow" w:cs="Arial Narrow"/>
          <w:color w:val="000000"/>
          <w:sz w:val="20"/>
          <w:szCs w:val="20"/>
        </w:rPr>
        <w:t>KS 2262:2010</w:t>
      </w:r>
    </w:p>
    <w:p w14:paraId="1B469C3A" w14:textId="77777777" w:rsidR="00FB24F8" w:rsidRPr="00FB24F8" w:rsidRDefault="00FB24F8" w:rsidP="00424D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</w:p>
    <w:p w14:paraId="0F167421" w14:textId="77777777" w:rsidR="00424DCB" w:rsidRPr="001A6835" w:rsidRDefault="00FB24F8" w:rsidP="00424D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="00424DCB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 w:rsidR="00424DCB" w:rsidRPr="00424DCB">
        <w:rPr>
          <w:rFonts w:ascii="Arial Narrow" w:eastAsia="Arial Narrow" w:hAnsi="Arial Narrow" w:cs="Arial Narrow"/>
          <w:color w:val="000000"/>
          <w:sz w:val="20"/>
          <w:szCs w:val="20"/>
        </w:rPr>
        <w:t>Fluorescent lamps and other lamps containing mercury — Specifications and disposal requirements</w:t>
      </w:r>
    </w:p>
    <w:p w14:paraId="39CCDA71" w14:textId="0FCB3E06" w:rsidR="00FB24F8" w:rsidRPr="00FB24F8" w:rsidRDefault="00FB24F8" w:rsidP="00424D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14:paraId="00CFE95B" w14:textId="77777777" w:rsidR="00AE5C89" w:rsidRPr="00AE5C89" w:rsidRDefault="00FB24F8" w:rsidP="00AE5C89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AE5C89" w:rsidRPr="00AE5C89">
        <w:rPr>
          <w:rFonts w:ascii="Arial Narrow" w:eastAsia="Arial Narrow" w:hAnsi="Arial Narrow" w:cs="Arial Narrow"/>
          <w:sz w:val="20"/>
          <w:szCs w:val="20"/>
        </w:rPr>
        <w:t>This Kenya Standard establishes the performance, safety, environmental and health requirements for</w:t>
      </w:r>
    </w:p>
    <w:p w14:paraId="4337F684" w14:textId="77777777" w:rsidR="00AE5C89" w:rsidRPr="00AE5C89" w:rsidRDefault="00AE5C89" w:rsidP="00AE5C89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AE5C89">
        <w:rPr>
          <w:rFonts w:ascii="Arial Narrow" w:eastAsia="Arial Narrow" w:hAnsi="Arial Narrow" w:cs="Arial Narrow"/>
          <w:sz w:val="20"/>
          <w:szCs w:val="20"/>
        </w:rPr>
        <w:t>compact fluorescent lamps (CFLs), tubular fluorescent lamps (TFLs) and certain other lamps containing</w:t>
      </w:r>
    </w:p>
    <w:p w14:paraId="54F8F11B" w14:textId="77777777" w:rsidR="00AE5C89" w:rsidRPr="00AE5C89" w:rsidRDefault="00AE5C89" w:rsidP="00AE5C89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AE5C89">
        <w:rPr>
          <w:rFonts w:ascii="Arial Narrow" w:eastAsia="Arial Narrow" w:hAnsi="Arial Narrow" w:cs="Arial Narrow"/>
          <w:sz w:val="20"/>
          <w:szCs w:val="20"/>
        </w:rPr>
        <w:t>mercury used for general lighting purposes, household room illumination, industrial purposes or other</w:t>
      </w:r>
    </w:p>
    <w:p w14:paraId="6D46853A" w14:textId="77777777" w:rsidR="00AE5C89" w:rsidRPr="00AE5C89" w:rsidRDefault="00AE5C89" w:rsidP="00AE5C89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AE5C89">
        <w:rPr>
          <w:rFonts w:ascii="Arial Narrow" w:eastAsia="Arial Narrow" w:hAnsi="Arial Narrow" w:cs="Arial Narrow"/>
          <w:sz w:val="20"/>
          <w:szCs w:val="20"/>
        </w:rPr>
        <w:t>specialized purposes. The standard also establishes the current permissible levels of mercury in individual</w:t>
      </w:r>
    </w:p>
    <w:p w14:paraId="02E502FC" w14:textId="4571FBE7" w:rsidR="001A6835" w:rsidRDefault="00AE5C89" w:rsidP="00AE5C89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AE5C89">
        <w:rPr>
          <w:rFonts w:ascii="Arial Narrow" w:eastAsia="Arial Narrow" w:hAnsi="Arial Narrow" w:cs="Arial Narrow"/>
          <w:sz w:val="20"/>
          <w:szCs w:val="20"/>
        </w:rPr>
        <w:t>lamps and expected phase-down levels by the year 2013.</w:t>
      </w:r>
    </w:p>
    <w:p w14:paraId="4DBC3ECD" w14:textId="77777777" w:rsidR="001A6835" w:rsidRPr="00107CD2" w:rsidRDefault="001A6835" w:rsidP="001A6835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26B04089" w14:textId="34CE878F" w:rsidR="001A6835" w:rsidRPr="00CD6F09" w:rsidRDefault="00FB24F8" w:rsidP="001A6835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FB24F8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7729E1" w:rsidRPr="007729E1">
        <w:rPr>
          <w:rFonts w:ascii="Arial Narrow" w:eastAsia="Arial Narrow" w:hAnsi="Arial Narrow" w:cs="Arial Narrow"/>
          <w:color w:val="000000"/>
          <w:sz w:val="20"/>
          <w:szCs w:val="20"/>
        </w:rPr>
        <w:t>KS 2447-1:2013</w:t>
      </w:r>
    </w:p>
    <w:p w14:paraId="52A88A15" w14:textId="77777777" w:rsidR="00FB24F8" w:rsidRPr="00FB24F8" w:rsidRDefault="00FB24F8" w:rsidP="001A683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</w:p>
    <w:p w14:paraId="26C62EF5" w14:textId="723341ED" w:rsidR="00FB24F8" w:rsidRPr="00FB24F8" w:rsidRDefault="00FB24F8" w:rsidP="001A683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7729E1" w:rsidRPr="007729E1">
        <w:rPr>
          <w:rFonts w:ascii="Arial Narrow" w:eastAsia="Arial Narrow" w:hAnsi="Arial Narrow" w:cs="Arial Narrow"/>
          <w:color w:val="000000"/>
          <w:sz w:val="20"/>
          <w:szCs w:val="20"/>
        </w:rPr>
        <w:t>Performance of electrical lighting equipment- Ballasts for fluorescent lamps Part 1: Energy labeling and minimum energy performance standards requirements.</w:t>
      </w:r>
    </w:p>
    <w:p w14:paraId="1C0432FD" w14:textId="77777777" w:rsidR="00FB24F8" w:rsidRPr="00FB24F8" w:rsidRDefault="00FB24F8" w:rsidP="001A6835">
      <w:pPr>
        <w:spacing w:before="0" w:after="0"/>
        <w:ind w:left="720"/>
        <w:contextualSpacing/>
        <w:rPr>
          <w:rFonts w:ascii="Arial Narrow" w:eastAsia="Arial Narrow" w:hAnsi="Arial Narrow" w:cs="Arial Narrow"/>
          <w:sz w:val="20"/>
          <w:szCs w:val="20"/>
        </w:rPr>
      </w:pPr>
    </w:p>
    <w:p w14:paraId="7282496E" w14:textId="77777777" w:rsidR="004369D3" w:rsidRDefault="00FB24F8" w:rsidP="004369D3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4369D3" w:rsidRPr="004369D3">
        <w:rPr>
          <w:rFonts w:ascii="Arial Narrow" w:eastAsia="Arial Narrow" w:hAnsi="Arial Narrow" w:cs="Arial Narrow"/>
          <w:sz w:val="20"/>
          <w:szCs w:val="20"/>
        </w:rPr>
        <w:t>This Kenya Standard specifies requirements for the classification of ballasts for a range of fluorescent lamp types (refer to Tables 1 to 3) according to their Energy Efficiency Index (EEI) and the form of labeling of the EEI, which is generally shown on the ballast rating plate.</w:t>
      </w:r>
      <w:r w:rsidR="004369D3"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14:paraId="651691EE" w14:textId="77777777" w:rsidR="004369D3" w:rsidRDefault="004369D3" w:rsidP="004369D3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2B208EEF" w14:textId="77777777" w:rsidR="009C1520" w:rsidRDefault="004369D3" w:rsidP="004369D3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4369D3">
        <w:rPr>
          <w:rFonts w:ascii="Arial Narrow" w:eastAsia="Arial Narrow" w:hAnsi="Arial Narrow" w:cs="Arial Narrow"/>
          <w:sz w:val="20"/>
          <w:szCs w:val="20"/>
        </w:rPr>
        <w:t>This Standard also specifies the Minimum Energy Performance Standards (MEPS) requirements for certain fluorescent lamp ballasts.</w:t>
      </w: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Pr="004369D3">
        <w:rPr>
          <w:rFonts w:ascii="Arial Narrow" w:eastAsia="Arial Narrow" w:hAnsi="Arial Narrow" w:cs="Arial Narrow"/>
          <w:sz w:val="20"/>
          <w:szCs w:val="20"/>
        </w:rPr>
        <w:t>The ballasts covered by this standard are the ferromagnetic or electronic type, that are used with fluorescent lamps with a rated lamp power from 10 W to 70 W, for use on 50 Hz supplies of 230/240/250 V or a range which includes one or more of these voltages.</w:t>
      </w: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14:paraId="088498D4" w14:textId="77777777" w:rsidR="009C1520" w:rsidRDefault="009C1520" w:rsidP="004369D3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6824E069" w14:textId="1B18265E" w:rsidR="001A6835" w:rsidRDefault="004369D3" w:rsidP="004369D3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4369D3">
        <w:rPr>
          <w:rFonts w:ascii="Arial Narrow" w:eastAsia="Arial Narrow" w:hAnsi="Arial Narrow" w:cs="Arial Narrow"/>
          <w:sz w:val="20"/>
          <w:szCs w:val="20"/>
        </w:rPr>
        <w:t>This standard covers ballasts that are supplied as separate components or as part of a luminaire.</w:t>
      </w: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14:paraId="390B65A1" w14:textId="1A2CAA8A" w:rsidR="001A6835" w:rsidRDefault="001A6835" w:rsidP="001A6835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3E973DFC" w14:textId="4B31BBD2" w:rsidR="004D7AA5" w:rsidRDefault="004D7AA5" w:rsidP="001A6835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4DFF47DF" w14:textId="55751505" w:rsidR="004D7AA5" w:rsidRDefault="004D7AA5" w:rsidP="001A6835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07B446F3" w14:textId="2A127B7F" w:rsidR="004D7AA5" w:rsidRDefault="004D7AA5" w:rsidP="001A6835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221878DA" w14:textId="1FE10223" w:rsidR="004D7AA5" w:rsidRDefault="004D7AA5" w:rsidP="001A6835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161BC25F" w14:textId="41FC7F31" w:rsidR="004D7AA5" w:rsidRDefault="004D7AA5" w:rsidP="001A6835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0EA85BFC" w14:textId="6BDD9C93" w:rsidR="004D7AA5" w:rsidRDefault="004D7AA5" w:rsidP="001A6835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2FCC9EED" w14:textId="77777777" w:rsidR="004D7AA5" w:rsidRPr="00107CD2" w:rsidRDefault="004D7AA5" w:rsidP="001A6835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69C20771" w14:textId="2024BF52" w:rsidR="001A6835" w:rsidRPr="00CD6F09" w:rsidRDefault="00FB24F8" w:rsidP="001A6835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FB24F8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5C5D9F" w:rsidRPr="005C5D9F">
        <w:rPr>
          <w:rFonts w:ascii="Arial Narrow" w:eastAsia="Arial Narrow" w:hAnsi="Arial Narrow" w:cs="Arial Narrow"/>
          <w:color w:val="000000"/>
          <w:sz w:val="20"/>
          <w:szCs w:val="20"/>
        </w:rPr>
        <w:t>KS 2447-2:2013</w:t>
      </w:r>
    </w:p>
    <w:p w14:paraId="53A45816" w14:textId="77777777" w:rsidR="00FB24F8" w:rsidRPr="00FB24F8" w:rsidRDefault="00FB24F8" w:rsidP="001A683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</w:p>
    <w:p w14:paraId="62D41C42" w14:textId="7775F8DF" w:rsidR="00FB24F8" w:rsidRPr="00FB24F8" w:rsidRDefault="00FB24F8" w:rsidP="001A683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5C5D9F" w:rsidRPr="005C5D9F">
        <w:rPr>
          <w:rFonts w:ascii="Arial Narrow" w:eastAsia="Arial Narrow" w:hAnsi="Arial Narrow" w:cs="Arial Narrow"/>
          <w:color w:val="000000"/>
          <w:sz w:val="20"/>
          <w:szCs w:val="20"/>
        </w:rPr>
        <w:t>Performance</w:t>
      </w:r>
      <w:r w:rsidR="005C5D9F" w:rsidRPr="005C5D9F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of electrical lighting equipment- Ballasts for fluorescent lamps Part 2: Method of measurement to determine energy consumption and performance of ballast-lamp circuits</w:t>
      </w:r>
    </w:p>
    <w:p w14:paraId="7E4CE8C3" w14:textId="77777777" w:rsidR="00FB24F8" w:rsidRPr="00FB24F8" w:rsidRDefault="00FB24F8" w:rsidP="001A6835">
      <w:pPr>
        <w:spacing w:before="0" w:after="0"/>
        <w:ind w:left="720"/>
        <w:contextualSpacing/>
        <w:rPr>
          <w:rFonts w:ascii="Arial Narrow" w:eastAsia="Arial Narrow" w:hAnsi="Arial Narrow" w:cs="Arial Narrow"/>
          <w:sz w:val="20"/>
          <w:szCs w:val="20"/>
        </w:rPr>
      </w:pPr>
    </w:p>
    <w:p w14:paraId="678A8A68" w14:textId="6675B4F8" w:rsidR="001A6835" w:rsidRDefault="00FB24F8" w:rsidP="00A10236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81135D" w:rsidRPr="0081135D">
        <w:rPr>
          <w:rFonts w:ascii="Arial Narrow" w:eastAsia="Arial Narrow" w:hAnsi="Arial Narrow" w:cs="Arial Narrow"/>
          <w:sz w:val="20"/>
          <w:szCs w:val="20"/>
        </w:rPr>
        <w:t>This Kenya Standard provides methods of measurement of ballast energy consumption and performance when used with their associated fluorescent lamp(s).</w:t>
      </w:r>
      <w:r w:rsidR="0081135D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81135D" w:rsidRPr="0081135D">
        <w:rPr>
          <w:rFonts w:ascii="Arial Narrow" w:eastAsia="Arial Narrow" w:hAnsi="Arial Narrow" w:cs="Arial Narrow"/>
          <w:sz w:val="20"/>
          <w:szCs w:val="20"/>
        </w:rPr>
        <w:t>It specifies energy efficiency and performance measurement for ballasts used with fluorescent lamps that fall within the scope of IEC 60081 and IEC 60901.</w:t>
      </w:r>
      <w:r w:rsidR="00A10236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81135D" w:rsidRPr="0081135D">
        <w:rPr>
          <w:rFonts w:ascii="Arial Narrow" w:eastAsia="Arial Narrow" w:hAnsi="Arial Narrow" w:cs="Arial Narrow"/>
          <w:sz w:val="20"/>
          <w:szCs w:val="20"/>
        </w:rPr>
        <w:t>This standard does not specify safety requirements.</w:t>
      </w:r>
    </w:p>
    <w:p w14:paraId="05C08A4C" w14:textId="77777777" w:rsidR="001A6835" w:rsidRPr="00107CD2" w:rsidRDefault="001A6835" w:rsidP="001A6835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70CB07A6" w14:textId="6D948E7C" w:rsidR="005C5D9F" w:rsidRPr="00CD6F09" w:rsidRDefault="00FB24F8" w:rsidP="005C5D9F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FB24F8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A10236" w:rsidRPr="00A10236">
        <w:rPr>
          <w:rFonts w:ascii="Arial Narrow" w:eastAsia="Arial Narrow" w:hAnsi="Arial Narrow" w:cs="Arial Narrow"/>
          <w:color w:val="000000"/>
          <w:sz w:val="20"/>
          <w:szCs w:val="20"/>
        </w:rPr>
        <w:t>KS 2448-1: 2013</w:t>
      </w:r>
    </w:p>
    <w:p w14:paraId="37F16B5C" w14:textId="77777777" w:rsidR="00FB24F8" w:rsidRPr="00FB24F8" w:rsidRDefault="00FB24F8" w:rsidP="005C5D9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</w:p>
    <w:p w14:paraId="43B06C3B" w14:textId="772B107F" w:rsidR="00FB24F8" w:rsidRPr="00FB24F8" w:rsidRDefault="00FB24F8" w:rsidP="005C5D9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left"/>
        <w:rPr>
          <w:rFonts w:ascii="Arial Narrow" w:eastAsia="Arial Narrow" w:hAnsi="Arial Narrow" w:cs="Arial Narrow"/>
          <w:b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A10236" w:rsidRPr="00A10236">
        <w:rPr>
          <w:rFonts w:ascii="Arial Narrow" w:eastAsia="Arial Narrow" w:hAnsi="Arial Narrow" w:cs="Arial Narrow"/>
          <w:color w:val="000000"/>
          <w:sz w:val="20"/>
          <w:szCs w:val="20"/>
        </w:rPr>
        <w:t>Double-capped fluorescent lamps - Performance specifications - Part 1: Minimum Energy Performance Standards (MEPS)</w:t>
      </w:r>
    </w:p>
    <w:p w14:paraId="6234FC08" w14:textId="77777777" w:rsidR="00FB24F8" w:rsidRPr="00FB24F8" w:rsidRDefault="00FB24F8" w:rsidP="005C5D9F">
      <w:pPr>
        <w:spacing w:before="0" w:after="0"/>
        <w:ind w:left="720"/>
        <w:contextualSpacing/>
        <w:rPr>
          <w:rFonts w:ascii="Arial Narrow" w:eastAsia="Arial Narrow" w:hAnsi="Arial Narrow" w:cs="Arial Narrow"/>
          <w:sz w:val="20"/>
          <w:szCs w:val="20"/>
        </w:rPr>
      </w:pPr>
    </w:p>
    <w:p w14:paraId="7C0CD5DD" w14:textId="77777777" w:rsidR="00932588" w:rsidRPr="00932588" w:rsidRDefault="00FB24F8" w:rsidP="00932588">
      <w:pPr>
        <w:spacing w:before="0" w:after="0"/>
        <w:ind w:left="1134" w:hanging="425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FB24F8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FB24F8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932588" w:rsidRPr="00932588">
        <w:rPr>
          <w:rFonts w:ascii="Arial Narrow" w:eastAsia="Arial Narrow" w:hAnsi="Arial Narrow" w:cs="Arial Narrow"/>
          <w:sz w:val="20"/>
          <w:szCs w:val="20"/>
        </w:rPr>
        <w:t>This Kenya Standard specifies Minimum Energy Performance Standard (MEPS) requirements for</w:t>
      </w:r>
    </w:p>
    <w:p w14:paraId="13757381" w14:textId="77777777" w:rsidR="00932588" w:rsidRPr="00932588" w:rsidRDefault="00932588" w:rsidP="00932588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932588">
        <w:rPr>
          <w:rFonts w:ascii="Arial Narrow" w:eastAsia="Arial Narrow" w:hAnsi="Arial Narrow" w:cs="Arial Narrow"/>
          <w:sz w:val="20"/>
          <w:szCs w:val="20"/>
        </w:rPr>
        <w:t>double-capped [FD1) and FDH2)] tubular fluorescent lamps with a nominal length of 550 mm to 1500 mm and</w:t>
      </w:r>
    </w:p>
    <w:p w14:paraId="25B5AEA0" w14:textId="1BDCC4DA" w:rsidR="005C5D9F" w:rsidRDefault="00932588" w:rsidP="00932588">
      <w:pPr>
        <w:spacing w:before="0" w:after="0"/>
        <w:ind w:left="1134"/>
        <w:contextualSpacing/>
        <w:jc w:val="left"/>
        <w:rPr>
          <w:rFonts w:ascii="Arial Narrow" w:eastAsia="Arial Narrow" w:hAnsi="Arial Narrow" w:cs="Arial Narrow"/>
          <w:sz w:val="20"/>
          <w:szCs w:val="20"/>
        </w:rPr>
      </w:pPr>
      <w:r w:rsidRPr="00932588">
        <w:rPr>
          <w:rFonts w:ascii="Arial Narrow" w:eastAsia="Arial Narrow" w:hAnsi="Arial Narrow" w:cs="Arial Narrow"/>
          <w:sz w:val="20"/>
          <w:szCs w:val="20"/>
        </w:rPr>
        <w:t>having nominal lamp wattage of 16 watts or more, that are within the scope of IEC 60081.</w:t>
      </w:r>
    </w:p>
    <w:p w14:paraId="5C0C297B" w14:textId="7E71595F" w:rsidR="006F2746" w:rsidRPr="001A6835" w:rsidRDefault="006F2746" w:rsidP="00932588">
      <w:pPr>
        <w:pStyle w:val="ListParagraph"/>
        <w:spacing w:before="0" w:after="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75294DBB" w14:textId="77777777" w:rsidR="00F11A07" w:rsidRDefault="00F11A07" w:rsidP="00312E6A">
      <w:pPr>
        <w:rPr>
          <w:rFonts w:ascii="Arial Narrow" w:hAnsi="Arial Narrow" w:cs="Arial"/>
          <w:b/>
          <w:sz w:val="20"/>
          <w:szCs w:val="20"/>
        </w:rPr>
      </w:pPr>
    </w:p>
    <w:p w14:paraId="12199DCF" w14:textId="77777777" w:rsidR="00EE7199" w:rsidRP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  <w:r w:rsidRPr="00EE7199">
        <w:rPr>
          <w:rFonts w:ascii="Arial Narrow" w:eastAsia="Arial Narrow" w:hAnsi="Arial Narrow" w:cs="Arial Narrow"/>
          <w:sz w:val="20"/>
          <w:szCs w:val="20"/>
        </w:rPr>
        <w:t xml:space="preserve">We are therefore seeking views from potential users in respect of the same.  The Standards are available at the Kenya Bureau of Standards Information Centre and a preview via the links on the individual standards.  </w:t>
      </w:r>
    </w:p>
    <w:p w14:paraId="7BC7D24E" w14:textId="77777777" w:rsidR="00EE7199" w:rsidRP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3BDBFECF" w14:textId="77777777" w:rsidR="00EE7199" w:rsidRP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  <w:r w:rsidRPr="00EE7199">
        <w:rPr>
          <w:rFonts w:ascii="Arial Narrow" w:eastAsia="Arial Narrow" w:hAnsi="Arial Narrow" w:cs="Arial Narrow"/>
          <w:sz w:val="20"/>
          <w:szCs w:val="20"/>
        </w:rPr>
        <w:t>Please tick and fill your preference of the listed option.  (If the spaces provided are not enough, please attach a separate sheet of paper).</w:t>
      </w:r>
    </w:p>
    <w:p w14:paraId="32F434B6" w14:textId="77777777" w:rsid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0396F5AA" w14:textId="77777777" w:rsid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337974EB" w14:textId="77777777" w:rsid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3AB01CBA" w14:textId="77777777" w:rsid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01CB2A70" w14:textId="4CDB6D15" w:rsidR="00EE7199" w:rsidRP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  <w:sectPr w:rsidR="00EE7199" w:rsidRPr="00EE7199" w:rsidSect="00EE7199">
          <w:headerReference w:type="default" r:id="rId8"/>
          <w:footerReference w:type="first" r:id="rId9"/>
          <w:pgSz w:w="11909" w:h="16834"/>
          <w:pgMar w:top="1440" w:right="1440" w:bottom="1440" w:left="1260" w:header="720" w:footer="720" w:gutter="0"/>
          <w:pgNumType w:start="1"/>
          <w:cols w:space="720"/>
        </w:sectPr>
      </w:pPr>
    </w:p>
    <w:tbl>
      <w:tblPr>
        <w:tblStyle w:val="PlainTable11"/>
        <w:tblW w:w="14598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72"/>
        <w:gridCol w:w="2689"/>
        <w:gridCol w:w="1264"/>
        <w:gridCol w:w="1481"/>
        <w:gridCol w:w="1078"/>
        <w:gridCol w:w="1461"/>
        <w:gridCol w:w="1280"/>
        <w:gridCol w:w="4773"/>
      </w:tblGrid>
      <w:tr w:rsidR="00FB2990" w:rsidRPr="00EE7199" w14:paraId="2F4E0B0F" w14:textId="10A2C542" w:rsidTr="00A95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 w:val="restart"/>
          </w:tcPr>
          <w:p w14:paraId="6A27B8FE" w14:textId="77777777" w:rsidR="00F56D9B" w:rsidRPr="00EE7199" w:rsidRDefault="00F56D9B" w:rsidP="00EE7199">
            <w:pPr>
              <w:spacing w:before="0" w:after="0"/>
              <w:ind w:left="360" w:hanging="270"/>
              <w:jc w:val="left"/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lastRenderedPageBreak/>
              <w:t>No.</w:t>
            </w:r>
          </w:p>
        </w:tc>
        <w:tc>
          <w:tcPr>
            <w:tcW w:w="2858" w:type="dxa"/>
            <w:vMerge w:val="restart"/>
          </w:tcPr>
          <w:p w14:paraId="10F0CBDC" w14:textId="77777777" w:rsidR="00F56D9B" w:rsidRPr="00EE7199" w:rsidRDefault="00F56D9B" w:rsidP="00EE7199">
            <w:pPr>
              <w:spacing w:before="0" w:after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Standard</w:t>
            </w:r>
          </w:p>
        </w:tc>
        <w:tc>
          <w:tcPr>
            <w:tcW w:w="1269" w:type="dxa"/>
            <w:vMerge w:val="restart"/>
            <w:tcBorders>
              <w:right w:val="single" w:sz="4" w:space="0" w:color="auto"/>
            </w:tcBorders>
          </w:tcPr>
          <w:p w14:paraId="47C0A3D0" w14:textId="77777777" w:rsidR="00F56D9B" w:rsidRDefault="00F56D9B" w:rsidP="00EE7199">
            <w:pPr>
              <w:spacing w:before="0" w:after="0"/>
              <w:ind w:left="106" w:hanging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Confirmation</w:t>
            </w:r>
          </w:p>
          <w:p w14:paraId="00C96A67" w14:textId="67D7400A" w:rsidR="00F56D9B" w:rsidRPr="00EE7199" w:rsidRDefault="00F56D9B" w:rsidP="00EE7199">
            <w:pPr>
              <w:spacing w:before="0" w:after="0"/>
              <w:ind w:left="106" w:hanging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Accepted</w:t>
            </w:r>
          </w:p>
        </w:tc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039CBA" w14:textId="267C814A" w:rsidR="00F56D9B" w:rsidRPr="00EE7199" w:rsidRDefault="00F56D9B" w:rsidP="00EE7199">
            <w:pPr>
              <w:spacing w:before="0" w:after="0"/>
              <w:ind w:left="61" w:firstLine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 xml:space="preserve">Confirmation </w:t>
            </w:r>
            <w:r w:rsidRPr="00EE7199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not Acceptable</w:t>
            </w:r>
          </w:p>
        </w:tc>
        <w:tc>
          <w:tcPr>
            <w:tcW w:w="31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E4594E" w14:textId="0953953D" w:rsidR="00F56D9B" w:rsidRPr="00EE7199" w:rsidRDefault="00F56D9B" w:rsidP="00FB2990">
            <w:pPr>
              <w:spacing w:before="0" w:after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Recommendation</w:t>
            </w:r>
          </w:p>
        </w:tc>
        <w:tc>
          <w:tcPr>
            <w:tcW w:w="524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36BB80" w14:textId="37C40B92" w:rsidR="00533ED7" w:rsidRDefault="00242B58" w:rsidP="00533ED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40D8F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 xml:space="preserve">Justification </w:t>
            </w:r>
            <w:proofErr w:type="gramStart"/>
            <w:r w:rsidRPr="00E40D8F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For</w:t>
            </w:r>
            <w:proofErr w:type="gramEnd"/>
            <w:r w:rsidRPr="00E40D8F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 xml:space="preserve"> The Objection</w:t>
            </w:r>
          </w:p>
          <w:p w14:paraId="4F7624DB" w14:textId="49848D8A" w:rsidR="00F56D9B" w:rsidRPr="00E40D8F" w:rsidRDefault="00533ED7" w:rsidP="00533ED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(</w:t>
            </w:r>
            <w:r w:rsidRPr="00533ED7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cite specific clauses and wording preferred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)</w:t>
            </w:r>
          </w:p>
        </w:tc>
      </w:tr>
      <w:tr w:rsidR="00FB2990" w:rsidRPr="00EE7199" w14:paraId="24BF36E8" w14:textId="77777777" w:rsidTr="00A95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</w:tcPr>
          <w:p w14:paraId="4AB3013F" w14:textId="77777777" w:rsidR="00F56D9B" w:rsidRPr="00EE7199" w:rsidRDefault="00F56D9B" w:rsidP="00EE7199">
            <w:pPr>
              <w:spacing w:before="0" w:after="0"/>
              <w:ind w:left="360" w:hanging="27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858" w:type="dxa"/>
            <w:vMerge/>
          </w:tcPr>
          <w:p w14:paraId="5043AD92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9" w:type="dxa"/>
            <w:vMerge/>
            <w:tcBorders>
              <w:right w:val="single" w:sz="4" w:space="0" w:color="auto"/>
            </w:tcBorders>
          </w:tcPr>
          <w:p w14:paraId="4F669227" w14:textId="77777777" w:rsidR="00F56D9B" w:rsidRDefault="00F56D9B" w:rsidP="00EE7199">
            <w:pPr>
              <w:spacing w:before="0" w:after="0"/>
              <w:ind w:left="106" w:hanging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5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01D363" w14:textId="77777777" w:rsidR="00F56D9B" w:rsidRDefault="00F56D9B" w:rsidP="00EE7199">
            <w:pPr>
              <w:spacing w:before="0" w:after="0"/>
              <w:ind w:left="61" w:firstLine="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A17420D" w14:textId="54297814" w:rsidR="00F56D9B" w:rsidRPr="00EE7199" w:rsidRDefault="00F56D9B" w:rsidP="00FB2990">
            <w:pPr>
              <w:spacing w:before="0" w:after="0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Revise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11A96D81" w14:textId="0C55E1F7" w:rsidR="00F56D9B" w:rsidRPr="00EE7199" w:rsidRDefault="00FB2990" w:rsidP="00FB2990">
            <w:pPr>
              <w:spacing w:before="0" w:after="0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Amendment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08F5EB3" w14:textId="18CD3066" w:rsidR="00F56D9B" w:rsidRPr="00EE7199" w:rsidRDefault="00F56D9B" w:rsidP="00FB2990">
            <w:pPr>
              <w:spacing w:before="0" w:after="0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Withdraw</w:t>
            </w:r>
          </w:p>
        </w:tc>
        <w:tc>
          <w:tcPr>
            <w:tcW w:w="52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4DB255" w14:textId="014D6103" w:rsidR="00F56D9B" w:rsidRPr="00EE7199" w:rsidRDefault="00F56D9B" w:rsidP="00F56D9B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242B58" w:rsidRPr="00EE7199" w14:paraId="4BEF8FFC" w14:textId="04B3ECBD" w:rsidTr="00A950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00B022F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1.</w:t>
            </w:r>
          </w:p>
        </w:tc>
        <w:tc>
          <w:tcPr>
            <w:tcW w:w="2858" w:type="dxa"/>
          </w:tcPr>
          <w:p w14:paraId="215FA6B5" w14:textId="52271673" w:rsidR="00F56D9B" w:rsidRPr="00EE7199" w:rsidRDefault="006A547E" w:rsidP="00EE7199">
            <w:pPr>
              <w:spacing w:before="0" w:after="0"/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A547E">
              <w:rPr>
                <w:rFonts w:ascii="Arial Narrow" w:eastAsia="Arial Narrow" w:hAnsi="Arial Narrow" w:cs="Arial Narrow"/>
                <w:sz w:val="20"/>
                <w:szCs w:val="20"/>
              </w:rPr>
              <w:t>KS IEC 60598-2-1:1997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6D8B3B3A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C193C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B10BB54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47DEDED5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9CB7802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8DAF42" w14:textId="4DF2E1C1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242B58" w:rsidRPr="00EE7199" w14:paraId="298F6C60" w14:textId="568BAEA7" w:rsidTr="00A95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407383CC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2.</w:t>
            </w:r>
          </w:p>
        </w:tc>
        <w:tc>
          <w:tcPr>
            <w:tcW w:w="2858" w:type="dxa"/>
          </w:tcPr>
          <w:p w14:paraId="2A940D5D" w14:textId="5285F476" w:rsidR="00F56D9B" w:rsidRPr="00EE7199" w:rsidRDefault="006A547E" w:rsidP="00EE7199">
            <w:pPr>
              <w:spacing w:before="0" w:after="0"/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A547E">
              <w:rPr>
                <w:rFonts w:ascii="Arial Narrow" w:eastAsia="Arial Narrow" w:hAnsi="Arial Narrow" w:cs="Arial Narrow"/>
                <w:sz w:val="20"/>
                <w:szCs w:val="20"/>
              </w:rPr>
              <w:t>KS IEC 60598-2-10:2003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0CD183FA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C0C378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A17AE87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7F2BF5FF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B5EF164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B82F62" w14:textId="641A98A6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E40D8F" w:rsidRPr="00EE7199" w14:paraId="104E7D5D" w14:textId="7CF13DE8" w:rsidTr="00A950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7E3D77F6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3.</w:t>
            </w:r>
          </w:p>
        </w:tc>
        <w:tc>
          <w:tcPr>
            <w:tcW w:w="2858" w:type="dxa"/>
          </w:tcPr>
          <w:p w14:paraId="17301773" w14:textId="66C67E2E" w:rsidR="00F56D9B" w:rsidRPr="00EE7199" w:rsidRDefault="006A547E" w:rsidP="00EE7199">
            <w:pPr>
              <w:spacing w:before="0" w:after="0"/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A547E">
              <w:rPr>
                <w:rFonts w:ascii="Arial Narrow" w:eastAsia="Arial Narrow" w:hAnsi="Arial Narrow" w:cs="Arial Narrow"/>
                <w:sz w:val="20"/>
                <w:szCs w:val="20"/>
              </w:rPr>
              <w:t>KS IEC 60598-2-18:1993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2B004CA7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896D26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42D1369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20A9135B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74C4BB7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E0E3F8" w14:textId="0656B43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E40D8F" w:rsidRPr="00EE7199" w14:paraId="2F5DBDA1" w14:textId="757BBD4E" w:rsidTr="00A95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2E2C0093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4.</w:t>
            </w:r>
          </w:p>
        </w:tc>
        <w:tc>
          <w:tcPr>
            <w:tcW w:w="2858" w:type="dxa"/>
          </w:tcPr>
          <w:p w14:paraId="691ECC2F" w14:textId="31DD5861" w:rsidR="00F56D9B" w:rsidRPr="00EE7199" w:rsidRDefault="006A547E" w:rsidP="00EE7199">
            <w:pPr>
              <w:spacing w:before="0" w:after="0"/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A547E">
              <w:rPr>
                <w:rFonts w:ascii="Arial Narrow" w:eastAsia="Arial Narrow" w:hAnsi="Arial Narrow" w:cs="Arial Narrow"/>
                <w:sz w:val="20"/>
                <w:szCs w:val="20"/>
              </w:rPr>
              <w:t>KS IEC 60598-2-19:1997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5D8C1D89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5F146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31608D5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7818D2A5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EAA6929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1A508C" w14:textId="1B1C7B14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E40D8F" w:rsidRPr="00EE7199" w14:paraId="625B5A5A" w14:textId="5B79ACFA" w:rsidTr="00A950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3A4092D8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5.</w:t>
            </w:r>
          </w:p>
        </w:tc>
        <w:tc>
          <w:tcPr>
            <w:tcW w:w="2858" w:type="dxa"/>
          </w:tcPr>
          <w:p w14:paraId="5A4E3BA3" w14:textId="38DE2681" w:rsidR="00F56D9B" w:rsidRPr="00EE7199" w:rsidRDefault="006A547E" w:rsidP="00EE7199">
            <w:pPr>
              <w:spacing w:before="0" w:after="0"/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A547E">
              <w:rPr>
                <w:rFonts w:ascii="Arial Narrow" w:eastAsia="Arial Narrow" w:hAnsi="Arial Narrow" w:cs="Arial Narrow"/>
                <w:sz w:val="20"/>
                <w:szCs w:val="20"/>
              </w:rPr>
              <w:t>KS IEC 60598-2-23:2001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0652CDE3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B11FA2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3175D18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63508631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2A56AF9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EDE36F" w14:textId="1623B362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E40D8F" w:rsidRPr="00EE7199" w14:paraId="77880E94" w14:textId="27584E43" w:rsidTr="00A95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5A6199E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6.</w:t>
            </w:r>
          </w:p>
        </w:tc>
        <w:tc>
          <w:tcPr>
            <w:tcW w:w="2858" w:type="dxa"/>
          </w:tcPr>
          <w:p w14:paraId="3031A3F5" w14:textId="11117DA7" w:rsidR="00F56D9B" w:rsidRPr="00EE7199" w:rsidRDefault="006A547E" w:rsidP="00EE7199">
            <w:pPr>
              <w:spacing w:before="0" w:after="0"/>
              <w:ind w:left="16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A547E">
              <w:rPr>
                <w:rFonts w:ascii="Arial Narrow" w:eastAsia="Arial Narrow" w:hAnsi="Arial Narrow" w:cs="Arial Narrow"/>
                <w:sz w:val="20"/>
                <w:szCs w:val="20"/>
              </w:rPr>
              <w:t>KS IEC 60598-2-25:1994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7B6BB482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F8DC81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F3035AC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6EBDE0A2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10BA0E4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BF382A" w14:textId="20C6ADF0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6A547E" w:rsidRPr="00EE7199" w14:paraId="03D3C4B4" w14:textId="18B47DD4" w:rsidTr="00A950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39A430C9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7.</w:t>
            </w:r>
          </w:p>
        </w:tc>
        <w:tc>
          <w:tcPr>
            <w:tcW w:w="2858" w:type="dxa"/>
          </w:tcPr>
          <w:p w14:paraId="6AF073F2" w14:textId="54DEE38E" w:rsidR="00F56D9B" w:rsidRPr="00EE7199" w:rsidRDefault="006A547E" w:rsidP="00EE7199">
            <w:pPr>
              <w:spacing w:before="0" w:after="0"/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A547E">
              <w:rPr>
                <w:rFonts w:ascii="Arial Narrow" w:eastAsia="Arial Narrow" w:hAnsi="Arial Narrow" w:cs="Arial Narrow"/>
                <w:sz w:val="20"/>
                <w:szCs w:val="20"/>
              </w:rPr>
              <w:t>KS IEC 60598-2-9:1993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259CFE75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DA8594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44345A5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4EDAAB07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A647E10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4BF45F" w14:textId="5C8877B0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33ED7" w:rsidRPr="00EE7199" w14:paraId="3F65FB8A" w14:textId="5E6158D3" w:rsidTr="00A95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E2DE73C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8.</w:t>
            </w:r>
          </w:p>
        </w:tc>
        <w:tc>
          <w:tcPr>
            <w:tcW w:w="2858" w:type="dxa"/>
          </w:tcPr>
          <w:p w14:paraId="720CCB53" w14:textId="08238C7A" w:rsidR="00F56D9B" w:rsidRPr="00EE7199" w:rsidRDefault="006A547E" w:rsidP="00EE7199">
            <w:pPr>
              <w:spacing w:before="0" w:after="0"/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A547E">
              <w:rPr>
                <w:rFonts w:ascii="Arial Narrow" w:eastAsia="Arial Narrow" w:hAnsi="Arial Narrow" w:cs="Arial Narrow"/>
                <w:sz w:val="20"/>
                <w:szCs w:val="20"/>
              </w:rPr>
              <w:t>KS 2262:2010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6FE129F5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3911E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5B30225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17B4DC6F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77E2FB8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98432" w14:textId="19BC4A61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33ED7" w:rsidRPr="00EE7199" w14:paraId="162E0D11" w14:textId="49E4C473" w:rsidTr="00A950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423425F7" w14:textId="74DB6466" w:rsidR="00F56D9B" w:rsidRPr="0095427E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5427E">
              <w:rPr>
                <w:rFonts w:ascii="Arial Narrow" w:eastAsia="Arial Narrow" w:hAnsi="Arial Narrow" w:cs="Arial Narrow"/>
                <w:sz w:val="20"/>
                <w:szCs w:val="20"/>
              </w:rPr>
              <w:t>9.</w:t>
            </w:r>
          </w:p>
        </w:tc>
        <w:tc>
          <w:tcPr>
            <w:tcW w:w="2858" w:type="dxa"/>
          </w:tcPr>
          <w:p w14:paraId="65A13B29" w14:textId="70341BC6" w:rsidR="00F56D9B" w:rsidRPr="00EE7199" w:rsidRDefault="006A547E" w:rsidP="00EE7199">
            <w:pPr>
              <w:spacing w:before="0" w:after="0"/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A547E">
              <w:rPr>
                <w:rFonts w:ascii="Arial Narrow" w:eastAsia="Arial Narrow" w:hAnsi="Arial Narrow" w:cs="Arial Narrow"/>
                <w:sz w:val="20"/>
                <w:szCs w:val="20"/>
              </w:rPr>
              <w:t>KS 2447-1:2013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75678A34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DE5D4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BD6B016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0899A083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5E618FD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5148A4" w14:textId="7F75D129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95070" w:rsidRPr="00EE7199" w14:paraId="27A2DBAD" w14:textId="4B8A113D" w:rsidTr="00A95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0366D2AF" w14:textId="3FA22E53" w:rsidR="00F56D9B" w:rsidRPr="0095427E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5427E">
              <w:rPr>
                <w:rFonts w:ascii="Arial Narrow" w:eastAsia="Arial Narrow" w:hAnsi="Arial Narrow" w:cs="Arial Narrow"/>
                <w:sz w:val="20"/>
                <w:szCs w:val="20"/>
              </w:rPr>
              <w:t>10.</w:t>
            </w:r>
          </w:p>
        </w:tc>
        <w:tc>
          <w:tcPr>
            <w:tcW w:w="2858" w:type="dxa"/>
          </w:tcPr>
          <w:p w14:paraId="1AAD39C0" w14:textId="0555B9D5" w:rsidR="00F56D9B" w:rsidRPr="00EE7199" w:rsidRDefault="006A547E" w:rsidP="00EE7199">
            <w:pPr>
              <w:spacing w:before="0" w:after="0"/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A547E">
              <w:rPr>
                <w:rFonts w:ascii="Arial Narrow" w:eastAsia="Arial Narrow" w:hAnsi="Arial Narrow" w:cs="Arial Narrow"/>
                <w:sz w:val="20"/>
                <w:szCs w:val="20"/>
              </w:rPr>
              <w:t>KS 2447-2:2013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028D3ABE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134324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103BE28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76F506CC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F6AEA5C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C41F50" w14:textId="379F2568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95070" w:rsidRPr="00EE7199" w14:paraId="593C2704" w14:textId="07BF5468" w:rsidTr="00A950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1B3D67FA" w14:textId="069C493C" w:rsidR="00F56D9B" w:rsidRPr="0095427E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5427E">
              <w:rPr>
                <w:rFonts w:ascii="Arial Narrow" w:eastAsia="Arial Narrow" w:hAnsi="Arial Narrow" w:cs="Arial Narrow"/>
                <w:sz w:val="20"/>
                <w:szCs w:val="20"/>
              </w:rPr>
              <w:t>11.</w:t>
            </w:r>
          </w:p>
        </w:tc>
        <w:tc>
          <w:tcPr>
            <w:tcW w:w="2858" w:type="dxa"/>
          </w:tcPr>
          <w:p w14:paraId="1DCAAAE1" w14:textId="21192CC9" w:rsidR="00F56D9B" w:rsidRPr="00EE7199" w:rsidRDefault="006A547E" w:rsidP="00EE7199">
            <w:pPr>
              <w:spacing w:before="0" w:after="0"/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A547E">
              <w:rPr>
                <w:rFonts w:ascii="Arial Narrow" w:eastAsia="Arial Narrow" w:hAnsi="Arial Narrow" w:cs="Arial Narrow"/>
                <w:sz w:val="20"/>
                <w:szCs w:val="20"/>
              </w:rPr>
              <w:t>KS 2448-1: 2013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030A310A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08020F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3C07D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C704D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2250C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15D559" w14:textId="641C52D2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466FBC84" w14:textId="77777777" w:rsidR="00EE7199" w:rsidRP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479FF68F" w14:textId="77777777" w:rsidR="00EE7199" w:rsidRP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  <w:r w:rsidRPr="00EE7199">
        <w:rPr>
          <w:rFonts w:ascii="Arial Narrow" w:eastAsia="Arial Narrow" w:hAnsi="Arial Narrow" w:cs="Arial Narrow"/>
          <w:sz w:val="20"/>
          <w:szCs w:val="20"/>
        </w:rPr>
        <w:t>Name and signature (of respondent) …………………………………………         Position…………………</w:t>
      </w:r>
    </w:p>
    <w:p w14:paraId="5EC2A749" w14:textId="77777777" w:rsidR="00EE7199" w:rsidRPr="00EE7199" w:rsidRDefault="00EE7199" w:rsidP="00EE7199">
      <w:pPr>
        <w:spacing w:before="0" w:after="60"/>
        <w:ind w:firstLine="72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6C988577" w14:textId="77777777" w:rsidR="00EE7199" w:rsidRP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  <w:r w:rsidRPr="00EE7199">
        <w:rPr>
          <w:rFonts w:ascii="Arial Narrow" w:eastAsia="Arial Narrow" w:hAnsi="Arial Narrow" w:cs="Arial Narrow"/>
          <w:sz w:val="20"/>
          <w:szCs w:val="20"/>
        </w:rPr>
        <w:t>Signature: …………………………………………………….</w:t>
      </w:r>
    </w:p>
    <w:p w14:paraId="3245204A" w14:textId="77777777" w:rsidR="00EE7199" w:rsidRPr="00EE7199" w:rsidRDefault="00EE7199" w:rsidP="00EE7199">
      <w:pPr>
        <w:tabs>
          <w:tab w:val="right" w:pos="9000"/>
        </w:tabs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20F48CAE" w14:textId="77777777" w:rsidR="00EE7199" w:rsidRPr="00EE7199" w:rsidRDefault="00EE7199" w:rsidP="00EE7199">
      <w:pPr>
        <w:tabs>
          <w:tab w:val="right" w:pos="9000"/>
        </w:tabs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  <w:r w:rsidRPr="00EE7199">
        <w:rPr>
          <w:rFonts w:ascii="Arial Narrow" w:eastAsia="Arial Narrow" w:hAnsi="Arial Narrow" w:cs="Arial Narrow"/>
          <w:sz w:val="20"/>
          <w:szCs w:val="20"/>
        </w:rPr>
        <w:t xml:space="preserve">On behalf of: </w:t>
      </w:r>
      <w:r w:rsidRPr="00EE7199">
        <w:rPr>
          <w:rFonts w:ascii="Arial Narrow" w:eastAsia="Arial Narrow" w:hAnsi="Arial Narrow" w:cs="Arial Narrow"/>
          <w:sz w:val="20"/>
          <w:szCs w:val="20"/>
        </w:rPr>
        <w:tab/>
        <w:t>(Name of organization)</w:t>
      </w:r>
    </w:p>
    <w:p w14:paraId="60C5A1DC" w14:textId="77777777" w:rsidR="00EE7199" w:rsidRPr="00EE7199" w:rsidRDefault="00EE7199" w:rsidP="00EE7199">
      <w:pPr>
        <w:tabs>
          <w:tab w:val="right" w:pos="9000"/>
        </w:tabs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18DF6D09" w14:textId="77777777" w:rsidR="00EE7199" w:rsidRPr="00EE7199" w:rsidRDefault="00EE7199" w:rsidP="00EE7199">
      <w:pPr>
        <w:tabs>
          <w:tab w:val="right" w:pos="9000"/>
        </w:tabs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  <w:r w:rsidRPr="00EE7199">
        <w:rPr>
          <w:rFonts w:ascii="Arial Narrow" w:eastAsia="Arial Narrow" w:hAnsi="Arial Narrow" w:cs="Arial Narrow"/>
          <w:sz w:val="20"/>
          <w:szCs w:val="20"/>
        </w:rPr>
        <w:t>Date:</w:t>
      </w:r>
      <w:r w:rsidRPr="00EE7199">
        <w:rPr>
          <w:rFonts w:ascii="Arial Narrow" w:eastAsia="Arial Narrow" w:hAnsi="Arial Narrow" w:cs="Arial Narrow"/>
          <w:sz w:val="20"/>
          <w:szCs w:val="20"/>
        </w:rPr>
        <w:tab/>
      </w:r>
    </w:p>
    <w:p w14:paraId="4E66AC43" w14:textId="77777777" w:rsidR="00EE7199" w:rsidRPr="00EE7199" w:rsidRDefault="00EE7199" w:rsidP="00EE7199">
      <w:pPr>
        <w:tabs>
          <w:tab w:val="right" w:pos="3600"/>
        </w:tabs>
        <w:spacing w:before="0" w:after="60"/>
        <w:jc w:val="left"/>
        <w:rPr>
          <w:rFonts w:ascii="Arial Narrow" w:eastAsia="Arial Narrow" w:hAnsi="Arial Narrow" w:cs="Arial Narrow"/>
          <w:b/>
          <w:sz w:val="20"/>
          <w:szCs w:val="20"/>
        </w:rPr>
      </w:pPr>
    </w:p>
    <w:p w14:paraId="53EB76CE" w14:textId="77777777" w:rsidR="00EE7199" w:rsidRPr="00EE7199" w:rsidRDefault="00EE7199" w:rsidP="00EE7199">
      <w:pPr>
        <w:tabs>
          <w:tab w:val="right" w:pos="3600"/>
        </w:tabs>
        <w:spacing w:before="0" w:after="60"/>
        <w:jc w:val="left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r w:rsidRPr="00EE7199">
        <w:rPr>
          <w:rFonts w:ascii="Arial Narrow" w:eastAsia="Arial Narrow" w:hAnsi="Arial Narrow" w:cs="Arial Narrow"/>
          <w:b/>
          <w:sz w:val="20"/>
          <w:szCs w:val="20"/>
        </w:rPr>
        <w:t xml:space="preserve">NOTE:  </w:t>
      </w:r>
      <w:r w:rsidRPr="00EE7199">
        <w:rPr>
          <w:rFonts w:ascii="Arial Narrow" w:eastAsia="Arial Narrow" w:hAnsi="Arial Narrow" w:cs="Arial Narrow"/>
          <w:sz w:val="20"/>
          <w:szCs w:val="20"/>
        </w:rPr>
        <w:t xml:space="preserve">Absence of any reply or comments shall be deemed to be an acceptance of the proposal for confirmation and </w:t>
      </w:r>
      <w:r w:rsidRPr="00EE7199">
        <w:rPr>
          <w:rFonts w:ascii="Arial Narrow" w:eastAsia="Arial Narrow" w:hAnsi="Arial Narrow" w:cs="Arial Narrow"/>
          <w:b/>
          <w:color w:val="000000"/>
          <w:sz w:val="20"/>
          <w:szCs w:val="20"/>
        </w:rPr>
        <w:t>shall constitute an approval vote…</w:t>
      </w:r>
    </w:p>
    <w:p w14:paraId="3A1B0F39" w14:textId="77777777" w:rsidR="00EE7199" w:rsidRPr="00E84249" w:rsidRDefault="00EE7199" w:rsidP="00312E6A">
      <w:pPr>
        <w:rPr>
          <w:rFonts w:ascii="Arial Narrow" w:hAnsi="Arial Narrow"/>
          <w:color w:val="000000"/>
          <w:sz w:val="16"/>
          <w:szCs w:val="16"/>
        </w:rPr>
      </w:pPr>
    </w:p>
    <w:sectPr w:rsidR="00EE7199" w:rsidRPr="00E84249" w:rsidSect="00F11A07">
      <w:pgSz w:w="16834" w:h="11909" w:orient="landscape" w:code="9"/>
      <w:pgMar w:top="1440" w:right="126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F2ABC" w14:textId="77777777" w:rsidR="00185D11" w:rsidRDefault="00185D11">
      <w:r>
        <w:separator/>
      </w:r>
    </w:p>
  </w:endnote>
  <w:endnote w:type="continuationSeparator" w:id="0">
    <w:p w14:paraId="103B577C" w14:textId="77777777" w:rsidR="00185D11" w:rsidRDefault="00185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AA9BC" w14:textId="77777777" w:rsidR="00EE7199" w:rsidRDefault="00EE719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0"/>
        <w:szCs w:val="20"/>
      </w:rPr>
    </w:pPr>
  </w:p>
  <w:p w14:paraId="38F29274" w14:textId="77777777" w:rsidR="00EE7199" w:rsidRDefault="00EE71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9F95D" w14:textId="77777777" w:rsidR="00185D11" w:rsidRDefault="00185D11">
      <w:r>
        <w:separator/>
      </w:r>
    </w:p>
  </w:footnote>
  <w:footnote w:type="continuationSeparator" w:id="0">
    <w:p w14:paraId="75C900DE" w14:textId="77777777" w:rsidR="00185D11" w:rsidRDefault="00185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9AF54" w14:textId="7EC5E3A5" w:rsidR="00EE7199" w:rsidRDefault="00EE71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STA/SDV/OP/</w:t>
    </w:r>
    <w:r w:rsidR="004616B5" w:rsidRPr="00556197">
      <w:rPr>
        <w:rFonts w:ascii="Arial" w:hAnsi="Arial" w:cs="Arial"/>
        <w:b/>
        <w:sz w:val="20"/>
        <w:szCs w:val="20"/>
      </w:rPr>
      <w:t>05</w:t>
    </w:r>
    <w:r>
      <w:rPr>
        <w:rFonts w:ascii="Arial" w:eastAsia="Arial" w:hAnsi="Arial" w:cs="Arial"/>
        <w:b/>
        <w:color w:val="000000"/>
        <w:sz w:val="20"/>
        <w:szCs w:val="20"/>
      </w:rPr>
      <w:t>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C76031"/>
    <w:multiLevelType w:val="multilevel"/>
    <w:tmpl w:val="D2E8C3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9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1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4" w15:restartNumberingAfterBreak="0">
    <w:nsid w:val="3140303D"/>
    <w:multiLevelType w:val="multilevel"/>
    <w:tmpl w:val="D598C9D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386B28E1"/>
    <w:multiLevelType w:val="multilevel"/>
    <w:tmpl w:val="20AE0B1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8AB3989"/>
    <w:multiLevelType w:val="hybridMultilevel"/>
    <w:tmpl w:val="7B9A6A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8"/>
  </w:num>
  <w:num w:numId="2">
    <w:abstractNumId w:val="46"/>
  </w:num>
  <w:num w:numId="3">
    <w:abstractNumId w:val="41"/>
  </w:num>
  <w:num w:numId="4">
    <w:abstractNumId w:val="2"/>
  </w:num>
  <w:num w:numId="5">
    <w:abstractNumId w:val="52"/>
  </w:num>
  <w:num w:numId="6">
    <w:abstractNumId w:val="35"/>
  </w:num>
  <w:num w:numId="7">
    <w:abstractNumId w:val="26"/>
  </w:num>
  <w:num w:numId="8">
    <w:abstractNumId w:val="25"/>
  </w:num>
  <w:num w:numId="9">
    <w:abstractNumId w:val="45"/>
  </w:num>
  <w:num w:numId="10">
    <w:abstractNumId w:val="21"/>
  </w:num>
  <w:num w:numId="11">
    <w:abstractNumId w:val="31"/>
  </w:num>
  <w:num w:numId="12">
    <w:abstractNumId w:val="34"/>
  </w:num>
  <w:num w:numId="13">
    <w:abstractNumId w:val="29"/>
  </w:num>
  <w:num w:numId="14">
    <w:abstractNumId w:val="7"/>
  </w:num>
  <w:num w:numId="15">
    <w:abstractNumId w:val="20"/>
  </w:num>
  <w:num w:numId="16">
    <w:abstractNumId w:val="28"/>
  </w:num>
  <w:num w:numId="17">
    <w:abstractNumId w:val="13"/>
  </w:num>
  <w:num w:numId="18">
    <w:abstractNumId w:val="37"/>
  </w:num>
  <w:num w:numId="19">
    <w:abstractNumId w:val="10"/>
  </w:num>
  <w:num w:numId="20">
    <w:abstractNumId w:val="33"/>
  </w:num>
  <w:num w:numId="21">
    <w:abstractNumId w:val="40"/>
  </w:num>
  <w:num w:numId="22">
    <w:abstractNumId w:val="54"/>
  </w:num>
  <w:num w:numId="23">
    <w:abstractNumId w:val="23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6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8"/>
  </w:num>
  <w:num w:numId="42">
    <w:abstractNumId w:val="47"/>
  </w:num>
  <w:num w:numId="43">
    <w:abstractNumId w:val="43"/>
  </w:num>
  <w:num w:numId="44">
    <w:abstractNumId w:val="32"/>
  </w:num>
  <w:num w:numId="45">
    <w:abstractNumId w:val="49"/>
  </w:num>
  <w:num w:numId="46">
    <w:abstractNumId w:val="39"/>
  </w:num>
  <w:num w:numId="47">
    <w:abstractNumId w:val="0"/>
  </w:num>
  <w:num w:numId="48">
    <w:abstractNumId w:val="12"/>
  </w:num>
  <w:num w:numId="49">
    <w:abstractNumId w:val="30"/>
  </w:num>
  <w:num w:numId="50">
    <w:abstractNumId w:val="11"/>
  </w:num>
  <w:num w:numId="51">
    <w:abstractNumId w:val="19"/>
  </w:num>
  <w:num w:numId="52">
    <w:abstractNumId w:val="22"/>
  </w:num>
  <w:num w:numId="53">
    <w:abstractNumId w:val="17"/>
  </w:num>
  <w:num w:numId="54">
    <w:abstractNumId w:val="27"/>
  </w:num>
  <w:num w:numId="55">
    <w:abstractNumId w:val="24"/>
  </w:num>
  <w:num w:numId="56">
    <w:abstractNumId w:val="4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996"/>
    <w:rsid w:val="00024D8A"/>
    <w:rsid w:val="000257D6"/>
    <w:rsid w:val="00027C23"/>
    <w:rsid w:val="00031070"/>
    <w:rsid w:val="00032999"/>
    <w:rsid w:val="00033ABB"/>
    <w:rsid w:val="00042921"/>
    <w:rsid w:val="00043B38"/>
    <w:rsid w:val="00045649"/>
    <w:rsid w:val="000457CA"/>
    <w:rsid w:val="00045FC9"/>
    <w:rsid w:val="00050CDC"/>
    <w:rsid w:val="0005647D"/>
    <w:rsid w:val="000569CE"/>
    <w:rsid w:val="00061E5E"/>
    <w:rsid w:val="00065813"/>
    <w:rsid w:val="00067636"/>
    <w:rsid w:val="00072627"/>
    <w:rsid w:val="000751F4"/>
    <w:rsid w:val="000768C1"/>
    <w:rsid w:val="00085194"/>
    <w:rsid w:val="000853A4"/>
    <w:rsid w:val="00091BEC"/>
    <w:rsid w:val="00094EDA"/>
    <w:rsid w:val="000A1933"/>
    <w:rsid w:val="000A631A"/>
    <w:rsid w:val="000A708C"/>
    <w:rsid w:val="000B1EA0"/>
    <w:rsid w:val="000B59C4"/>
    <w:rsid w:val="000B6330"/>
    <w:rsid w:val="000B752F"/>
    <w:rsid w:val="000B7C32"/>
    <w:rsid w:val="000B7E0B"/>
    <w:rsid w:val="000C0D75"/>
    <w:rsid w:val="000C4F2A"/>
    <w:rsid w:val="000C5711"/>
    <w:rsid w:val="000D1F40"/>
    <w:rsid w:val="000E1353"/>
    <w:rsid w:val="000E1F73"/>
    <w:rsid w:val="000E388C"/>
    <w:rsid w:val="000F3EC3"/>
    <w:rsid w:val="000F4963"/>
    <w:rsid w:val="000F4AF3"/>
    <w:rsid w:val="00102C1B"/>
    <w:rsid w:val="001056AE"/>
    <w:rsid w:val="00107CD2"/>
    <w:rsid w:val="00113300"/>
    <w:rsid w:val="00113FB3"/>
    <w:rsid w:val="00117C5F"/>
    <w:rsid w:val="001207E5"/>
    <w:rsid w:val="00121450"/>
    <w:rsid w:val="001272B7"/>
    <w:rsid w:val="00133174"/>
    <w:rsid w:val="00134E92"/>
    <w:rsid w:val="00135159"/>
    <w:rsid w:val="00135631"/>
    <w:rsid w:val="00144EBE"/>
    <w:rsid w:val="0014730D"/>
    <w:rsid w:val="001502DC"/>
    <w:rsid w:val="00165744"/>
    <w:rsid w:val="001704C2"/>
    <w:rsid w:val="00170BA4"/>
    <w:rsid w:val="00172583"/>
    <w:rsid w:val="00172CD1"/>
    <w:rsid w:val="0017389A"/>
    <w:rsid w:val="00174380"/>
    <w:rsid w:val="00183FFD"/>
    <w:rsid w:val="00184755"/>
    <w:rsid w:val="00185D11"/>
    <w:rsid w:val="001A6835"/>
    <w:rsid w:val="001B427A"/>
    <w:rsid w:val="001C26F7"/>
    <w:rsid w:val="001C43C7"/>
    <w:rsid w:val="001C6CD8"/>
    <w:rsid w:val="001D1163"/>
    <w:rsid w:val="001D5922"/>
    <w:rsid w:val="001E3AC9"/>
    <w:rsid w:val="001E6C12"/>
    <w:rsid w:val="001F42A8"/>
    <w:rsid w:val="001F75F0"/>
    <w:rsid w:val="002000E6"/>
    <w:rsid w:val="00201811"/>
    <w:rsid w:val="002018D3"/>
    <w:rsid w:val="00206162"/>
    <w:rsid w:val="002126B3"/>
    <w:rsid w:val="0021486D"/>
    <w:rsid w:val="00216710"/>
    <w:rsid w:val="00217D2C"/>
    <w:rsid w:val="0022192E"/>
    <w:rsid w:val="002245A2"/>
    <w:rsid w:val="00224A4D"/>
    <w:rsid w:val="00230E3C"/>
    <w:rsid w:val="002338CE"/>
    <w:rsid w:val="00237436"/>
    <w:rsid w:val="00237E02"/>
    <w:rsid w:val="00242B58"/>
    <w:rsid w:val="002457BD"/>
    <w:rsid w:val="0025235F"/>
    <w:rsid w:val="002541EC"/>
    <w:rsid w:val="0025434A"/>
    <w:rsid w:val="00262DAC"/>
    <w:rsid w:val="00262DD1"/>
    <w:rsid w:val="00265981"/>
    <w:rsid w:val="002714B6"/>
    <w:rsid w:val="00271AAE"/>
    <w:rsid w:val="00271CB1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0ECF"/>
    <w:rsid w:val="002E67EB"/>
    <w:rsid w:val="002F4EFE"/>
    <w:rsid w:val="0030471F"/>
    <w:rsid w:val="003107A6"/>
    <w:rsid w:val="00320036"/>
    <w:rsid w:val="00320E60"/>
    <w:rsid w:val="0032195B"/>
    <w:rsid w:val="00321F8E"/>
    <w:rsid w:val="00322212"/>
    <w:rsid w:val="00322C20"/>
    <w:rsid w:val="00325507"/>
    <w:rsid w:val="00330EA5"/>
    <w:rsid w:val="003335CB"/>
    <w:rsid w:val="0033382F"/>
    <w:rsid w:val="00336F0F"/>
    <w:rsid w:val="003501B9"/>
    <w:rsid w:val="003549C8"/>
    <w:rsid w:val="003566B9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90617"/>
    <w:rsid w:val="0039453B"/>
    <w:rsid w:val="0039580D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297A"/>
    <w:rsid w:val="003E3908"/>
    <w:rsid w:val="003E5D03"/>
    <w:rsid w:val="003E7D58"/>
    <w:rsid w:val="004078ED"/>
    <w:rsid w:val="00420A22"/>
    <w:rsid w:val="00421376"/>
    <w:rsid w:val="00424DCB"/>
    <w:rsid w:val="0042647A"/>
    <w:rsid w:val="00427341"/>
    <w:rsid w:val="00432917"/>
    <w:rsid w:val="004353F8"/>
    <w:rsid w:val="004369D3"/>
    <w:rsid w:val="00437A5A"/>
    <w:rsid w:val="004421E4"/>
    <w:rsid w:val="00443233"/>
    <w:rsid w:val="00443DA3"/>
    <w:rsid w:val="004442FB"/>
    <w:rsid w:val="00453FA8"/>
    <w:rsid w:val="00455E48"/>
    <w:rsid w:val="004616B5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D5E0E"/>
    <w:rsid w:val="004D7AA5"/>
    <w:rsid w:val="004E403F"/>
    <w:rsid w:val="004E43F1"/>
    <w:rsid w:val="004E6AD1"/>
    <w:rsid w:val="004F363F"/>
    <w:rsid w:val="004F3DBC"/>
    <w:rsid w:val="0050016F"/>
    <w:rsid w:val="00506AF0"/>
    <w:rsid w:val="005070EC"/>
    <w:rsid w:val="00507251"/>
    <w:rsid w:val="0051043C"/>
    <w:rsid w:val="00512BAA"/>
    <w:rsid w:val="00516C4C"/>
    <w:rsid w:val="00516C9A"/>
    <w:rsid w:val="0052474F"/>
    <w:rsid w:val="00526A11"/>
    <w:rsid w:val="00530888"/>
    <w:rsid w:val="00531F6C"/>
    <w:rsid w:val="00533ED7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3EB1"/>
    <w:rsid w:val="00584B21"/>
    <w:rsid w:val="00586F07"/>
    <w:rsid w:val="00591BC3"/>
    <w:rsid w:val="00595FFB"/>
    <w:rsid w:val="005A03B2"/>
    <w:rsid w:val="005A5141"/>
    <w:rsid w:val="005A5372"/>
    <w:rsid w:val="005A7377"/>
    <w:rsid w:val="005B2345"/>
    <w:rsid w:val="005B4A8E"/>
    <w:rsid w:val="005B7D43"/>
    <w:rsid w:val="005C5D9F"/>
    <w:rsid w:val="005C7BDD"/>
    <w:rsid w:val="005D5638"/>
    <w:rsid w:val="005D6F12"/>
    <w:rsid w:val="005E147E"/>
    <w:rsid w:val="005E1E94"/>
    <w:rsid w:val="00606C54"/>
    <w:rsid w:val="0061060B"/>
    <w:rsid w:val="00610E09"/>
    <w:rsid w:val="00612B22"/>
    <w:rsid w:val="00612D33"/>
    <w:rsid w:val="00613FDD"/>
    <w:rsid w:val="0061471D"/>
    <w:rsid w:val="00616315"/>
    <w:rsid w:val="00616689"/>
    <w:rsid w:val="006279EA"/>
    <w:rsid w:val="006305A2"/>
    <w:rsid w:val="0063457A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5B98"/>
    <w:rsid w:val="00657619"/>
    <w:rsid w:val="006653EF"/>
    <w:rsid w:val="00667C27"/>
    <w:rsid w:val="00670949"/>
    <w:rsid w:val="0067144B"/>
    <w:rsid w:val="00675F12"/>
    <w:rsid w:val="00676041"/>
    <w:rsid w:val="0069730C"/>
    <w:rsid w:val="006A0F70"/>
    <w:rsid w:val="006A547E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2746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71086"/>
    <w:rsid w:val="00771C94"/>
    <w:rsid w:val="007729E1"/>
    <w:rsid w:val="00780ED1"/>
    <w:rsid w:val="00792871"/>
    <w:rsid w:val="007A6B3B"/>
    <w:rsid w:val="007A7B22"/>
    <w:rsid w:val="007B4380"/>
    <w:rsid w:val="007B7ED6"/>
    <w:rsid w:val="007C212E"/>
    <w:rsid w:val="007C2143"/>
    <w:rsid w:val="007C285B"/>
    <w:rsid w:val="007C47AD"/>
    <w:rsid w:val="007D13B5"/>
    <w:rsid w:val="007D3694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135D"/>
    <w:rsid w:val="008117C8"/>
    <w:rsid w:val="00817165"/>
    <w:rsid w:val="008361CC"/>
    <w:rsid w:val="00837B47"/>
    <w:rsid w:val="008441D1"/>
    <w:rsid w:val="00847E22"/>
    <w:rsid w:val="00850922"/>
    <w:rsid w:val="008553E6"/>
    <w:rsid w:val="0085714A"/>
    <w:rsid w:val="00864935"/>
    <w:rsid w:val="00866AD9"/>
    <w:rsid w:val="008706A1"/>
    <w:rsid w:val="0087118E"/>
    <w:rsid w:val="00873E37"/>
    <w:rsid w:val="00875E8E"/>
    <w:rsid w:val="00876147"/>
    <w:rsid w:val="00877F3E"/>
    <w:rsid w:val="008802F9"/>
    <w:rsid w:val="0088060B"/>
    <w:rsid w:val="0089066F"/>
    <w:rsid w:val="00893821"/>
    <w:rsid w:val="0089745E"/>
    <w:rsid w:val="00897642"/>
    <w:rsid w:val="008B4D15"/>
    <w:rsid w:val="008C0203"/>
    <w:rsid w:val="008C281E"/>
    <w:rsid w:val="008C4C9B"/>
    <w:rsid w:val="008C6CA3"/>
    <w:rsid w:val="008D0120"/>
    <w:rsid w:val="008D60D3"/>
    <w:rsid w:val="008D6D41"/>
    <w:rsid w:val="008D75FE"/>
    <w:rsid w:val="008E493D"/>
    <w:rsid w:val="008E54FC"/>
    <w:rsid w:val="008F7578"/>
    <w:rsid w:val="00901DAA"/>
    <w:rsid w:val="00912F97"/>
    <w:rsid w:val="009173CA"/>
    <w:rsid w:val="009173D2"/>
    <w:rsid w:val="009223B7"/>
    <w:rsid w:val="00932588"/>
    <w:rsid w:val="0094333F"/>
    <w:rsid w:val="00952184"/>
    <w:rsid w:val="0095427E"/>
    <w:rsid w:val="00960616"/>
    <w:rsid w:val="00963907"/>
    <w:rsid w:val="009714B9"/>
    <w:rsid w:val="009747B3"/>
    <w:rsid w:val="00975730"/>
    <w:rsid w:val="00980888"/>
    <w:rsid w:val="00981837"/>
    <w:rsid w:val="00985E0A"/>
    <w:rsid w:val="00995725"/>
    <w:rsid w:val="009A7915"/>
    <w:rsid w:val="009A7E25"/>
    <w:rsid w:val="009B23EB"/>
    <w:rsid w:val="009C1520"/>
    <w:rsid w:val="009C5EEB"/>
    <w:rsid w:val="009D0ED1"/>
    <w:rsid w:val="009D2374"/>
    <w:rsid w:val="009D3F9D"/>
    <w:rsid w:val="009E4A6A"/>
    <w:rsid w:val="009E5700"/>
    <w:rsid w:val="009E699C"/>
    <w:rsid w:val="009E6FCD"/>
    <w:rsid w:val="009F6BFE"/>
    <w:rsid w:val="009F6EC9"/>
    <w:rsid w:val="009F7EC6"/>
    <w:rsid w:val="00A0501F"/>
    <w:rsid w:val="00A06FD7"/>
    <w:rsid w:val="00A10236"/>
    <w:rsid w:val="00A11AC8"/>
    <w:rsid w:val="00A11DA7"/>
    <w:rsid w:val="00A15D69"/>
    <w:rsid w:val="00A171F6"/>
    <w:rsid w:val="00A20D4F"/>
    <w:rsid w:val="00A21F44"/>
    <w:rsid w:val="00A22773"/>
    <w:rsid w:val="00A2313D"/>
    <w:rsid w:val="00A27335"/>
    <w:rsid w:val="00A315D1"/>
    <w:rsid w:val="00A3368A"/>
    <w:rsid w:val="00A35ECF"/>
    <w:rsid w:val="00A37A78"/>
    <w:rsid w:val="00A4039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089B"/>
    <w:rsid w:val="00A941F8"/>
    <w:rsid w:val="00A95070"/>
    <w:rsid w:val="00A97C24"/>
    <w:rsid w:val="00AA06DE"/>
    <w:rsid w:val="00AA424C"/>
    <w:rsid w:val="00AA48A2"/>
    <w:rsid w:val="00AA4A92"/>
    <w:rsid w:val="00AA77BE"/>
    <w:rsid w:val="00AB045A"/>
    <w:rsid w:val="00AB181B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E452C"/>
    <w:rsid w:val="00AE5C89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3D29"/>
    <w:rsid w:val="00B44C09"/>
    <w:rsid w:val="00B45778"/>
    <w:rsid w:val="00B45DE1"/>
    <w:rsid w:val="00B4659D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0176"/>
    <w:rsid w:val="00BA2DEC"/>
    <w:rsid w:val="00BA7615"/>
    <w:rsid w:val="00BB2AC8"/>
    <w:rsid w:val="00BC1842"/>
    <w:rsid w:val="00BC2BF8"/>
    <w:rsid w:val="00BC3B5B"/>
    <w:rsid w:val="00BC6763"/>
    <w:rsid w:val="00BC7FAD"/>
    <w:rsid w:val="00BD0122"/>
    <w:rsid w:val="00BD1483"/>
    <w:rsid w:val="00BD1F07"/>
    <w:rsid w:val="00BE333B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1013E"/>
    <w:rsid w:val="00C10988"/>
    <w:rsid w:val="00C12AF8"/>
    <w:rsid w:val="00C154EE"/>
    <w:rsid w:val="00C25ED4"/>
    <w:rsid w:val="00C26C3E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49AD"/>
    <w:rsid w:val="00C55505"/>
    <w:rsid w:val="00C61B1E"/>
    <w:rsid w:val="00C6271C"/>
    <w:rsid w:val="00C6336C"/>
    <w:rsid w:val="00C64FD2"/>
    <w:rsid w:val="00C657AA"/>
    <w:rsid w:val="00C67F0F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287F"/>
    <w:rsid w:val="00CA59AD"/>
    <w:rsid w:val="00CB53EF"/>
    <w:rsid w:val="00CC0273"/>
    <w:rsid w:val="00CC5C45"/>
    <w:rsid w:val="00CD4B4E"/>
    <w:rsid w:val="00CD4DBA"/>
    <w:rsid w:val="00CD6F09"/>
    <w:rsid w:val="00CE5A25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91F"/>
    <w:rsid w:val="00D60A6A"/>
    <w:rsid w:val="00D67193"/>
    <w:rsid w:val="00D71B5C"/>
    <w:rsid w:val="00D97E74"/>
    <w:rsid w:val="00DA0B61"/>
    <w:rsid w:val="00DA116B"/>
    <w:rsid w:val="00DA1E1C"/>
    <w:rsid w:val="00DA21E1"/>
    <w:rsid w:val="00DA5DF0"/>
    <w:rsid w:val="00DA72A5"/>
    <w:rsid w:val="00DA7B6D"/>
    <w:rsid w:val="00DB2839"/>
    <w:rsid w:val="00DB406D"/>
    <w:rsid w:val="00DB4BA0"/>
    <w:rsid w:val="00DB64E0"/>
    <w:rsid w:val="00DC0273"/>
    <w:rsid w:val="00DC08CA"/>
    <w:rsid w:val="00DC19BA"/>
    <w:rsid w:val="00DD756A"/>
    <w:rsid w:val="00DE1463"/>
    <w:rsid w:val="00DE439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37F84"/>
    <w:rsid w:val="00E4038D"/>
    <w:rsid w:val="00E40B8D"/>
    <w:rsid w:val="00E40D8F"/>
    <w:rsid w:val="00E43151"/>
    <w:rsid w:val="00E44699"/>
    <w:rsid w:val="00E452A1"/>
    <w:rsid w:val="00E477AC"/>
    <w:rsid w:val="00E53416"/>
    <w:rsid w:val="00E5638E"/>
    <w:rsid w:val="00E67F33"/>
    <w:rsid w:val="00E70218"/>
    <w:rsid w:val="00E80A94"/>
    <w:rsid w:val="00E8366F"/>
    <w:rsid w:val="00E8390E"/>
    <w:rsid w:val="00E84249"/>
    <w:rsid w:val="00E910C9"/>
    <w:rsid w:val="00E92036"/>
    <w:rsid w:val="00EA47CB"/>
    <w:rsid w:val="00EA6BAD"/>
    <w:rsid w:val="00EB0FC5"/>
    <w:rsid w:val="00EB1B8B"/>
    <w:rsid w:val="00EB2419"/>
    <w:rsid w:val="00EB56F9"/>
    <w:rsid w:val="00EC0C0B"/>
    <w:rsid w:val="00ED0AE9"/>
    <w:rsid w:val="00ED2C1E"/>
    <w:rsid w:val="00ED2DB7"/>
    <w:rsid w:val="00ED5C52"/>
    <w:rsid w:val="00ED61A0"/>
    <w:rsid w:val="00EE7199"/>
    <w:rsid w:val="00EF34BE"/>
    <w:rsid w:val="00EF3CA1"/>
    <w:rsid w:val="00EF4292"/>
    <w:rsid w:val="00EF5984"/>
    <w:rsid w:val="00EF65F5"/>
    <w:rsid w:val="00EF6948"/>
    <w:rsid w:val="00F0092E"/>
    <w:rsid w:val="00F0627B"/>
    <w:rsid w:val="00F11A07"/>
    <w:rsid w:val="00F153D8"/>
    <w:rsid w:val="00F1569E"/>
    <w:rsid w:val="00F170F7"/>
    <w:rsid w:val="00F245D3"/>
    <w:rsid w:val="00F25834"/>
    <w:rsid w:val="00F26BDC"/>
    <w:rsid w:val="00F322BF"/>
    <w:rsid w:val="00F3424E"/>
    <w:rsid w:val="00F360CB"/>
    <w:rsid w:val="00F3697C"/>
    <w:rsid w:val="00F41DE0"/>
    <w:rsid w:val="00F426A9"/>
    <w:rsid w:val="00F5011A"/>
    <w:rsid w:val="00F5354D"/>
    <w:rsid w:val="00F56D9B"/>
    <w:rsid w:val="00F654C5"/>
    <w:rsid w:val="00F71A4F"/>
    <w:rsid w:val="00F7374A"/>
    <w:rsid w:val="00F73767"/>
    <w:rsid w:val="00F909F5"/>
    <w:rsid w:val="00F944E5"/>
    <w:rsid w:val="00FA0EAF"/>
    <w:rsid w:val="00FB0305"/>
    <w:rsid w:val="00FB0B10"/>
    <w:rsid w:val="00FB24F8"/>
    <w:rsid w:val="00FB2990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E13AF"/>
    <w:rsid w:val="00FE2331"/>
    <w:rsid w:val="00FE5702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FB595F4"/>
  <w15:docId w15:val="{32396416-6002-43B7-AF1F-062FA884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E54FC"/>
    <w:pPr>
      <w:ind w:left="720"/>
      <w:contextualSpacing/>
    </w:pPr>
  </w:style>
  <w:style w:type="paragraph" w:customStyle="1" w:styleId="annex">
    <w:name w:val="annex"/>
    <w:basedOn w:val="ListParagraph"/>
    <w:qFormat/>
    <w:rsid w:val="00CA287F"/>
    <w:pPr>
      <w:numPr>
        <w:numId w:val="55"/>
      </w:numPr>
      <w:autoSpaceDE w:val="0"/>
      <w:autoSpaceDN w:val="0"/>
      <w:adjustRightInd w:val="0"/>
      <w:spacing w:before="0" w:after="0" w:line="276" w:lineRule="auto"/>
      <w:contextualSpacing w:val="0"/>
      <w:jc w:val="center"/>
    </w:pPr>
    <w:rPr>
      <w:rFonts w:ascii="Arial" w:hAnsi="Arial" w:cs="Arial"/>
      <w:b/>
      <w:bCs/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CA287F"/>
    <w:rPr>
      <w:sz w:val="24"/>
      <w:szCs w:val="24"/>
    </w:rPr>
  </w:style>
  <w:style w:type="table" w:customStyle="1" w:styleId="1">
    <w:name w:val="1"/>
    <w:basedOn w:val="TableNormal"/>
    <w:rsid w:val="00EE7199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PlainTable11">
    <w:name w:val="Plain Table 11"/>
    <w:basedOn w:val="TableNormal"/>
    <w:next w:val="PlainTable1"/>
    <w:uiPriority w:val="41"/>
    <w:rsid w:val="00EE7199"/>
    <w:rPr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E71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ECFE8-6B45-45A7-BDEC-D152B4671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1184</Words>
  <Characters>6821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Daniel Kitui</cp:lastModifiedBy>
  <cp:revision>62</cp:revision>
  <cp:lastPrinted>2008-07-11T13:15:00Z</cp:lastPrinted>
  <dcterms:created xsi:type="dcterms:W3CDTF">2019-07-30T07:43:00Z</dcterms:created>
  <dcterms:modified xsi:type="dcterms:W3CDTF">2019-07-30T09:39:00Z</dcterms:modified>
</cp:coreProperties>
</file>