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58"/>
        <w:gridCol w:w="2914"/>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221DB9" w:rsidP="00B958AB">
            <w:pPr>
              <w:tabs>
                <w:tab w:val="center" w:pos="4320"/>
                <w:tab w:val="right" w:pos="8640"/>
              </w:tabs>
            </w:pPr>
            <w:r>
              <w:t>06/11</w:t>
            </w:r>
            <w:r w:rsidR="00527429">
              <w:t>/201</w:t>
            </w:r>
            <w:r>
              <w:t>9</w:t>
            </w:r>
          </w:p>
        </w:tc>
        <w:tc>
          <w:tcPr>
            <w:tcW w:w="2970" w:type="dxa"/>
            <w:tcBorders>
              <w:top w:val="single" w:sz="4" w:space="0" w:color="auto"/>
              <w:left w:val="single" w:sz="4" w:space="0" w:color="auto"/>
              <w:bottom w:val="single" w:sz="4" w:space="0" w:color="auto"/>
              <w:right w:val="single" w:sz="4" w:space="0" w:color="auto"/>
            </w:tcBorders>
          </w:tcPr>
          <w:p w:rsidR="00B958AB" w:rsidRDefault="00221DB9" w:rsidP="00B958AB">
            <w:pPr>
              <w:tabs>
                <w:tab w:val="center" w:pos="4320"/>
                <w:tab w:val="right" w:pos="8640"/>
              </w:tabs>
            </w:pPr>
            <w:r>
              <w:t>05/12</w:t>
            </w:r>
            <w:r w:rsidR="00527429">
              <w:t>/201</w:t>
            </w:r>
            <w:r>
              <w:t>9</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221DB9" w:rsidRDefault="00221DB9" w:rsidP="00221DB9">
      <w:pPr>
        <w:shd w:val="clear" w:color="auto" w:fill="FFFFFF"/>
        <w:textAlignment w:val="baseline"/>
        <w:outlineLvl w:val="0"/>
        <w:rPr>
          <w:rFonts w:ascii="Arial Narrow" w:hAnsi="Arial Narrow" w:cs="Arial"/>
          <w:b/>
        </w:rPr>
      </w:pPr>
      <w:r w:rsidRPr="00744043">
        <w:rPr>
          <w:rFonts w:ascii="Arial Narrow" w:hAnsi="Arial Narrow" w:cs="Arial"/>
        </w:rPr>
        <w:t>Number.</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Pr>
          <w:rFonts w:ascii="Arial Narrow" w:hAnsi="Arial Narrow" w:cs="Arial"/>
          <w:b/>
        </w:rPr>
        <w:t xml:space="preserve">KS </w:t>
      </w:r>
      <w:r w:rsidRPr="00E25A74">
        <w:rPr>
          <w:rFonts w:ascii="Arial Narrow" w:hAnsi="Arial Narrow" w:cs="Arial"/>
          <w:b/>
        </w:rPr>
        <w:t xml:space="preserve">ISO 17442:2019 </w:t>
      </w:r>
    </w:p>
    <w:p w:rsidR="00221DB9" w:rsidRDefault="00221DB9" w:rsidP="00221DB9">
      <w:pPr>
        <w:shd w:val="clear" w:color="auto" w:fill="FFFFFF"/>
        <w:textAlignment w:val="baseline"/>
        <w:outlineLvl w:val="0"/>
        <w:rPr>
          <w:rFonts w:ascii="Arial Narrow" w:hAnsi="Arial Narrow" w:cs="Arial"/>
          <w:b/>
        </w:rPr>
      </w:pPr>
    </w:p>
    <w:p w:rsidR="00221DB9" w:rsidRDefault="00221DB9" w:rsidP="00221DB9">
      <w:pPr>
        <w:shd w:val="clear" w:color="auto" w:fill="FFFFFF"/>
        <w:textAlignment w:val="baseline"/>
        <w:outlineLvl w:val="0"/>
        <w:rPr>
          <w:rFonts w:ascii="Arial Narrow" w:hAnsi="Arial Narrow"/>
        </w:rPr>
      </w:pPr>
      <w:r w:rsidRPr="00221DB9">
        <w:rPr>
          <w:rFonts w:ascii="Arial Narrow" w:hAnsi="Arial Narrow"/>
          <w:b/>
        </w:rPr>
        <w:t>Title:</w:t>
      </w:r>
      <w:r>
        <w:rPr>
          <w:rFonts w:ascii="Arial Narrow" w:hAnsi="Arial Narrow"/>
        </w:rPr>
        <w:t xml:space="preserve"> </w:t>
      </w:r>
      <w:r w:rsidRPr="00E25A74">
        <w:rPr>
          <w:rFonts w:ascii="Arial Narrow" w:hAnsi="Arial Narrow"/>
        </w:rPr>
        <w:t>Financial services — Legal entity identifier (LEI)</w:t>
      </w:r>
      <w:r>
        <w:rPr>
          <w:rFonts w:ascii="Arial Narrow" w:hAnsi="Arial Narrow"/>
        </w:rPr>
        <w:t xml:space="preserve"> </w:t>
      </w:r>
    </w:p>
    <w:p w:rsidR="00824971" w:rsidRPr="00824971" w:rsidRDefault="00824971" w:rsidP="00221DB9">
      <w:pPr>
        <w:shd w:val="clear" w:color="auto" w:fill="FFFFFF"/>
        <w:textAlignment w:val="baseline"/>
        <w:outlineLvl w:val="0"/>
        <w:rPr>
          <w:i/>
        </w:rPr>
      </w:pPr>
    </w:p>
    <w:p w:rsidR="00926DEA" w:rsidRPr="00926DEA" w:rsidRDefault="00926DEA" w:rsidP="00926DEA">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421E6B" w:rsidRPr="00421E6B" w:rsidRDefault="00421E6B" w:rsidP="00421E6B">
      <w:pPr>
        <w:autoSpaceDE w:val="0"/>
        <w:autoSpaceDN w:val="0"/>
        <w:adjustRightInd w:val="0"/>
        <w:jc w:val="both"/>
        <w:rPr>
          <w:rFonts w:ascii="Arial" w:hAnsi="Arial" w:cs="Arial"/>
          <w:sz w:val="20"/>
          <w:szCs w:val="20"/>
        </w:rPr>
      </w:pPr>
      <w:r w:rsidRPr="00421E6B">
        <w:rPr>
          <w:rFonts w:ascii="Arial" w:hAnsi="Arial" w:cs="Arial"/>
          <w:sz w:val="20"/>
          <w:szCs w:val="20"/>
        </w:rPr>
        <w:t>This document specifies the minimum elements of an unambiguous legal entity identifier (LEI) scheme to identify the legal entities relevant to any financial transaction.</w:t>
      </w:r>
    </w:p>
    <w:p w:rsidR="00421E6B" w:rsidRPr="00421E6B" w:rsidRDefault="00421E6B" w:rsidP="00421E6B">
      <w:pPr>
        <w:autoSpaceDE w:val="0"/>
        <w:autoSpaceDN w:val="0"/>
        <w:adjustRightInd w:val="0"/>
        <w:jc w:val="both"/>
        <w:rPr>
          <w:rFonts w:ascii="Arial" w:hAnsi="Arial" w:cs="Arial"/>
          <w:sz w:val="20"/>
          <w:szCs w:val="20"/>
        </w:rPr>
      </w:pPr>
      <w:r w:rsidRPr="00421E6B">
        <w:rPr>
          <w:rFonts w:ascii="Arial" w:hAnsi="Arial" w:cs="Arial"/>
          <w:sz w:val="20"/>
          <w:szCs w:val="20"/>
        </w:rPr>
        <w:t xml:space="preserve">It is applicable to legal entities, which include, but are not limited to, unique parties that are legally or financially responsible for the performance of financial transactions or have the legal right in their jurisdiction to enter independently into legal contracts, regardless of whether they are incorporated or constituted in some other way (e.g. trust, partnership, contractual). It includes governmental organizations, </w:t>
      </w:r>
      <w:proofErr w:type="spellStart"/>
      <w:r w:rsidRPr="00421E6B">
        <w:rPr>
          <w:rFonts w:ascii="Arial" w:hAnsi="Arial" w:cs="Arial"/>
          <w:sz w:val="20"/>
          <w:szCs w:val="20"/>
        </w:rPr>
        <w:t>supranational</w:t>
      </w:r>
      <w:r>
        <w:rPr>
          <w:rFonts w:ascii="Arial" w:hAnsi="Arial" w:cs="Arial"/>
          <w:sz w:val="20"/>
          <w:szCs w:val="20"/>
        </w:rPr>
        <w:t>’s</w:t>
      </w:r>
      <w:proofErr w:type="spellEnd"/>
      <w:r w:rsidRPr="00421E6B">
        <w:rPr>
          <w:rFonts w:ascii="Arial" w:hAnsi="Arial" w:cs="Arial"/>
          <w:sz w:val="20"/>
          <w:szCs w:val="20"/>
        </w:rPr>
        <w:t xml:space="preserve"> and individuals when acting in a business capacity1, but excludes natural persons.</w:t>
      </w:r>
    </w:p>
    <w:p w:rsidR="00221DB9" w:rsidRDefault="00421E6B" w:rsidP="00421E6B">
      <w:pPr>
        <w:autoSpaceDE w:val="0"/>
        <w:autoSpaceDN w:val="0"/>
        <w:adjustRightInd w:val="0"/>
        <w:jc w:val="both"/>
        <w:rPr>
          <w:rFonts w:ascii="Arial" w:hAnsi="Arial" w:cs="Arial"/>
          <w:sz w:val="20"/>
          <w:szCs w:val="20"/>
        </w:rPr>
      </w:pPr>
      <w:r w:rsidRPr="00421E6B">
        <w:rPr>
          <w:rFonts w:ascii="Arial" w:hAnsi="Arial" w:cs="Arial"/>
          <w:sz w:val="20"/>
          <w:szCs w:val="20"/>
        </w:rPr>
        <w:t>The LEI is designed for automated processing. It can also be conveniently used in other media interchange when appropriate (e.g. paper document exchange).</w:t>
      </w:r>
      <w:r w:rsidR="001B427A">
        <w:rPr>
          <w:rFonts w:ascii="Arial" w:hAnsi="Arial" w:cs="Arial"/>
          <w:sz w:val="20"/>
          <w:szCs w:val="20"/>
        </w:rPr>
        <w:tab/>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bookmarkStart w:id="0" w:name="_GoBack"/>
      <w:bookmarkEnd w:id="0"/>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1BA" w:rsidRDefault="00DA51BA">
      <w:r>
        <w:separator/>
      </w:r>
    </w:p>
  </w:endnote>
  <w:endnote w:type="continuationSeparator" w:id="0">
    <w:p w:rsidR="00DA51BA" w:rsidRDefault="00DA5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1BA" w:rsidRDefault="00DA51BA">
      <w:r>
        <w:separator/>
      </w:r>
    </w:p>
  </w:footnote>
  <w:footnote w:type="continuationSeparator" w:id="0">
    <w:p w:rsidR="00DA51BA" w:rsidRDefault="00DA51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6"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15:restartNumberingAfterBreak="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3413"/>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1DB9"/>
    <w:rsid w:val="002245A2"/>
    <w:rsid w:val="00226C13"/>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2C5"/>
    <w:rsid w:val="004078ED"/>
    <w:rsid w:val="00414967"/>
    <w:rsid w:val="00420A22"/>
    <w:rsid w:val="00421376"/>
    <w:rsid w:val="00421B38"/>
    <w:rsid w:val="00421E6B"/>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4F5FCD"/>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4F64"/>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2BBE"/>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C7B5F"/>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51BA"/>
    <w:rsid w:val="00DA72A5"/>
    <w:rsid w:val="00DA7B6D"/>
    <w:rsid w:val="00DB2839"/>
    <w:rsid w:val="00DB406D"/>
    <w:rsid w:val="00DB64E0"/>
    <w:rsid w:val="00DC0273"/>
    <w:rsid w:val="00DC19BA"/>
    <w:rsid w:val="00DC4E20"/>
    <w:rsid w:val="00DD5E5D"/>
    <w:rsid w:val="00DD756A"/>
    <w:rsid w:val="00DD7CBC"/>
    <w:rsid w:val="00DE1463"/>
    <w:rsid w:val="00DE3A52"/>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959F0"/>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E8D8D0"/>
  <w15:docId w15:val="{2CE8296E-2489-4C66-8E6A-C11ED022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2976">
      <w:bodyDiv w:val="1"/>
      <w:marLeft w:val="0"/>
      <w:marRight w:val="0"/>
      <w:marTop w:val="0"/>
      <w:marBottom w:val="0"/>
      <w:divBdr>
        <w:top w:val="none" w:sz="0" w:space="0" w:color="auto"/>
        <w:left w:val="none" w:sz="0" w:space="0" w:color="auto"/>
        <w:bottom w:val="none" w:sz="0" w:space="0" w:color="auto"/>
        <w:right w:val="none" w:sz="0" w:space="0" w:color="auto"/>
      </w:divBdr>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868450095">
      <w:bodyDiv w:val="1"/>
      <w:marLeft w:val="0"/>
      <w:marRight w:val="0"/>
      <w:marTop w:val="0"/>
      <w:marBottom w:val="0"/>
      <w:divBdr>
        <w:top w:val="none" w:sz="0" w:space="0" w:color="auto"/>
        <w:left w:val="none" w:sz="0" w:space="0" w:color="auto"/>
        <w:bottom w:val="none" w:sz="0" w:space="0" w:color="auto"/>
        <w:right w:val="none" w:sz="0" w:space="0" w:color="auto"/>
      </w:divBdr>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147671894">
      <w:bodyDiv w:val="1"/>
      <w:marLeft w:val="0"/>
      <w:marRight w:val="0"/>
      <w:marTop w:val="0"/>
      <w:marBottom w:val="0"/>
      <w:divBdr>
        <w:top w:val="none" w:sz="0" w:space="0" w:color="auto"/>
        <w:left w:val="none" w:sz="0" w:space="0" w:color="auto"/>
        <w:bottom w:val="none" w:sz="0" w:space="0" w:color="auto"/>
        <w:right w:val="none" w:sz="0" w:space="0" w:color="auto"/>
      </w:divBdr>
      <w:divsChild>
        <w:div w:id="576020174">
          <w:marLeft w:val="0"/>
          <w:marRight w:val="0"/>
          <w:marTop w:val="150"/>
          <w:marBottom w:val="150"/>
          <w:divBdr>
            <w:top w:val="none" w:sz="0" w:space="0" w:color="auto"/>
            <w:left w:val="none" w:sz="0" w:space="0" w:color="auto"/>
            <w:bottom w:val="none" w:sz="0" w:space="0" w:color="auto"/>
            <w:right w:val="none" w:sz="0" w:space="0" w:color="auto"/>
          </w:divBdr>
        </w:div>
        <w:div w:id="421144100">
          <w:marLeft w:val="0"/>
          <w:marRight w:val="0"/>
          <w:marTop w:val="150"/>
          <w:marBottom w:val="150"/>
          <w:divBdr>
            <w:top w:val="none" w:sz="0" w:space="0" w:color="auto"/>
            <w:left w:val="none" w:sz="0" w:space="0" w:color="auto"/>
            <w:bottom w:val="none" w:sz="0" w:space="0" w:color="auto"/>
            <w:right w:val="none" w:sz="0" w:space="0" w:color="auto"/>
          </w:divBdr>
        </w:div>
        <w:div w:id="1499227458">
          <w:marLeft w:val="0"/>
          <w:marRight w:val="0"/>
          <w:marTop w:val="150"/>
          <w:marBottom w:val="15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08058442">
      <w:bodyDiv w:val="1"/>
      <w:marLeft w:val="0"/>
      <w:marRight w:val="0"/>
      <w:marTop w:val="0"/>
      <w:marBottom w:val="0"/>
      <w:divBdr>
        <w:top w:val="none" w:sz="0" w:space="0" w:color="auto"/>
        <w:left w:val="none" w:sz="0" w:space="0" w:color="auto"/>
        <w:bottom w:val="none" w:sz="0" w:space="0" w:color="auto"/>
        <w:right w:val="none" w:sz="0" w:space="0" w:color="auto"/>
      </w:divBdr>
      <w:divsChild>
        <w:div w:id="466899974">
          <w:marLeft w:val="0"/>
          <w:marRight w:val="0"/>
          <w:marTop w:val="150"/>
          <w:marBottom w:val="150"/>
          <w:divBdr>
            <w:top w:val="none" w:sz="0" w:space="0" w:color="auto"/>
            <w:left w:val="none" w:sz="0" w:space="0" w:color="auto"/>
            <w:bottom w:val="none" w:sz="0" w:space="0" w:color="auto"/>
            <w:right w:val="none" w:sz="0" w:space="0" w:color="auto"/>
          </w:divBdr>
        </w:div>
        <w:div w:id="66804192">
          <w:marLeft w:val="0"/>
          <w:marRight w:val="0"/>
          <w:marTop w:val="150"/>
          <w:marBottom w:val="150"/>
          <w:divBdr>
            <w:top w:val="none" w:sz="0" w:space="0" w:color="auto"/>
            <w:left w:val="none" w:sz="0" w:space="0" w:color="auto"/>
            <w:bottom w:val="none" w:sz="0" w:space="0" w:color="auto"/>
            <w:right w:val="none" w:sz="0" w:space="0" w:color="auto"/>
          </w:divBdr>
        </w:div>
        <w:div w:id="234779919">
          <w:marLeft w:val="0"/>
          <w:marRight w:val="0"/>
          <w:marTop w:val="150"/>
          <w:marBottom w:val="150"/>
          <w:divBdr>
            <w:top w:val="none" w:sz="0" w:space="0" w:color="auto"/>
            <w:left w:val="none" w:sz="0" w:space="0" w:color="auto"/>
            <w:bottom w:val="none" w:sz="0" w:space="0" w:color="auto"/>
            <w:right w:val="none" w:sz="0" w:space="0" w:color="auto"/>
          </w:divBdr>
        </w:div>
      </w:divsChild>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091268970">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432</Words>
  <Characters>2463</Characters>
  <Application>Microsoft Office Word</Application>
  <DocSecurity>2</DocSecurity>
  <Lines>20</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2890</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Allan Kimitei</cp:lastModifiedBy>
  <cp:revision>3</cp:revision>
  <cp:lastPrinted>2011-05-19T08:42:00Z</cp:lastPrinted>
  <dcterms:created xsi:type="dcterms:W3CDTF">2019-11-06T05:55:00Z</dcterms:created>
  <dcterms:modified xsi:type="dcterms:W3CDTF">2019-11-06T06:02:00Z</dcterms:modified>
</cp:coreProperties>
</file>