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B72274" w:rsidP="006F761C">
            <w:pPr>
              <w:tabs>
                <w:tab w:val="center" w:pos="4320"/>
                <w:tab w:val="right" w:pos="8640"/>
              </w:tabs>
              <w:rPr>
                <w:rFonts w:ascii="Arial" w:hAnsi="Arial" w:cs="Arial"/>
                <w:sz w:val="20"/>
                <w:szCs w:val="20"/>
              </w:rPr>
            </w:pPr>
            <w:r>
              <w:rPr>
                <w:rFonts w:ascii="Arial" w:hAnsi="Arial" w:cs="Arial"/>
                <w:sz w:val="20"/>
                <w:szCs w:val="20"/>
              </w:rPr>
              <w:t>201</w:t>
            </w:r>
            <w:r w:rsidR="006F761C">
              <w:rPr>
                <w:rFonts w:ascii="Arial" w:hAnsi="Arial" w:cs="Arial"/>
                <w:sz w:val="20"/>
                <w:szCs w:val="20"/>
              </w:rPr>
              <w:t>9</w:t>
            </w:r>
            <w:r>
              <w:rPr>
                <w:rFonts w:ascii="Arial" w:hAnsi="Arial" w:cs="Arial"/>
                <w:sz w:val="20"/>
                <w:szCs w:val="20"/>
              </w:rPr>
              <w:t>-</w:t>
            </w:r>
            <w:r w:rsidR="006F761C">
              <w:rPr>
                <w:rFonts w:ascii="Arial" w:hAnsi="Arial" w:cs="Arial"/>
                <w:sz w:val="20"/>
                <w:szCs w:val="20"/>
              </w:rPr>
              <w:t>09</w:t>
            </w:r>
            <w:r>
              <w:rPr>
                <w:rFonts w:ascii="Arial" w:hAnsi="Arial" w:cs="Arial"/>
                <w:sz w:val="20"/>
                <w:szCs w:val="20"/>
              </w:rPr>
              <w:t>-</w:t>
            </w:r>
            <w:r w:rsidR="00D33D28">
              <w:rPr>
                <w:rFonts w:ascii="Arial" w:hAnsi="Arial" w:cs="Arial"/>
                <w:sz w:val="20"/>
                <w:szCs w:val="20"/>
              </w:rPr>
              <w:t>0</w:t>
            </w:r>
            <w:r w:rsidR="006F761C">
              <w:rPr>
                <w:rFonts w:ascii="Arial" w:hAnsi="Arial" w:cs="Arial"/>
                <w:sz w:val="20"/>
                <w:szCs w:val="20"/>
              </w:rPr>
              <w:t>3</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B72274" w:rsidP="006F761C">
            <w:pPr>
              <w:tabs>
                <w:tab w:val="center" w:pos="4320"/>
                <w:tab w:val="right" w:pos="8640"/>
              </w:tabs>
              <w:rPr>
                <w:rFonts w:ascii="Arial" w:hAnsi="Arial" w:cs="Arial"/>
                <w:sz w:val="20"/>
                <w:szCs w:val="20"/>
              </w:rPr>
            </w:pPr>
            <w:r>
              <w:rPr>
                <w:rFonts w:ascii="Arial" w:hAnsi="Arial" w:cs="Arial"/>
                <w:sz w:val="20"/>
                <w:szCs w:val="20"/>
              </w:rPr>
              <w:t>201</w:t>
            </w:r>
            <w:r w:rsidR="006F761C">
              <w:rPr>
                <w:rFonts w:ascii="Arial" w:hAnsi="Arial" w:cs="Arial"/>
                <w:sz w:val="20"/>
                <w:szCs w:val="20"/>
              </w:rPr>
              <w:t>9</w:t>
            </w:r>
            <w:r w:rsidR="00D33D28">
              <w:rPr>
                <w:rFonts w:ascii="Arial" w:hAnsi="Arial" w:cs="Arial"/>
                <w:sz w:val="20"/>
                <w:szCs w:val="20"/>
              </w:rPr>
              <w:t>-</w:t>
            </w:r>
            <w:r w:rsidR="006F761C">
              <w:rPr>
                <w:rFonts w:ascii="Arial" w:hAnsi="Arial" w:cs="Arial"/>
                <w:sz w:val="20"/>
                <w:szCs w:val="20"/>
              </w:rPr>
              <w:t>10</w:t>
            </w:r>
            <w:r>
              <w:rPr>
                <w:rFonts w:ascii="Arial" w:hAnsi="Arial" w:cs="Arial"/>
                <w:sz w:val="20"/>
                <w:szCs w:val="20"/>
              </w:rPr>
              <w:t>-</w:t>
            </w:r>
            <w:r w:rsidR="00D33D28">
              <w:rPr>
                <w:rFonts w:ascii="Arial" w:hAnsi="Arial" w:cs="Arial"/>
                <w:sz w:val="20"/>
                <w:szCs w:val="20"/>
              </w:rPr>
              <w:t>0</w:t>
            </w:r>
            <w:r w:rsidR="006F761C">
              <w:rPr>
                <w:rFonts w:ascii="Arial" w:hAnsi="Arial" w:cs="Arial"/>
                <w:sz w:val="20"/>
                <w:szCs w:val="20"/>
              </w:rPr>
              <w:t>2</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3D0717">
            <w:pPr>
              <w:tabs>
                <w:tab w:val="center" w:pos="4320"/>
                <w:tab w:val="right" w:pos="8640"/>
              </w:tabs>
              <w:rPr>
                <w:rFonts w:ascii="Arial" w:hAnsi="Arial" w:cs="Arial"/>
                <w:sz w:val="20"/>
                <w:szCs w:val="20"/>
              </w:rPr>
            </w:pPr>
            <w:r w:rsidRPr="00A748E4">
              <w:rPr>
                <w:rFonts w:ascii="Arial" w:hAnsi="Arial" w:cs="Arial"/>
                <w:b/>
                <w:bCs/>
                <w:sz w:val="20"/>
                <w:szCs w:val="20"/>
              </w:rPr>
              <w:t xml:space="preserve">This form shall be filled, signed and returned to Kenya Bureau of Standards for the attention of </w:t>
            </w:r>
            <w:r w:rsidR="003D0717" w:rsidRPr="003D0717">
              <w:rPr>
                <w:rFonts w:ascii="Arial" w:hAnsi="Arial" w:cs="Arial"/>
                <w:b/>
                <w:bCs/>
                <w:color w:val="0070C0"/>
                <w:sz w:val="20"/>
                <w:szCs w:val="20"/>
              </w:rPr>
              <w:t>Tania Monica</w:t>
            </w:r>
            <w:r w:rsidR="00847D8E" w:rsidRPr="00847D8E">
              <w:rPr>
                <w:rFonts w:ascii="Arial" w:hAnsi="Arial" w:cs="Arial"/>
                <w:b/>
                <w:bCs/>
                <w:color w:val="0070C0"/>
                <w:sz w:val="20"/>
                <w:szCs w:val="20"/>
              </w:rPr>
              <w:t xml:space="preserve"> </w:t>
            </w:r>
            <w:r w:rsidR="003D0717">
              <w:rPr>
                <w:rFonts w:ascii="Arial" w:hAnsi="Arial" w:cs="Arial"/>
                <w:b/>
                <w:bCs/>
                <w:color w:val="0070C0"/>
                <w:sz w:val="20"/>
                <w:szCs w:val="20"/>
              </w:rPr>
              <w:t>taniam</w:t>
            </w:r>
            <w:r w:rsidR="00F8024A" w:rsidRPr="00F8024A">
              <w:rPr>
                <w:rFonts w:ascii="Arial" w:hAnsi="Arial" w:cs="Arial"/>
                <w:b/>
                <w:bCs/>
                <w:color w:val="0070C0"/>
                <w:sz w:val="20"/>
                <w:szCs w:val="20"/>
              </w:rPr>
              <w:t>@kebs.org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44105" w:rsidRDefault="00144105" w:rsidP="0032084E">
      <w:pPr>
        <w:autoSpaceDE w:val="0"/>
        <w:autoSpaceDN w:val="0"/>
        <w:adjustRightInd w:val="0"/>
        <w:ind w:left="0"/>
        <w:rPr>
          <w:rFonts w:ascii="Arial" w:hAnsi="Arial" w:cs="Arial"/>
          <w:sz w:val="20"/>
          <w:szCs w:val="20"/>
        </w:rPr>
      </w:pPr>
    </w:p>
    <w:p w:rsidR="00BC448F" w:rsidRDefault="00BC448F" w:rsidP="0032084E">
      <w:pPr>
        <w:autoSpaceDE w:val="0"/>
        <w:autoSpaceDN w:val="0"/>
        <w:adjustRightInd w:val="0"/>
        <w:ind w:left="0"/>
        <w:rPr>
          <w:rFonts w:ascii="Arial" w:hAnsi="Arial" w:cs="Arial"/>
          <w:sz w:val="20"/>
          <w:szCs w:val="20"/>
        </w:rPr>
      </w:pPr>
    </w:p>
    <w:p w:rsidR="00F8024A"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KS Number(s) of Standard(s) </w:t>
      </w:r>
    </w:p>
    <w:p w:rsidR="00D33D28" w:rsidRDefault="00D33D28"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6339C">
        <w:rPr>
          <w:rFonts w:ascii="Arial" w:hAnsi="Arial" w:cs="Arial"/>
          <w:color w:val="000000"/>
          <w:sz w:val="20"/>
          <w:szCs w:val="20"/>
        </w:rPr>
      </w:r>
      <w:r w:rsidR="0056339C">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6339C">
        <w:rPr>
          <w:rFonts w:ascii="Arial" w:hAnsi="Arial" w:cs="Arial"/>
          <w:color w:val="000000"/>
          <w:sz w:val="20"/>
          <w:szCs w:val="20"/>
        </w:rPr>
      </w:r>
      <w:r w:rsidR="0056339C">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6339C">
        <w:rPr>
          <w:rFonts w:ascii="Arial" w:hAnsi="Arial" w:cs="Arial"/>
          <w:color w:val="000000"/>
          <w:sz w:val="20"/>
          <w:szCs w:val="20"/>
        </w:rPr>
      </w:r>
      <w:r w:rsidR="0056339C">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6339C">
        <w:rPr>
          <w:rFonts w:ascii="Arial" w:hAnsi="Arial" w:cs="Arial"/>
          <w:color w:val="000000"/>
          <w:sz w:val="20"/>
          <w:szCs w:val="20"/>
        </w:rPr>
      </w:r>
      <w:r w:rsidR="0056339C">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6339C">
        <w:rPr>
          <w:rFonts w:ascii="Arial" w:hAnsi="Arial" w:cs="Arial"/>
          <w:color w:val="000000"/>
          <w:sz w:val="20"/>
          <w:szCs w:val="20"/>
        </w:rPr>
      </w:r>
      <w:r w:rsidR="0056339C">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011EA4" w:rsidRDefault="00011EA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847D8E" w:rsidRDefault="00A748E4" w:rsidP="00847D8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011EA4" w:rsidRDefault="00011EA4" w:rsidP="00847D8E">
      <w:pPr>
        <w:tabs>
          <w:tab w:val="right" w:leader="dot" w:pos="3600"/>
        </w:tabs>
        <w:autoSpaceDE w:val="0"/>
        <w:autoSpaceDN w:val="0"/>
        <w:adjustRightInd w:val="0"/>
        <w:ind w:left="0"/>
        <w:rPr>
          <w:rFonts w:ascii="Arial" w:hAnsi="Arial" w:cs="Arial"/>
          <w:bCs/>
          <w:sz w:val="20"/>
          <w:szCs w:val="20"/>
        </w:rPr>
      </w:pPr>
    </w:p>
    <w:p w:rsidR="00847D8E" w:rsidRDefault="00847D8E" w:rsidP="00847D8E">
      <w:pPr>
        <w:tabs>
          <w:tab w:val="right" w:leader="dot" w:pos="3600"/>
        </w:tabs>
        <w:autoSpaceDE w:val="0"/>
        <w:autoSpaceDN w:val="0"/>
        <w:adjustRightInd w:val="0"/>
        <w:ind w:left="0"/>
        <w:rPr>
          <w:rFonts w:ascii="Arial" w:hAnsi="Arial" w:cs="Arial"/>
          <w:bCs/>
          <w:sz w:val="20"/>
          <w:szCs w:val="20"/>
        </w:rPr>
      </w:pPr>
    </w:p>
    <w:p w:rsidR="00847D8E" w:rsidRPr="00F33FFB" w:rsidRDefault="00847D8E" w:rsidP="00847D8E">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392542">
        <w:rPr>
          <w:rFonts w:ascii="Arial" w:hAnsi="Arial" w:cs="Arial"/>
          <w:b/>
          <w:bCs/>
          <w:u w:val="single"/>
        </w:rPr>
        <w:t>KEBS TC 10</w:t>
      </w:r>
      <w:r w:rsidR="006F761C">
        <w:rPr>
          <w:rFonts w:ascii="Arial" w:hAnsi="Arial" w:cs="Arial"/>
          <w:b/>
          <w:bCs/>
          <w:u w:val="single"/>
        </w:rPr>
        <w:t>3</w:t>
      </w:r>
      <w:r>
        <w:rPr>
          <w:rFonts w:ascii="Arial" w:hAnsi="Arial" w:cs="Arial"/>
          <w:b/>
          <w:bCs/>
          <w:u w:val="single"/>
        </w:rPr>
        <w:t xml:space="preserve">: </w:t>
      </w:r>
      <w:proofErr w:type="spellStart"/>
      <w:proofErr w:type="gramStart"/>
      <w:r w:rsidR="006F761C">
        <w:rPr>
          <w:rFonts w:ascii="Arial" w:hAnsi="Arial" w:cs="Arial"/>
          <w:b/>
          <w:bCs/>
          <w:u w:val="single"/>
        </w:rPr>
        <w:t>Acoustics</w:t>
      </w:r>
      <w:r w:rsidR="00392542">
        <w:rPr>
          <w:rFonts w:ascii="Arial" w:hAnsi="Arial" w:cs="Arial"/>
          <w:b/>
          <w:bCs/>
          <w:u w:val="single"/>
        </w:rPr>
        <w:t>,</w:t>
      </w:r>
      <w:r w:rsidR="006F761C">
        <w:rPr>
          <w:rFonts w:ascii="Arial" w:hAnsi="Arial" w:cs="Arial"/>
          <w:b/>
          <w:bCs/>
          <w:u w:val="single"/>
        </w:rPr>
        <w:t>Mechanics</w:t>
      </w:r>
      <w:proofErr w:type="spellEnd"/>
      <w:proofErr w:type="gramEnd"/>
      <w:r w:rsidR="006F761C">
        <w:rPr>
          <w:rFonts w:ascii="Arial" w:hAnsi="Arial" w:cs="Arial"/>
          <w:b/>
          <w:bCs/>
          <w:u w:val="single"/>
        </w:rPr>
        <w:t xml:space="preserve"> and Dimensional </w:t>
      </w:r>
      <w:r w:rsidR="001C2C46">
        <w:rPr>
          <w:rFonts w:ascii="Arial" w:hAnsi="Arial" w:cs="Arial"/>
          <w:b/>
          <w:bCs/>
          <w:u w:val="single"/>
        </w:rPr>
        <w:t>metrology</w:t>
      </w:r>
      <w:r>
        <w:rPr>
          <w:rFonts w:ascii="Arial" w:hAnsi="Arial" w:cs="Arial"/>
          <w:b/>
          <w:bCs/>
          <w:u w:val="single"/>
        </w:rPr>
        <w:t>)</w:t>
      </w:r>
    </w:p>
    <w:p w:rsidR="00847D8E" w:rsidRDefault="00847D8E" w:rsidP="0032084E">
      <w:pPr>
        <w:tabs>
          <w:tab w:val="right" w:leader="dot" w:pos="3600"/>
        </w:tabs>
        <w:autoSpaceDE w:val="0"/>
        <w:autoSpaceDN w:val="0"/>
        <w:adjustRightInd w:val="0"/>
        <w:ind w:left="0"/>
        <w:rPr>
          <w:rFonts w:ascii="Arial" w:hAnsi="Arial" w:cs="Arial"/>
          <w:bCs/>
          <w:sz w:val="20"/>
          <w:szCs w:val="20"/>
        </w:rPr>
      </w:pPr>
    </w:p>
    <w:p w:rsidR="00E44C14" w:rsidRPr="005E5A3B" w:rsidRDefault="00E44C14" w:rsidP="005E5A3B">
      <w:pPr>
        <w:autoSpaceDE w:val="0"/>
        <w:autoSpaceDN w:val="0"/>
        <w:adjustRightInd w:val="0"/>
        <w:ind w:left="0"/>
        <w:rPr>
          <w:rFonts w:ascii="Times New Roman" w:eastAsia="Times New Roman" w:hAnsi="Times New Roman"/>
        </w:rPr>
      </w:pPr>
    </w:p>
    <w:tbl>
      <w:tblPr>
        <w:tblStyle w:val="TableGrid"/>
        <w:tblW w:w="0" w:type="auto"/>
        <w:tblLook w:val="04A0" w:firstRow="1" w:lastRow="0" w:firstColumn="1" w:lastColumn="0" w:noHBand="0" w:noVBand="1"/>
      </w:tblPr>
      <w:tblGrid>
        <w:gridCol w:w="495"/>
        <w:gridCol w:w="2020"/>
        <w:gridCol w:w="6502"/>
      </w:tblGrid>
      <w:tr w:rsidR="00531C3E" w:rsidRPr="00847D8E" w:rsidTr="0005520B">
        <w:trPr>
          <w:trHeight w:val="570"/>
        </w:trPr>
        <w:tc>
          <w:tcPr>
            <w:tcW w:w="495" w:type="dxa"/>
          </w:tcPr>
          <w:p w:rsidR="00531C3E" w:rsidRPr="00847D8E" w:rsidRDefault="00531C3E" w:rsidP="00531C3E">
            <w:pPr>
              <w:autoSpaceDE w:val="0"/>
              <w:autoSpaceDN w:val="0"/>
              <w:adjustRightInd w:val="0"/>
              <w:ind w:left="0"/>
            </w:pPr>
            <w:r w:rsidRPr="00847D8E">
              <w:t>1.</w:t>
            </w:r>
          </w:p>
        </w:tc>
        <w:tc>
          <w:tcPr>
            <w:tcW w:w="2020" w:type="dxa"/>
          </w:tcPr>
          <w:p w:rsidR="00531C3E" w:rsidRPr="00574CA5" w:rsidRDefault="00531C3E" w:rsidP="00531C3E">
            <w:pPr>
              <w:ind w:left="0"/>
            </w:pPr>
            <w:r w:rsidRPr="00574CA5">
              <w:t>KS ISO 13475-1:1999</w:t>
            </w:r>
          </w:p>
        </w:tc>
        <w:tc>
          <w:tcPr>
            <w:tcW w:w="6502" w:type="dxa"/>
          </w:tcPr>
          <w:p w:rsidR="00531C3E" w:rsidRPr="0091366C" w:rsidRDefault="00531C3E" w:rsidP="00531C3E">
            <w:pPr>
              <w:ind w:left="0"/>
            </w:pPr>
            <w:r w:rsidRPr="0091366C">
              <w:t>Acoustics - Stationary audible warning devices used outdoors - Part 1: Field measurements for determination of sound emission quantities.</w:t>
            </w:r>
          </w:p>
        </w:tc>
      </w:tr>
      <w:tr w:rsidR="00531C3E" w:rsidRPr="00847D8E" w:rsidTr="0005520B">
        <w:trPr>
          <w:trHeight w:val="510"/>
        </w:trPr>
        <w:tc>
          <w:tcPr>
            <w:tcW w:w="495" w:type="dxa"/>
          </w:tcPr>
          <w:p w:rsidR="00531C3E" w:rsidRPr="00847D8E" w:rsidRDefault="00531C3E" w:rsidP="00531C3E">
            <w:pPr>
              <w:autoSpaceDE w:val="0"/>
              <w:autoSpaceDN w:val="0"/>
              <w:adjustRightInd w:val="0"/>
              <w:ind w:left="0"/>
            </w:pPr>
            <w:r w:rsidRPr="00847D8E">
              <w:t>2.</w:t>
            </w:r>
          </w:p>
        </w:tc>
        <w:tc>
          <w:tcPr>
            <w:tcW w:w="2020" w:type="dxa"/>
          </w:tcPr>
          <w:p w:rsidR="00531C3E" w:rsidRPr="00574CA5" w:rsidRDefault="00531C3E" w:rsidP="00531C3E">
            <w:pPr>
              <w:ind w:left="0"/>
            </w:pPr>
            <w:r w:rsidRPr="00574CA5">
              <w:t>KS ISO 6926:1999</w:t>
            </w:r>
          </w:p>
        </w:tc>
        <w:tc>
          <w:tcPr>
            <w:tcW w:w="6502" w:type="dxa"/>
          </w:tcPr>
          <w:p w:rsidR="00531C3E" w:rsidRPr="0091366C" w:rsidRDefault="00531C3E" w:rsidP="00531C3E">
            <w:pPr>
              <w:ind w:left="0"/>
            </w:pPr>
            <w:r w:rsidRPr="0091366C">
              <w:t>Acoustics - Requirements for the performance and calibration of reference sound sources used for the determination of sound power levels.</w:t>
            </w:r>
          </w:p>
        </w:tc>
      </w:tr>
      <w:tr w:rsidR="00531C3E" w:rsidRPr="00847D8E" w:rsidTr="0005520B">
        <w:trPr>
          <w:trHeight w:val="525"/>
        </w:trPr>
        <w:tc>
          <w:tcPr>
            <w:tcW w:w="495" w:type="dxa"/>
          </w:tcPr>
          <w:p w:rsidR="00531C3E" w:rsidRPr="00847D8E" w:rsidRDefault="00531C3E" w:rsidP="00531C3E">
            <w:pPr>
              <w:autoSpaceDE w:val="0"/>
              <w:autoSpaceDN w:val="0"/>
              <w:adjustRightInd w:val="0"/>
              <w:ind w:left="0"/>
            </w:pPr>
            <w:r w:rsidRPr="00847D8E">
              <w:t>3.</w:t>
            </w:r>
          </w:p>
        </w:tc>
        <w:tc>
          <w:tcPr>
            <w:tcW w:w="2020" w:type="dxa"/>
          </w:tcPr>
          <w:p w:rsidR="00531C3E" w:rsidRPr="00574CA5" w:rsidRDefault="00531C3E" w:rsidP="00531C3E">
            <w:pPr>
              <w:ind w:left="0"/>
            </w:pPr>
            <w:r w:rsidRPr="00574CA5">
              <w:t>KS ISO 9295:1988</w:t>
            </w:r>
          </w:p>
        </w:tc>
        <w:tc>
          <w:tcPr>
            <w:tcW w:w="6502" w:type="dxa"/>
          </w:tcPr>
          <w:p w:rsidR="00531C3E" w:rsidRPr="0091366C" w:rsidRDefault="00531C3E" w:rsidP="00531C3E">
            <w:pPr>
              <w:ind w:left="0"/>
            </w:pPr>
            <w:r w:rsidRPr="0091366C">
              <w:t xml:space="preserve">Acoustics - Declared noise emission values of computer and business </w:t>
            </w:r>
            <w:proofErr w:type="spellStart"/>
            <w:r w:rsidRPr="0091366C">
              <w:t>equipmentuipment</w:t>
            </w:r>
            <w:proofErr w:type="spellEnd"/>
            <w:r w:rsidRPr="0091366C">
              <w:t xml:space="preserve">. </w:t>
            </w:r>
          </w:p>
        </w:tc>
      </w:tr>
      <w:tr w:rsidR="00531C3E" w:rsidRPr="00847D8E" w:rsidTr="0005520B">
        <w:trPr>
          <w:trHeight w:val="555"/>
        </w:trPr>
        <w:tc>
          <w:tcPr>
            <w:tcW w:w="495" w:type="dxa"/>
          </w:tcPr>
          <w:p w:rsidR="00531C3E" w:rsidRPr="00847D8E" w:rsidRDefault="00531C3E" w:rsidP="00531C3E">
            <w:pPr>
              <w:autoSpaceDE w:val="0"/>
              <w:autoSpaceDN w:val="0"/>
              <w:adjustRightInd w:val="0"/>
              <w:ind w:left="0"/>
            </w:pPr>
            <w:r w:rsidRPr="00847D8E">
              <w:t>4.</w:t>
            </w:r>
          </w:p>
        </w:tc>
        <w:tc>
          <w:tcPr>
            <w:tcW w:w="2020" w:type="dxa"/>
          </w:tcPr>
          <w:p w:rsidR="00531C3E" w:rsidRPr="00574CA5" w:rsidRDefault="00531C3E" w:rsidP="00531C3E">
            <w:pPr>
              <w:ind w:left="0"/>
            </w:pPr>
            <w:r>
              <w:t xml:space="preserve">KS </w:t>
            </w:r>
            <w:r w:rsidRPr="00574CA5">
              <w:t>ISO</w:t>
            </w:r>
            <w:r>
              <w:t xml:space="preserve"> </w:t>
            </w:r>
            <w:r w:rsidRPr="00574CA5">
              <w:t>3743-2:1994</w:t>
            </w:r>
          </w:p>
        </w:tc>
        <w:tc>
          <w:tcPr>
            <w:tcW w:w="6502" w:type="dxa"/>
          </w:tcPr>
          <w:p w:rsidR="00531C3E" w:rsidRPr="0091366C" w:rsidRDefault="00531C3E" w:rsidP="00531C3E">
            <w:pPr>
              <w:ind w:left="0"/>
            </w:pPr>
            <w:r w:rsidRPr="0091366C">
              <w:t xml:space="preserve">Acoustics - Determination of sound power levels of noise sources - Engineering methods for small, movable sources in reverberant fields - Part 2: Methods for special reverberation test rooms. </w:t>
            </w:r>
          </w:p>
        </w:tc>
      </w:tr>
      <w:tr w:rsidR="00531C3E" w:rsidRPr="00847D8E" w:rsidTr="0005520B">
        <w:trPr>
          <w:trHeight w:val="440"/>
        </w:trPr>
        <w:tc>
          <w:tcPr>
            <w:tcW w:w="495" w:type="dxa"/>
          </w:tcPr>
          <w:p w:rsidR="00531C3E" w:rsidRPr="00847D8E" w:rsidRDefault="00531C3E" w:rsidP="00531C3E">
            <w:pPr>
              <w:autoSpaceDE w:val="0"/>
              <w:autoSpaceDN w:val="0"/>
              <w:adjustRightInd w:val="0"/>
              <w:ind w:left="0"/>
            </w:pPr>
            <w:r>
              <w:t>5.</w:t>
            </w:r>
          </w:p>
        </w:tc>
        <w:tc>
          <w:tcPr>
            <w:tcW w:w="2020" w:type="dxa"/>
          </w:tcPr>
          <w:p w:rsidR="00531C3E" w:rsidRPr="00574CA5" w:rsidRDefault="00531C3E" w:rsidP="00531C3E">
            <w:pPr>
              <w:ind w:left="0"/>
            </w:pPr>
            <w:r>
              <w:t>K</w:t>
            </w:r>
            <w:r w:rsidRPr="00574CA5">
              <w:t>S ISO 9612:1997</w:t>
            </w:r>
          </w:p>
        </w:tc>
        <w:tc>
          <w:tcPr>
            <w:tcW w:w="6502" w:type="dxa"/>
          </w:tcPr>
          <w:p w:rsidR="00531C3E" w:rsidRPr="0091366C" w:rsidRDefault="00531C3E" w:rsidP="00531C3E">
            <w:pPr>
              <w:ind w:left="0"/>
            </w:pPr>
            <w:r w:rsidRPr="0091366C">
              <w:t>Acoustics- Guidelines for the measurement and assessment of exposure to noise in a working environment</w:t>
            </w:r>
          </w:p>
        </w:tc>
      </w:tr>
      <w:tr w:rsidR="00531C3E" w:rsidRPr="00847D8E" w:rsidTr="0005520B">
        <w:trPr>
          <w:trHeight w:val="615"/>
        </w:trPr>
        <w:tc>
          <w:tcPr>
            <w:tcW w:w="495" w:type="dxa"/>
          </w:tcPr>
          <w:p w:rsidR="00531C3E" w:rsidRPr="00847D8E" w:rsidRDefault="00531C3E" w:rsidP="00531C3E">
            <w:pPr>
              <w:autoSpaceDE w:val="0"/>
              <w:autoSpaceDN w:val="0"/>
              <w:adjustRightInd w:val="0"/>
              <w:ind w:left="0"/>
            </w:pPr>
            <w:r>
              <w:t>6</w:t>
            </w:r>
            <w:r w:rsidRPr="00847D8E">
              <w:t>.</w:t>
            </w:r>
          </w:p>
        </w:tc>
        <w:tc>
          <w:tcPr>
            <w:tcW w:w="2020" w:type="dxa"/>
          </w:tcPr>
          <w:p w:rsidR="00531C3E" w:rsidRPr="00574CA5" w:rsidRDefault="00531C3E" w:rsidP="00531C3E">
            <w:pPr>
              <w:ind w:left="0"/>
            </w:pPr>
            <w:r w:rsidRPr="00574CA5">
              <w:t>KSISO 11200:1995</w:t>
            </w:r>
          </w:p>
        </w:tc>
        <w:tc>
          <w:tcPr>
            <w:tcW w:w="6502" w:type="dxa"/>
          </w:tcPr>
          <w:p w:rsidR="00531C3E" w:rsidRPr="0091366C" w:rsidRDefault="00531C3E" w:rsidP="00531C3E">
            <w:pPr>
              <w:ind w:left="0"/>
            </w:pPr>
            <w:r w:rsidRPr="0091366C">
              <w:t>Acoustics -- Noise emitted by machinery and equipment -- Guidelines for the use of basic standards for the determination of emission sound pressure levels at a work station and at other specified positions</w:t>
            </w:r>
          </w:p>
        </w:tc>
      </w:tr>
      <w:tr w:rsidR="00301122" w:rsidRPr="00847D8E" w:rsidTr="0005520B">
        <w:trPr>
          <w:trHeight w:val="300"/>
        </w:trPr>
        <w:tc>
          <w:tcPr>
            <w:tcW w:w="495" w:type="dxa"/>
          </w:tcPr>
          <w:p w:rsidR="00301122" w:rsidRPr="00847D8E" w:rsidRDefault="00301122" w:rsidP="00301122">
            <w:pPr>
              <w:autoSpaceDE w:val="0"/>
              <w:autoSpaceDN w:val="0"/>
              <w:adjustRightInd w:val="0"/>
              <w:ind w:left="0"/>
            </w:pPr>
            <w:r w:rsidRPr="00847D8E">
              <w:t>7.</w:t>
            </w:r>
          </w:p>
        </w:tc>
        <w:tc>
          <w:tcPr>
            <w:tcW w:w="2020" w:type="dxa"/>
          </w:tcPr>
          <w:p w:rsidR="00301122" w:rsidRPr="00454F4F" w:rsidRDefault="00301122" w:rsidP="00301122">
            <w:pPr>
              <w:ind w:left="0"/>
            </w:pPr>
            <w:r w:rsidRPr="00454F4F">
              <w:t>KS ISO 226:2003</w:t>
            </w:r>
          </w:p>
        </w:tc>
        <w:tc>
          <w:tcPr>
            <w:tcW w:w="6502" w:type="dxa"/>
          </w:tcPr>
          <w:p w:rsidR="00301122" w:rsidRPr="00847D8E" w:rsidRDefault="00301122" w:rsidP="00301122">
            <w:pPr>
              <w:autoSpaceDE w:val="0"/>
              <w:autoSpaceDN w:val="0"/>
              <w:adjustRightInd w:val="0"/>
              <w:ind w:left="0"/>
            </w:pPr>
            <w:r w:rsidRPr="003D113F">
              <w:t>Safe use of radiation gauges — Code of practice</w:t>
            </w:r>
          </w:p>
        </w:tc>
      </w:tr>
      <w:tr w:rsidR="00301122" w:rsidRPr="00847D8E" w:rsidTr="0005520B">
        <w:trPr>
          <w:trHeight w:val="300"/>
        </w:trPr>
        <w:tc>
          <w:tcPr>
            <w:tcW w:w="495" w:type="dxa"/>
          </w:tcPr>
          <w:p w:rsidR="00301122" w:rsidRPr="00847D8E" w:rsidRDefault="00301122" w:rsidP="00301122">
            <w:pPr>
              <w:autoSpaceDE w:val="0"/>
              <w:autoSpaceDN w:val="0"/>
              <w:adjustRightInd w:val="0"/>
              <w:ind w:left="0"/>
            </w:pPr>
            <w:r w:rsidRPr="00847D8E">
              <w:t>8.</w:t>
            </w:r>
          </w:p>
        </w:tc>
        <w:tc>
          <w:tcPr>
            <w:tcW w:w="2020" w:type="dxa"/>
          </w:tcPr>
          <w:p w:rsidR="00301122" w:rsidRPr="00454F4F" w:rsidRDefault="00301122" w:rsidP="00301122">
            <w:pPr>
              <w:ind w:left="0"/>
            </w:pPr>
            <w:r w:rsidRPr="00454F4F">
              <w:t>KS ISO 266:1997</w:t>
            </w:r>
          </w:p>
        </w:tc>
        <w:tc>
          <w:tcPr>
            <w:tcW w:w="6502" w:type="dxa"/>
          </w:tcPr>
          <w:p w:rsidR="00301122" w:rsidRPr="00847D8E" w:rsidRDefault="00301122" w:rsidP="00301122">
            <w:pPr>
              <w:autoSpaceDE w:val="0"/>
              <w:autoSpaceDN w:val="0"/>
              <w:adjustRightInd w:val="0"/>
              <w:ind w:left="0"/>
            </w:pPr>
            <w:r w:rsidRPr="00827BB9">
              <w:t>Cabinet X-ray equipment for examination of letters, packages, baggage, freight and other articles for security, quality control and other purposes ― Requirements</w:t>
            </w:r>
          </w:p>
        </w:tc>
      </w:tr>
      <w:tr w:rsidR="00301122" w:rsidRPr="00847D8E" w:rsidTr="0005520B">
        <w:trPr>
          <w:trHeight w:val="300"/>
        </w:trPr>
        <w:tc>
          <w:tcPr>
            <w:tcW w:w="495" w:type="dxa"/>
          </w:tcPr>
          <w:p w:rsidR="00301122" w:rsidRPr="00847D8E" w:rsidRDefault="00301122" w:rsidP="00301122">
            <w:pPr>
              <w:autoSpaceDE w:val="0"/>
              <w:autoSpaceDN w:val="0"/>
              <w:adjustRightInd w:val="0"/>
              <w:ind w:left="0"/>
            </w:pPr>
            <w:r w:rsidRPr="00847D8E">
              <w:t>9.</w:t>
            </w:r>
          </w:p>
        </w:tc>
        <w:tc>
          <w:tcPr>
            <w:tcW w:w="2020" w:type="dxa"/>
          </w:tcPr>
          <w:p w:rsidR="00301122" w:rsidRPr="00454F4F" w:rsidRDefault="00301122" w:rsidP="00301122">
            <w:pPr>
              <w:ind w:left="0"/>
            </w:pPr>
            <w:r w:rsidRPr="00454F4F">
              <w:t>KS ISO 389-1:1998</w:t>
            </w:r>
          </w:p>
        </w:tc>
        <w:tc>
          <w:tcPr>
            <w:tcW w:w="6502" w:type="dxa"/>
          </w:tcPr>
          <w:p w:rsidR="00301122" w:rsidRPr="00704BFE" w:rsidRDefault="00301122" w:rsidP="00301122">
            <w:pPr>
              <w:ind w:left="0"/>
            </w:pPr>
            <w:r w:rsidRPr="007C2847">
              <w:t>Safe use of ionizing radiation in training institutions — Code of practice</w:t>
            </w:r>
          </w:p>
        </w:tc>
      </w:tr>
      <w:tr w:rsidR="00301122" w:rsidRPr="00847D8E" w:rsidTr="0005520B">
        <w:trPr>
          <w:trHeight w:val="300"/>
        </w:trPr>
        <w:tc>
          <w:tcPr>
            <w:tcW w:w="495" w:type="dxa"/>
          </w:tcPr>
          <w:p w:rsidR="00301122" w:rsidRPr="00847D8E" w:rsidRDefault="00301122" w:rsidP="00301122">
            <w:pPr>
              <w:autoSpaceDE w:val="0"/>
              <w:autoSpaceDN w:val="0"/>
              <w:adjustRightInd w:val="0"/>
              <w:ind w:left="0"/>
            </w:pPr>
            <w:r w:rsidRPr="00847D8E">
              <w:t>10.</w:t>
            </w:r>
          </w:p>
        </w:tc>
        <w:tc>
          <w:tcPr>
            <w:tcW w:w="2020" w:type="dxa"/>
          </w:tcPr>
          <w:p w:rsidR="00301122" w:rsidRPr="00454F4F" w:rsidRDefault="00301122" w:rsidP="00301122">
            <w:pPr>
              <w:ind w:left="0"/>
            </w:pPr>
            <w:r w:rsidRPr="00454F4F">
              <w:t>KS ISO 389-2:1994</w:t>
            </w:r>
          </w:p>
        </w:tc>
        <w:tc>
          <w:tcPr>
            <w:tcW w:w="6502" w:type="dxa"/>
          </w:tcPr>
          <w:p w:rsidR="00301122" w:rsidRPr="00704BFE" w:rsidRDefault="00301122" w:rsidP="00301122">
            <w:pPr>
              <w:ind w:left="0"/>
            </w:pPr>
            <w:r>
              <w:t>Corpses containing radioactive materials — Safe handling — Code of practice</w:t>
            </w:r>
          </w:p>
        </w:tc>
      </w:tr>
      <w:tr w:rsidR="0005520B" w:rsidRPr="00847D8E" w:rsidTr="0005520B">
        <w:trPr>
          <w:trHeight w:val="300"/>
        </w:trPr>
        <w:tc>
          <w:tcPr>
            <w:tcW w:w="495" w:type="dxa"/>
          </w:tcPr>
          <w:p w:rsidR="0005520B" w:rsidRPr="00847D8E" w:rsidRDefault="0005520B" w:rsidP="0005520B">
            <w:pPr>
              <w:autoSpaceDE w:val="0"/>
              <w:autoSpaceDN w:val="0"/>
              <w:adjustRightInd w:val="0"/>
              <w:ind w:left="0"/>
            </w:pPr>
            <w:r>
              <w:t>11.</w:t>
            </w:r>
          </w:p>
        </w:tc>
        <w:tc>
          <w:tcPr>
            <w:tcW w:w="2020" w:type="dxa"/>
          </w:tcPr>
          <w:p w:rsidR="0005520B" w:rsidRPr="00454F4F" w:rsidRDefault="0005520B" w:rsidP="0005520B">
            <w:pPr>
              <w:ind w:left="0"/>
            </w:pPr>
            <w:r w:rsidRPr="00454F4F">
              <w:t>KS ISO 389-4:1994</w:t>
            </w:r>
          </w:p>
        </w:tc>
        <w:tc>
          <w:tcPr>
            <w:tcW w:w="6502" w:type="dxa"/>
          </w:tcPr>
          <w:p w:rsidR="0005520B" w:rsidRPr="00844881" w:rsidRDefault="0005520B" w:rsidP="0005520B">
            <w:pPr>
              <w:ind w:left="0"/>
            </w:pPr>
            <w:r w:rsidRPr="00844881">
              <w:t>Acoustics — Reference zero for the calibration of audiometric equipment Part 4: Reference levels for narrow-band masking noise</w:t>
            </w:r>
          </w:p>
        </w:tc>
      </w:tr>
      <w:tr w:rsidR="0005520B" w:rsidRPr="00847D8E" w:rsidTr="0005520B">
        <w:trPr>
          <w:trHeight w:val="300"/>
        </w:trPr>
        <w:tc>
          <w:tcPr>
            <w:tcW w:w="495" w:type="dxa"/>
          </w:tcPr>
          <w:p w:rsidR="0005520B" w:rsidRPr="00847D8E" w:rsidRDefault="0005520B" w:rsidP="0005520B">
            <w:pPr>
              <w:autoSpaceDE w:val="0"/>
              <w:autoSpaceDN w:val="0"/>
              <w:adjustRightInd w:val="0"/>
              <w:ind w:left="0"/>
            </w:pPr>
            <w:r>
              <w:t>12.</w:t>
            </w:r>
          </w:p>
        </w:tc>
        <w:tc>
          <w:tcPr>
            <w:tcW w:w="2020" w:type="dxa"/>
          </w:tcPr>
          <w:p w:rsidR="0005520B" w:rsidRPr="00454F4F" w:rsidRDefault="0005520B" w:rsidP="0005520B">
            <w:pPr>
              <w:ind w:left="0"/>
            </w:pPr>
            <w:r w:rsidRPr="00454F4F">
              <w:t>KS ISO 389-5:2006</w:t>
            </w:r>
          </w:p>
        </w:tc>
        <w:tc>
          <w:tcPr>
            <w:tcW w:w="6502" w:type="dxa"/>
          </w:tcPr>
          <w:p w:rsidR="0005520B" w:rsidRPr="00844881" w:rsidRDefault="0005520B" w:rsidP="0005520B">
            <w:pPr>
              <w:ind w:left="0"/>
            </w:pPr>
            <w:r>
              <w:t>Acoustics — Reference zero for the calibration</w:t>
            </w:r>
            <w:r>
              <w:t xml:space="preserve"> </w:t>
            </w:r>
            <w:r>
              <w:t>of audiometric equipment Part 5: Reference equivalent threshold sound pressure levels for</w:t>
            </w:r>
            <w:r>
              <w:t xml:space="preserve"> </w:t>
            </w:r>
            <w:r>
              <w:t xml:space="preserve">pure tones in the </w:t>
            </w:r>
            <w:r>
              <w:t>frequency range 8 kHz to 16 kHz</w:t>
            </w:r>
          </w:p>
        </w:tc>
      </w:tr>
      <w:tr w:rsidR="0005520B" w:rsidRPr="00847D8E" w:rsidTr="0005520B">
        <w:trPr>
          <w:trHeight w:val="300"/>
        </w:trPr>
        <w:tc>
          <w:tcPr>
            <w:tcW w:w="495" w:type="dxa"/>
          </w:tcPr>
          <w:p w:rsidR="0005520B" w:rsidRPr="00847D8E" w:rsidRDefault="0005520B" w:rsidP="0005520B">
            <w:pPr>
              <w:autoSpaceDE w:val="0"/>
              <w:autoSpaceDN w:val="0"/>
              <w:adjustRightInd w:val="0"/>
              <w:ind w:left="0"/>
            </w:pPr>
            <w:r>
              <w:t>13.</w:t>
            </w:r>
          </w:p>
        </w:tc>
        <w:tc>
          <w:tcPr>
            <w:tcW w:w="2020" w:type="dxa"/>
          </w:tcPr>
          <w:p w:rsidR="0005520B" w:rsidRPr="00454F4F" w:rsidRDefault="0005520B" w:rsidP="0005520B">
            <w:pPr>
              <w:ind w:left="0"/>
            </w:pPr>
            <w:r w:rsidRPr="00454F4F">
              <w:t>KS ISO 389-7:2005</w:t>
            </w:r>
          </w:p>
        </w:tc>
        <w:tc>
          <w:tcPr>
            <w:tcW w:w="6502" w:type="dxa"/>
          </w:tcPr>
          <w:p w:rsidR="0005520B" w:rsidRDefault="0005520B" w:rsidP="0005520B">
            <w:pPr>
              <w:ind w:left="0"/>
            </w:pPr>
            <w:r>
              <w:t>Acoustics — Reference zero for the calibration</w:t>
            </w:r>
            <w:r>
              <w:t xml:space="preserve"> </w:t>
            </w:r>
            <w:r>
              <w:t>of audiometric equipment Part 7: Reference threshold of hearing under free-field and</w:t>
            </w:r>
          </w:p>
          <w:p w:rsidR="0005520B" w:rsidRPr="00844881" w:rsidRDefault="0005520B" w:rsidP="0005520B">
            <w:pPr>
              <w:ind w:left="0"/>
            </w:pPr>
            <w:r>
              <w:t>diffuse-field listening conditions"</w:t>
            </w:r>
          </w:p>
        </w:tc>
      </w:tr>
      <w:tr w:rsidR="0005520B" w:rsidRPr="00847D8E" w:rsidTr="0005520B">
        <w:trPr>
          <w:trHeight w:val="300"/>
        </w:trPr>
        <w:tc>
          <w:tcPr>
            <w:tcW w:w="495" w:type="dxa"/>
          </w:tcPr>
          <w:p w:rsidR="0005520B" w:rsidRPr="00847D8E" w:rsidRDefault="0005520B" w:rsidP="0005520B">
            <w:pPr>
              <w:autoSpaceDE w:val="0"/>
              <w:autoSpaceDN w:val="0"/>
              <w:adjustRightInd w:val="0"/>
              <w:ind w:left="0"/>
            </w:pPr>
            <w:r>
              <w:t>14.</w:t>
            </w:r>
          </w:p>
        </w:tc>
        <w:tc>
          <w:tcPr>
            <w:tcW w:w="2020" w:type="dxa"/>
          </w:tcPr>
          <w:p w:rsidR="0005520B" w:rsidRPr="00454F4F" w:rsidRDefault="0005520B" w:rsidP="0005520B">
            <w:pPr>
              <w:ind w:left="0"/>
            </w:pPr>
            <w:r>
              <w:t>KS</w:t>
            </w:r>
            <w:r w:rsidRPr="00301122">
              <w:t>ISO 11203:1995</w:t>
            </w:r>
          </w:p>
        </w:tc>
        <w:tc>
          <w:tcPr>
            <w:tcW w:w="6502" w:type="dxa"/>
          </w:tcPr>
          <w:p w:rsidR="0005520B" w:rsidRPr="00844881" w:rsidRDefault="0005520B" w:rsidP="0005520B">
            <w:pPr>
              <w:ind w:left="0"/>
            </w:pPr>
            <w:bookmarkStart w:id="0" w:name="_GoBack"/>
            <w:bookmarkEnd w:id="0"/>
            <w:r w:rsidRPr="0005520B">
              <w:t>Acoustics - Noise emitted by machinery and equipment - Determination of emission sound pressure levels at a work station and at other specified positions from the sound power level.</w:t>
            </w:r>
          </w:p>
        </w:tc>
      </w:tr>
      <w:tr w:rsidR="00301122" w:rsidRPr="00847D8E" w:rsidTr="0005520B">
        <w:trPr>
          <w:trHeight w:val="300"/>
        </w:trPr>
        <w:tc>
          <w:tcPr>
            <w:tcW w:w="495" w:type="dxa"/>
          </w:tcPr>
          <w:p w:rsidR="00301122" w:rsidRDefault="00301122" w:rsidP="00301122">
            <w:pPr>
              <w:autoSpaceDE w:val="0"/>
              <w:autoSpaceDN w:val="0"/>
              <w:adjustRightInd w:val="0"/>
              <w:ind w:left="0"/>
            </w:pPr>
            <w:r>
              <w:t>15.</w:t>
            </w:r>
          </w:p>
        </w:tc>
        <w:tc>
          <w:tcPr>
            <w:tcW w:w="2020" w:type="dxa"/>
          </w:tcPr>
          <w:p w:rsidR="00301122" w:rsidRDefault="00301122" w:rsidP="00301122">
            <w:pPr>
              <w:ind w:left="0"/>
            </w:pPr>
            <w:r>
              <w:t>KS</w:t>
            </w:r>
            <w:r w:rsidRPr="00301122">
              <w:t>ISO 11201:1995</w:t>
            </w:r>
          </w:p>
        </w:tc>
        <w:tc>
          <w:tcPr>
            <w:tcW w:w="6502" w:type="dxa"/>
          </w:tcPr>
          <w:p w:rsidR="00301122" w:rsidRDefault="00301122" w:rsidP="00301122">
            <w:pPr>
              <w:ind w:left="0"/>
            </w:pPr>
            <w:r w:rsidRPr="00301122">
              <w:t xml:space="preserve">Acoustics — Noise emitted by machinery and equipment — Measurement of emission sound pressure levels at a work station and at </w:t>
            </w:r>
            <w:r w:rsidRPr="00301122">
              <w:lastRenderedPageBreak/>
              <w:t>other specified positions — Engineering method in an essentially free field over a reflecting plane</w:t>
            </w:r>
          </w:p>
        </w:tc>
      </w:tr>
    </w:tbl>
    <w:p w:rsidR="00E44C14" w:rsidRPr="00847D8E" w:rsidRDefault="00E44C14" w:rsidP="0032084E">
      <w:pPr>
        <w:tabs>
          <w:tab w:val="right" w:leader="dot" w:pos="3600"/>
        </w:tabs>
        <w:autoSpaceDE w:val="0"/>
        <w:autoSpaceDN w:val="0"/>
        <w:adjustRightInd w:val="0"/>
        <w:ind w:left="0"/>
        <w:rPr>
          <w:rFonts w:ascii="Times New Roman" w:hAnsi="Times New Roman"/>
          <w:bCs/>
        </w:rPr>
      </w:pPr>
    </w:p>
    <w:sectPr w:rsidR="00E44C14" w:rsidRPr="00847D8E"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9C" w:rsidRDefault="0056339C" w:rsidP="00970449">
      <w:pPr>
        <w:spacing w:after="0"/>
      </w:pPr>
      <w:r>
        <w:separator/>
      </w:r>
    </w:p>
  </w:endnote>
  <w:endnote w:type="continuationSeparator" w:id="0">
    <w:p w:rsidR="0056339C" w:rsidRDefault="0056339C"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Default="00717131" w:rsidP="00717131">
          <w:pPr>
            <w:pStyle w:val="Footer"/>
            <w:rPr>
              <w:rFonts w:ascii="Arial" w:hAnsi="Arial" w:cs="Arial"/>
              <w:sz w:val="20"/>
            </w:rPr>
          </w:pPr>
          <w:r>
            <w:rPr>
              <w:rFonts w:ascii="Arial" w:hAnsi="Arial" w:cs="Arial"/>
              <w:sz w:val="20"/>
            </w:rPr>
            <w:t>Revision</w:t>
          </w:r>
        </w:p>
      </w:tc>
      <w:tc>
        <w:tcPr>
          <w:tcW w:w="480" w:type="dxa"/>
        </w:tcPr>
        <w:p w:rsidR="00717131" w:rsidRDefault="00717131"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717131" w:rsidRDefault="00717131" w:rsidP="00717131">
          <w:pPr>
            <w:pStyle w:val="Footer"/>
            <w:rPr>
              <w:rFonts w:ascii="Arial" w:hAnsi="Arial" w:cs="Arial"/>
              <w:sz w:val="20"/>
            </w:rPr>
          </w:pPr>
        </w:p>
      </w:tc>
      <w:tc>
        <w:tcPr>
          <w:tcW w:w="2244" w:type="dxa"/>
        </w:tcPr>
        <w:p w:rsidR="00717131" w:rsidRDefault="00717131" w:rsidP="00717131">
          <w:pPr>
            <w:pStyle w:val="Footer"/>
            <w:rPr>
              <w:rFonts w:ascii="Arial" w:hAnsi="Arial" w:cs="Arial"/>
              <w:sz w:val="20"/>
            </w:rPr>
          </w:pPr>
          <w:r>
            <w:rPr>
              <w:rFonts w:ascii="Arial" w:hAnsi="Arial" w:cs="Arial"/>
              <w:sz w:val="20"/>
            </w:rPr>
            <w:t>Date: 2012-03-08</w:t>
          </w:r>
        </w:p>
      </w:tc>
    </w:tr>
  </w:tbl>
  <w:p w:rsidR="00717131" w:rsidRDefault="00717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9C" w:rsidRDefault="0056339C" w:rsidP="00970449">
      <w:pPr>
        <w:spacing w:after="0"/>
      </w:pPr>
      <w:r>
        <w:separator/>
      </w:r>
    </w:p>
  </w:footnote>
  <w:footnote w:type="continuationSeparator" w:id="0">
    <w:p w:rsidR="0056339C" w:rsidRDefault="0056339C"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31" w:rsidRDefault="005633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4704"/>
      <w:gridCol w:w="3081"/>
    </w:tblGrid>
    <w:tr w:rsidR="00717131" w:rsidRPr="00A748E4">
      <w:tc>
        <w:tcPr>
          <w:tcW w:w="1458" w:type="dxa"/>
        </w:tcPr>
        <w:p w:rsidR="00717131" w:rsidRDefault="00E424EB" w:rsidP="00717131">
          <w:pPr>
            <w:pStyle w:val="Header"/>
            <w:rPr>
              <w:rFonts w:ascii="Arial" w:hAnsi="Arial" w:cs="Arial"/>
            </w:rPr>
          </w:pPr>
          <w:r>
            <w:rPr>
              <w:rFonts w:ascii="ITC Bookman Demi" w:eastAsia="Batang" w:hAnsi="ITC Bookman Demi" w:cs="Tahoma"/>
              <w:noProof/>
              <w:sz w:val="48"/>
              <w:szCs w:val="48"/>
            </w:rPr>
            <w:drawing>
              <wp:inline distT="0" distB="0" distL="0" distR="0" wp14:anchorId="37795931" wp14:editId="455F7315">
                <wp:extent cx="685800" cy="400050"/>
                <wp:effectExtent l="19050" t="0" r="0" b="0"/>
                <wp:docPr id="1" name="Picture 1"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717131" w:rsidRDefault="00717131" w:rsidP="00717131">
          <w:pPr>
            <w:pStyle w:val="Header"/>
            <w:rPr>
              <w:rFonts w:ascii="Arial" w:hAnsi="Arial" w:cs="Arial"/>
              <w:b/>
              <w:bCs/>
              <w:sz w:val="20"/>
              <w:szCs w:val="20"/>
            </w:rPr>
          </w:pPr>
          <w:r>
            <w:rPr>
              <w:rFonts w:ascii="Arial" w:hAnsi="Arial" w:cs="Arial"/>
              <w:b/>
              <w:bCs/>
              <w:sz w:val="20"/>
              <w:szCs w:val="20"/>
            </w:rPr>
            <w:t>STANDARDS DEVELOPMENT PROCEDURE</w:t>
          </w:r>
        </w:p>
        <w:p w:rsidR="00717131" w:rsidRDefault="00717131" w:rsidP="00717131">
          <w:pPr>
            <w:pStyle w:val="Header"/>
            <w:jc w:val="center"/>
            <w:rPr>
              <w:rFonts w:ascii="Arial" w:hAnsi="Arial" w:cs="Arial"/>
            </w:rPr>
          </w:pPr>
        </w:p>
      </w:tc>
      <w:tc>
        <w:tcPr>
          <w:tcW w:w="3082" w:type="dxa"/>
        </w:tcPr>
        <w:p w:rsidR="00717131" w:rsidRDefault="00717131" w:rsidP="00717131">
          <w:pPr>
            <w:pStyle w:val="Header"/>
            <w:rPr>
              <w:rFonts w:ascii="Arial" w:hAnsi="Arial" w:cs="Arial"/>
            </w:rPr>
          </w:pPr>
          <w:r>
            <w:rPr>
              <w:rFonts w:ascii="Arial" w:hAnsi="Arial" w:cs="Arial"/>
              <w:b/>
              <w:color w:val="000000"/>
              <w:sz w:val="20"/>
              <w:szCs w:val="20"/>
            </w:rPr>
            <w:t>STA/SDV/OP/05</w:t>
          </w:r>
        </w:p>
      </w:tc>
    </w:tr>
    <w:tr w:rsidR="00717131" w:rsidRPr="00A748E4">
      <w:tc>
        <w:tcPr>
          <w:tcW w:w="1458" w:type="dxa"/>
        </w:tcPr>
        <w:p w:rsidR="00717131" w:rsidRDefault="00717131" w:rsidP="00717131">
          <w:pPr>
            <w:pStyle w:val="Header"/>
            <w:rPr>
              <w:rFonts w:ascii="Arial" w:hAnsi="Arial" w:cs="Arial"/>
            </w:rPr>
          </w:pPr>
          <w:r>
            <w:rPr>
              <w:rFonts w:ascii="Arial" w:hAnsi="Arial" w:cs="Arial"/>
            </w:rPr>
            <w:t>Title:</w:t>
          </w:r>
        </w:p>
      </w:tc>
      <w:tc>
        <w:tcPr>
          <w:tcW w:w="4705" w:type="dxa"/>
        </w:tcPr>
        <w:p w:rsidR="00717131" w:rsidRDefault="00717131" w:rsidP="00717131">
          <w:pPr>
            <w:pStyle w:val="Header"/>
            <w:rPr>
              <w:rFonts w:ascii="Arial" w:hAnsi="Arial" w:cs="Arial"/>
            </w:rPr>
          </w:pPr>
          <w:r>
            <w:rPr>
              <w:rFonts w:ascii="Arial" w:hAnsi="Arial" w:cs="Arial"/>
              <w:b/>
              <w:bCs/>
              <w:sz w:val="20"/>
            </w:rPr>
            <w:t xml:space="preserve"> Review of Kenya Standards </w:t>
          </w:r>
        </w:p>
      </w:tc>
      <w:tc>
        <w:tcPr>
          <w:tcW w:w="3082" w:type="dxa"/>
        </w:tcPr>
        <w:p w:rsidR="00717131" w:rsidRPr="00FF25C7" w:rsidRDefault="00717131"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r w:rsidR="0056339C">
            <w:fldChar w:fldCharType="begin"/>
          </w:r>
          <w:r w:rsidR="0056339C">
            <w:instrText xml:space="preserve"> NUMPAGES   \* MERGEFORMAT </w:instrText>
          </w:r>
          <w:r w:rsidR="0056339C">
            <w:fldChar w:fldCharType="separate"/>
          </w:r>
          <w:r>
            <w:rPr>
              <w:rStyle w:val="PageNumber"/>
              <w:noProof/>
            </w:rPr>
            <w:t>15</w:t>
          </w:r>
          <w:r w:rsidR="0056339C">
            <w:rPr>
              <w:rStyle w:val="PageNumber"/>
              <w:noProof/>
            </w:rPr>
            <w:fldChar w:fldCharType="end"/>
          </w:r>
        </w:p>
      </w:tc>
    </w:tr>
  </w:tbl>
  <w:p w:rsidR="00717131" w:rsidRDefault="007171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9"/>
  </w:num>
  <w:num w:numId="3">
    <w:abstractNumId w:val="2"/>
  </w:num>
  <w:num w:numId="4">
    <w:abstractNumId w:val="8"/>
  </w:num>
  <w:num w:numId="5">
    <w:abstractNumId w:val="9"/>
    <w:lvlOverride w:ilvl="0">
      <w:startOverride w:val="6"/>
    </w:lvlOverride>
  </w:num>
  <w:num w:numId="6">
    <w:abstractNumId w:val="5"/>
  </w:num>
  <w:num w:numId="7">
    <w:abstractNumId w:val="7"/>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11EA4"/>
    <w:rsid w:val="0005520B"/>
    <w:rsid w:val="00055BE5"/>
    <w:rsid w:val="000B457D"/>
    <w:rsid w:val="00121A55"/>
    <w:rsid w:val="001348CC"/>
    <w:rsid w:val="00144105"/>
    <w:rsid w:val="001B196F"/>
    <w:rsid w:val="001C2C46"/>
    <w:rsid w:val="001F1243"/>
    <w:rsid w:val="002D5E00"/>
    <w:rsid w:val="00301122"/>
    <w:rsid w:val="00306B86"/>
    <w:rsid w:val="0032084E"/>
    <w:rsid w:val="003818C7"/>
    <w:rsid w:val="00392542"/>
    <w:rsid w:val="003D0717"/>
    <w:rsid w:val="003D113F"/>
    <w:rsid w:val="0041472A"/>
    <w:rsid w:val="00472B3B"/>
    <w:rsid w:val="00482297"/>
    <w:rsid w:val="004912EA"/>
    <w:rsid w:val="004E6763"/>
    <w:rsid w:val="00531C3E"/>
    <w:rsid w:val="00557206"/>
    <w:rsid w:val="0056339C"/>
    <w:rsid w:val="005A201E"/>
    <w:rsid w:val="005E5A3B"/>
    <w:rsid w:val="005F4D0F"/>
    <w:rsid w:val="0061313A"/>
    <w:rsid w:val="0065367A"/>
    <w:rsid w:val="006871C1"/>
    <w:rsid w:val="006D1B6A"/>
    <w:rsid w:val="006F4923"/>
    <w:rsid w:val="006F761C"/>
    <w:rsid w:val="00715F3B"/>
    <w:rsid w:val="00717131"/>
    <w:rsid w:val="00763AE4"/>
    <w:rsid w:val="00767C19"/>
    <w:rsid w:val="00772318"/>
    <w:rsid w:val="007913DD"/>
    <w:rsid w:val="007C2847"/>
    <w:rsid w:val="007F063A"/>
    <w:rsid w:val="00827BB9"/>
    <w:rsid w:val="00841598"/>
    <w:rsid w:val="00847D8E"/>
    <w:rsid w:val="00882DDE"/>
    <w:rsid w:val="00907C89"/>
    <w:rsid w:val="00970449"/>
    <w:rsid w:val="00980EA5"/>
    <w:rsid w:val="009C370F"/>
    <w:rsid w:val="009C7CE4"/>
    <w:rsid w:val="00A269D6"/>
    <w:rsid w:val="00A748E4"/>
    <w:rsid w:val="00A77213"/>
    <w:rsid w:val="00A82B43"/>
    <w:rsid w:val="00AA3CBC"/>
    <w:rsid w:val="00AA570C"/>
    <w:rsid w:val="00B0108E"/>
    <w:rsid w:val="00B463D0"/>
    <w:rsid w:val="00B72274"/>
    <w:rsid w:val="00BA6F2A"/>
    <w:rsid w:val="00BC2555"/>
    <w:rsid w:val="00BC39EE"/>
    <w:rsid w:val="00BC448F"/>
    <w:rsid w:val="00BE0AAD"/>
    <w:rsid w:val="00C42954"/>
    <w:rsid w:val="00C461D2"/>
    <w:rsid w:val="00C70FF6"/>
    <w:rsid w:val="00C8121C"/>
    <w:rsid w:val="00CB3DC5"/>
    <w:rsid w:val="00CB77A0"/>
    <w:rsid w:val="00D33D28"/>
    <w:rsid w:val="00D83AA9"/>
    <w:rsid w:val="00DC3C38"/>
    <w:rsid w:val="00E06EAF"/>
    <w:rsid w:val="00E424EB"/>
    <w:rsid w:val="00E44C14"/>
    <w:rsid w:val="00EB62D8"/>
    <w:rsid w:val="00F4710C"/>
    <w:rsid w:val="00F51F97"/>
    <w:rsid w:val="00F64F38"/>
    <w:rsid w:val="00F8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35ADB0"/>
  <w15:docId w15:val="{0CC8B0CE-F858-45E7-BEFC-8AC72E08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50337">
      <w:bodyDiv w:val="1"/>
      <w:marLeft w:val="0"/>
      <w:marRight w:val="0"/>
      <w:marTop w:val="0"/>
      <w:marBottom w:val="0"/>
      <w:divBdr>
        <w:top w:val="none" w:sz="0" w:space="0" w:color="auto"/>
        <w:left w:val="none" w:sz="0" w:space="0" w:color="auto"/>
        <w:bottom w:val="none" w:sz="0" w:space="0" w:color="auto"/>
        <w:right w:val="none" w:sz="0" w:space="0" w:color="auto"/>
      </w:divBdr>
    </w:div>
    <w:div w:id="445348785">
      <w:bodyDiv w:val="1"/>
      <w:marLeft w:val="0"/>
      <w:marRight w:val="0"/>
      <w:marTop w:val="0"/>
      <w:marBottom w:val="0"/>
      <w:divBdr>
        <w:top w:val="none" w:sz="0" w:space="0" w:color="auto"/>
        <w:left w:val="none" w:sz="0" w:space="0" w:color="auto"/>
        <w:bottom w:val="none" w:sz="0" w:space="0" w:color="auto"/>
        <w:right w:val="none" w:sz="0" w:space="0" w:color="auto"/>
      </w:divBdr>
    </w:div>
    <w:div w:id="616916281">
      <w:bodyDiv w:val="1"/>
      <w:marLeft w:val="0"/>
      <w:marRight w:val="0"/>
      <w:marTop w:val="0"/>
      <w:marBottom w:val="0"/>
      <w:divBdr>
        <w:top w:val="none" w:sz="0" w:space="0" w:color="auto"/>
        <w:left w:val="none" w:sz="0" w:space="0" w:color="auto"/>
        <w:bottom w:val="none" w:sz="0" w:space="0" w:color="auto"/>
        <w:right w:val="none" w:sz="0" w:space="0" w:color="auto"/>
      </w:divBdr>
    </w:div>
    <w:div w:id="639111799">
      <w:bodyDiv w:val="1"/>
      <w:marLeft w:val="0"/>
      <w:marRight w:val="0"/>
      <w:marTop w:val="0"/>
      <w:marBottom w:val="0"/>
      <w:divBdr>
        <w:top w:val="none" w:sz="0" w:space="0" w:color="auto"/>
        <w:left w:val="none" w:sz="0" w:space="0" w:color="auto"/>
        <w:bottom w:val="none" w:sz="0" w:space="0" w:color="auto"/>
        <w:right w:val="none" w:sz="0" w:space="0" w:color="auto"/>
      </w:divBdr>
    </w:div>
    <w:div w:id="785076624">
      <w:bodyDiv w:val="1"/>
      <w:marLeft w:val="0"/>
      <w:marRight w:val="0"/>
      <w:marTop w:val="0"/>
      <w:marBottom w:val="0"/>
      <w:divBdr>
        <w:top w:val="none" w:sz="0" w:space="0" w:color="auto"/>
        <w:left w:val="none" w:sz="0" w:space="0" w:color="auto"/>
        <w:bottom w:val="none" w:sz="0" w:space="0" w:color="auto"/>
        <w:right w:val="none" w:sz="0" w:space="0" w:color="auto"/>
      </w:divBdr>
    </w:div>
    <w:div w:id="821652911">
      <w:bodyDiv w:val="1"/>
      <w:marLeft w:val="0"/>
      <w:marRight w:val="0"/>
      <w:marTop w:val="0"/>
      <w:marBottom w:val="0"/>
      <w:divBdr>
        <w:top w:val="none" w:sz="0" w:space="0" w:color="auto"/>
        <w:left w:val="none" w:sz="0" w:space="0" w:color="auto"/>
        <w:bottom w:val="none" w:sz="0" w:space="0" w:color="auto"/>
        <w:right w:val="none" w:sz="0" w:space="0" w:color="auto"/>
      </w:divBdr>
    </w:div>
    <w:div w:id="857308425">
      <w:bodyDiv w:val="1"/>
      <w:marLeft w:val="0"/>
      <w:marRight w:val="0"/>
      <w:marTop w:val="0"/>
      <w:marBottom w:val="0"/>
      <w:divBdr>
        <w:top w:val="none" w:sz="0" w:space="0" w:color="auto"/>
        <w:left w:val="none" w:sz="0" w:space="0" w:color="auto"/>
        <w:bottom w:val="none" w:sz="0" w:space="0" w:color="auto"/>
        <w:right w:val="none" w:sz="0" w:space="0" w:color="auto"/>
      </w:divBdr>
    </w:div>
    <w:div w:id="922882403">
      <w:bodyDiv w:val="1"/>
      <w:marLeft w:val="0"/>
      <w:marRight w:val="0"/>
      <w:marTop w:val="0"/>
      <w:marBottom w:val="0"/>
      <w:divBdr>
        <w:top w:val="none" w:sz="0" w:space="0" w:color="auto"/>
        <w:left w:val="none" w:sz="0" w:space="0" w:color="auto"/>
        <w:bottom w:val="none" w:sz="0" w:space="0" w:color="auto"/>
        <w:right w:val="none" w:sz="0" w:space="0" w:color="auto"/>
      </w:divBdr>
    </w:div>
    <w:div w:id="1112476625">
      <w:bodyDiv w:val="1"/>
      <w:marLeft w:val="0"/>
      <w:marRight w:val="0"/>
      <w:marTop w:val="0"/>
      <w:marBottom w:val="0"/>
      <w:divBdr>
        <w:top w:val="none" w:sz="0" w:space="0" w:color="auto"/>
        <w:left w:val="none" w:sz="0" w:space="0" w:color="auto"/>
        <w:bottom w:val="none" w:sz="0" w:space="0" w:color="auto"/>
        <w:right w:val="none" w:sz="0" w:space="0" w:color="auto"/>
      </w:divBdr>
    </w:div>
    <w:div w:id="1120689635">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
    <w:div w:id="1200438156">
      <w:bodyDiv w:val="1"/>
      <w:marLeft w:val="0"/>
      <w:marRight w:val="0"/>
      <w:marTop w:val="0"/>
      <w:marBottom w:val="0"/>
      <w:divBdr>
        <w:top w:val="none" w:sz="0" w:space="0" w:color="auto"/>
        <w:left w:val="none" w:sz="0" w:space="0" w:color="auto"/>
        <w:bottom w:val="none" w:sz="0" w:space="0" w:color="auto"/>
        <w:right w:val="none" w:sz="0" w:space="0" w:color="auto"/>
      </w:divBdr>
    </w:div>
    <w:div w:id="1414619012">
      <w:bodyDiv w:val="1"/>
      <w:marLeft w:val="0"/>
      <w:marRight w:val="0"/>
      <w:marTop w:val="0"/>
      <w:marBottom w:val="0"/>
      <w:divBdr>
        <w:top w:val="none" w:sz="0" w:space="0" w:color="auto"/>
        <w:left w:val="none" w:sz="0" w:space="0" w:color="auto"/>
        <w:bottom w:val="none" w:sz="0" w:space="0" w:color="auto"/>
        <w:right w:val="none" w:sz="0" w:space="0" w:color="auto"/>
      </w:divBdr>
    </w:div>
    <w:div w:id="1444105372">
      <w:bodyDiv w:val="1"/>
      <w:marLeft w:val="0"/>
      <w:marRight w:val="0"/>
      <w:marTop w:val="0"/>
      <w:marBottom w:val="0"/>
      <w:divBdr>
        <w:top w:val="none" w:sz="0" w:space="0" w:color="auto"/>
        <w:left w:val="none" w:sz="0" w:space="0" w:color="auto"/>
        <w:bottom w:val="none" w:sz="0" w:space="0" w:color="auto"/>
        <w:right w:val="none" w:sz="0" w:space="0" w:color="auto"/>
      </w:divBdr>
    </w:div>
    <w:div w:id="1617365770">
      <w:bodyDiv w:val="1"/>
      <w:marLeft w:val="0"/>
      <w:marRight w:val="0"/>
      <w:marTop w:val="0"/>
      <w:marBottom w:val="0"/>
      <w:divBdr>
        <w:top w:val="none" w:sz="0" w:space="0" w:color="auto"/>
        <w:left w:val="none" w:sz="0" w:space="0" w:color="auto"/>
        <w:bottom w:val="none" w:sz="0" w:space="0" w:color="auto"/>
        <w:right w:val="none" w:sz="0" w:space="0" w:color="auto"/>
      </w:divBdr>
    </w:div>
    <w:div w:id="1619410673">
      <w:bodyDiv w:val="1"/>
      <w:marLeft w:val="0"/>
      <w:marRight w:val="0"/>
      <w:marTop w:val="0"/>
      <w:marBottom w:val="0"/>
      <w:divBdr>
        <w:top w:val="none" w:sz="0" w:space="0" w:color="auto"/>
        <w:left w:val="none" w:sz="0" w:space="0" w:color="auto"/>
        <w:bottom w:val="none" w:sz="0" w:space="0" w:color="auto"/>
        <w:right w:val="none" w:sz="0" w:space="0" w:color="auto"/>
      </w:divBdr>
    </w:div>
    <w:div w:id="1622302051">
      <w:bodyDiv w:val="1"/>
      <w:marLeft w:val="0"/>
      <w:marRight w:val="0"/>
      <w:marTop w:val="0"/>
      <w:marBottom w:val="0"/>
      <w:divBdr>
        <w:top w:val="none" w:sz="0" w:space="0" w:color="auto"/>
        <w:left w:val="none" w:sz="0" w:space="0" w:color="auto"/>
        <w:bottom w:val="none" w:sz="0" w:space="0" w:color="auto"/>
        <w:right w:val="none" w:sz="0" w:space="0" w:color="auto"/>
      </w:divBdr>
    </w:div>
    <w:div w:id="1624531246">
      <w:bodyDiv w:val="1"/>
      <w:marLeft w:val="0"/>
      <w:marRight w:val="0"/>
      <w:marTop w:val="0"/>
      <w:marBottom w:val="0"/>
      <w:divBdr>
        <w:top w:val="none" w:sz="0" w:space="0" w:color="auto"/>
        <w:left w:val="none" w:sz="0" w:space="0" w:color="auto"/>
        <w:bottom w:val="none" w:sz="0" w:space="0" w:color="auto"/>
        <w:right w:val="none" w:sz="0" w:space="0" w:color="auto"/>
      </w:divBdr>
    </w:div>
    <w:div w:id="1634411286">
      <w:bodyDiv w:val="1"/>
      <w:marLeft w:val="0"/>
      <w:marRight w:val="0"/>
      <w:marTop w:val="0"/>
      <w:marBottom w:val="0"/>
      <w:divBdr>
        <w:top w:val="none" w:sz="0" w:space="0" w:color="auto"/>
        <w:left w:val="none" w:sz="0" w:space="0" w:color="auto"/>
        <w:bottom w:val="none" w:sz="0" w:space="0" w:color="auto"/>
        <w:right w:val="none" w:sz="0" w:space="0" w:color="auto"/>
      </w:divBdr>
    </w:div>
    <w:div w:id="1695883315">
      <w:bodyDiv w:val="1"/>
      <w:marLeft w:val="0"/>
      <w:marRight w:val="0"/>
      <w:marTop w:val="0"/>
      <w:marBottom w:val="0"/>
      <w:divBdr>
        <w:top w:val="none" w:sz="0" w:space="0" w:color="auto"/>
        <w:left w:val="none" w:sz="0" w:space="0" w:color="auto"/>
        <w:bottom w:val="none" w:sz="0" w:space="0" w:color="auto"/>
        <w:right w:val="none" w:sz="0" w:space="0" w:color="auto"/>
      </w:divBdr>
    </w:div>
    <w:div w:id="1756173392">
      <w:bodyDiv w:val="1"/>
      <w:marLeft w:val="0"/>
      <w:marRight w:val="0"/>
      <w:marTop w:val="0"/>
      <w:marBottom w:val="0"/>
      <w:divBdr>
        <w:top w:val="none" w:sz="0" w:space="0" w:color="auto"/>
        <w:left w:val="none" w:sz="0" w:space="0" w:color="auto"/>
        <w:bottom w:val="none" w:sz="0" w:space="0" w:color="auto"/>
        <w:right w:val="none" w:sz="0" w:space="0" w:color="auto"/>
      </w:divBdr>
    </w:div>
    <w:div w:id="1771512685">
      <w:bodyDiv w:val="1"/>
      <w:marLeft w:val="0"/>
      <w:marRight w:val="0"/>
      <w:marTop w:val="0"/>
      <w:marBottom w:val="0"/>
      <w:divBdr>
        <w:top w:val="none" w:sz="0" w:space="0" w:color="auto"/>
        <w:left w:val="none" w:sz="0" w:space="0" w:color="auto"/>
        <w:bottom w:val="none" w:sz="0" w:space="0" w:color="auto"/>
        <w:right w:val="none" w:sz="0" w:space="0" w:color="auto"/>
      </w:divBdr>
    </w:div>
    <w:div w:id="1867057849">
      <w:bodyDiv w:val="1"/>
      <w:marLeft w:val="0"/>
      <w:marRight w:val="0"/>
      <w:marTop w:val="0"/>
      <w:marBottom w:val="0"/>
      <w:divBdr>
        <w:top w:val="none" w:sz="0" w:space="0" w:color="auto"/>
        <w:left w:val="none" w:sz="0" w:space="0" w:color="auto"/>
        <w:bottom w:val="none" w:sz="0" w:space="0" w:color="auto"/>
        <w:right w:val="none" w:sz="0" w:space="0" w:color="auto"/>
      </w:divBdr>
    </w:div>
    <w:div w:id="1935160937">
      <w:bodyDiv w:val="1"/>
      <w:marLeft w:val="0"/>
      <w:marRight w:val="0"/>
      <w:marTop w:val="0"/>
      <w:marBottom w:val="0"/>
      <w:divBdr>
        <w:top w:val="none" w:sz="0" w:space="0" w:color="auto"/>
        <w:left w:val="none" w:sz="0" w:space="0" w:color="auto"/>
        <w:bottom w:val="none" w:sz="0" w:space="0" w:color="auto"/>
        <w:right w:val="none" w:sz="0" w:space="0" w:color="auto"/>
      </w:divBdr>
    </w:div>
    <w:div w:id="2043750121">
      <w:bodyDiv w:val="1"/>
      <w:marLeft w:val="0"/>
      <w:marRight w:val="0"/>
      <w:marTop w:val="0"/>
      <w:marBottom w:val="0"/>
      <w:divBdr>
        <w:top w:val="none" w:sz="0" w:space="0" w:color="auto"/>
        <w:left w:val="none" w:sz="0" w:space="0" w:color="auto"/>
        <w:bottom w:val="none" w:sz="0" w:space="0" w:color="auto"/>
        <w:right w:val="none" w:sz="0" w:space="0" w:color="auto"/>
      </w:divBdr>
    </w:div>
    <w:div w:id="2044623531">
      <w:bodyDiv w:val="1"/>
      <w:marLeft w:val="0"/>
      <w:marRight w:val="0"/>
      <w:marTop w:val="0"/>
      <w:marBottom w:val="0"/>
      <w:divBdr>
        <w:top w:val="none" w:sz="0" w:space="0" w:color="auto"/>
        <w:left w:val="none" w:sz="0" w:space="0" w:color="auto"/>
        <w:bottom w:val="none" w:sz="0" w:space="0" w:color="auto"/>
        <w:right w:val="none" w:sz="0" w:space="0" w:color="auto"/>
      </w:divBdr>
    </w:div>
    <w:div w:id="2087217861">
      <w:bodyDiv w:val="1"/>
      <w:marLeft w:val="0"/>
      <w:marRight w:val="0"/>
      <w:marTop w:val="0"/>
      <w:marBottom w:val="0"/>
      <w:divBdr>
        <w:top w:val="none" w:sz="0" w:space="0" w:color="auto"/>
        <w:left w:val="none" w:sz="0" w:space="0" w:color="auto"/>
        <w:bottom w:val="none" w:sz="0" w:space="0" w:color="auto"/>
        <w:right w:val="none" w:sz="0" w:space="0" w:color="auto"/>
      </w:divBdr>
    </w:div>
    <w:div w:id="2130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3917</Characters>
  <Application>Microsoft Office Word</Application>
  <DocSecurity>2</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njoroger</dc:creator>
  <cp:lastModifiedBy>Tania Monica</cp:lastModifiedBy>
  <cp:revision>2</cp:revision>
  <dcterms:created xsi:type="dcterms:W3CDTF">2019-09-03T12:42:00Z</dcterms:created>
  <dcterms:modified xsi:type="dcterms:W3CDTF">2019-09-03T12:42:00Z</dcterms:modified>
</cp:coreProperties>
</file>