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8E4" w:rsidRPr="00F9645B" w:rsidRDefault="00A748E4" w:rsidP="00717131">
      <w:pPr>
        <w:pStyle w:val="ListParagraph"/>
        <w:jc w:val="center"/>
        <w:rPr>
          <w:rFonts w:ascii="Arial" w:hAnsi="Arial" w:cs="Arial"/>
          <w:b/>
          <w:sz w:val="22"/>
          <w:szCs w:val="22"/>
        </w:rPr>
      </w:pPr>
      <w:r w:rsidRPr="00F9645B">
        <w:rPr>
          <w:rFonts w:ascii="Arial" w:hAnsi="Arial" w:cs="Arial"/>
          <w:b/>
          <w:sz w:val="22"/>
          <w:szCs w:val="22"/>
        </w:rPr>
        <w:t>CONFIRMATION PROPOSAL</w:t>
      </w:r>
      <w:r>
        <w:rPr>
          <w:rFonts w:ascii="Arial" w:hAnsi="Arial" w:cs="Arial"/>
          <w:b/>
          <w:sz w:val="22"/>
          <w:szCs w:val="22"/>
        </w:rPr>
        <w:t xml:space="preserve"> FORM</w:t>
      </w:r>
    </w:p>
    <w:p w:rsidR="00A748E4" w:rsidRDefault="00A748E4" w:rsidP="00717131">
      <w:pPr>
        <w:pStyle w:val="ListParagraph"/>
        <w:rPr>
          <w:rFonts w:ascii="Arial" w:hAnsi="Arial" w:cs="Arial"/>
          <w:sz w:val="22"/>
          <w:szCs w:val="22"/>
        </w:rPr>
      </w:pPr>
    </w:p>
    <w:p w:rsidR="00A748E4" w:rsidRDefault="00A748E4" w:rsidP="00717131">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A748E4" w:rsidRDefault="00A748E4" w:rsidP="00717131">
      <w:pPr>
        <w:autoSpaceDE w:val="0"/>
        <w:autoSpaceDN w:val="0"/>
        <w:adjustRightInd w:val="0"/>
        <w:jc w:val="center"/>
        <w:rPr>
          <w:rFonts w:ascii="Arial" w:hAnsi="Arial" w:cs="Arial"/>
          <w:b/>
          <w:bCs/>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3947"/>
        <w:gridCol w:w="2905"/>
      </w:tblGrid>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717131">
            <w:pPr>
              <w:autoSpaceDE w:val="0"/>
              <w:autoSpaceDN w:val="0"/>
              <w:adjustRightInd w:val="0"/>
              <w:rPr>
                <w:rFonts w:ascii="Arial" w:hAnsi="Arial" w:cs="Arial"/>
                <w:sz w:val="20"/>
                <w:szCs w:val="20"/>
              </w:rPr>
            </w:pPr>
            <w:r w:rsidRPr="00A748E4">
              <w:rPr>
                <w:rFonts w:ascii="Arial" w:hAnsi="Arial" w:cs="Arial"/>
                <w:b/>
                <w:bCs/>
                <w:sz w:val="20"/>
                <w:szCs w:val="20"/>
              </w:rPr>
              <w:t>Confirmation proposal</w:t>
            </w:r>
          </w:p>
        </w:tc>
      </w:tr>
      <w:tr w:rsidR="00A748E4" w:rsidRPr="00A748E4" w:rsidTr="00717131">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sz w:val="20"/>
                <w:szCs w:val="20"/>
              </w:rPr>
            </w:pPr>
            <w:r w:rsidRPr="00A748E4">
              <w:rPr>
                <w:rFonts w:ascii="Arial" w:hAnsi="Arial" w:cs="Arial"/>
                <w:sz w:val="20"/>
                <w:szCs w:val="20"/>
              </w:rPr>
              <w:t>Closing date</w:t>
            </w:r>
          </w:p>
        </w:tc>
      </w:tr>
      <w:tr w:rsidR="00A748E4" w:rsidRPr="00A748E4" w:rsidTr="00717131">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A748E4" w:rsidRPr="00A748E4" w:rsidRDefault="00A748E4" w:rsidP="00717131">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A748E4" w:rsidRPr="00A748E4" w:rsidRDefault="00B72274" w:rsidP="006F761C">
            <w:pPr>
              <w:tabs>
                <w:tab w:val="center" w:pos="4320"/>
                <w:tab w:val="right" w:pos="8640"/>
              </w:tabs>
              <w:rPr>
                <w:rFonts w:ascii="Arial" w:hAnsi="Arial" w:cs="Arial"/>
                <w:sz w:val="20"/>
                <w:szCs w:val="20"/>
              </w:rPr>
            </w:pPr>
            <w:r>
              <w:rPr>
                <w:rFonts w:ascii="Arial" w:hAnsi="Arial" w:cs="Arial"/>
                <w:sz w:val="20"/>
                <w:szCs w:val="20"/>
              </w:rPr>
              <w:t>201</w:t>
            </w:r>
            <w:r w:rsidR="006F761C">
              <w:rPr>
                <w:rFonts w:ascii="Arial" w:hAnsi="Arial" w:cs="Arial"/>
                <w:sz w:val="20"/>
                <w:szCs w:val="20"/>
              </w:rPr>
              <w:t>9</w:t>
            </w:r>
            <w:r>
              <w:rPr>
                <w:rFonts w:ascii="Arial" w:hAnsi="Arial" w:cs="Arial"/>
                <w:sz w:val="20"/>
                <w:szCs w:val="20"/>
              </w:rPr>
              <w:t>-</w:t>
            </w:r>
            <w:r w:rsidR="006F761C">
              <w:rPr>
                <w:rFonts w:ascii="Arial" w:hAnsi="Arial" w:cs="Arial"/>
                <w:sz w:val="20"/>
                <w:szCs w:val="20"/>
              </w:rPr>
              <w:t>09</w:t>
            </w:r>
            <w:r>
              <w:rPr>
                <w:rFonts w:ascii="Arial" w:hAnsi="Arial" w:cs="Arial"/>
                <w:sz w:val="20"/>
                <w:szCs w:val="20"/>
              </w:rPr>
              <w:t>-</w:t>
            </w:r>
            <w:r w:rsidR="00D33D28">
              <w:rPr>
                <w:rFonts w:ascii="Arial" w:hAnsi="Arial" w:cs="Arial"/>
                <w:sz w:val="20"/>
                <w:szCs w:val="20"/>
              </w:rPr>
              <w:t>0</w:t>
            </w:r>
            <w:r w:rsidR="006F761C">
              <w:rPr>
                <w:rFonts w:ascii="Arial" w:hAnsi="Arial" w:cs="Arial"/>
                <w:sz w:val="20"/>
                <w:szCs w:val="20"/>
              </w:rPr>
              <w:t>3</w:t>
            </w:r>
          </w:p>
        </w:tc>
        <w:tc>
          <w:tcPr>
            <w:tcW w:w="2970" w:type="dxa"/>
            <w:tcBorders>
              <w:top w:val="single" w:sz="4" w:space="0" w:color="auto"/>
              <w:left w:val="single" w:sz="4" w:space="0" w:color="auto"/>
              <w:bottom w:val="single" w:sz="4" w:space="0" w:color="auto"/>
              <w:right w:val="single" w:sz="4" w:space="0" w:color="auto"/>
            </w:tcBorders>
          </w:tcPr>
          <w:p w:rsidR="00A748E4" w:rsidRPr="00A748E4" w:rsidRDefault="00B72274" w:rsidP="006F761C">
            <w:pPr>
              <w:tabs>
                <w:tab w:val="center" w:pos="4320"/>
                <w:tab w:val="right" w:pos="8640"/>
              </w:tabs>
              <w:rPr>
                <w:rFonts w:ascii="Arial" w:hAnsi="Arial" w:cs="Arial"/>
                <w:sz w:val="20"/>
                <w:szCs w:val="20"/>
              </w:rPr>
            </w:pPr>
            <w:r>
              <w:rPr>
                <w:rFonts w:ascii="Arial" w:hAnsi="Arial" w:cs="Arial"/>
                <w:sz w:val="20"/>
                <w:szCs w:val="20"/>
              </w:rPr>
              <w:t>201</w:t>
            </w:r>
            <w:r w:rsidR="006F761C">
              <w:rPr>
                <w:rFonts w:ascii="Arial" w:hAnsi="Arial" w:cs="Arial"/>
                <w:sz w:val="20"/>
                <w:szCs w:val="20"/>
              </w:rPr>
              <w:t>9</w:t>
            </w:r>
            <w:r w:rsidR="00D33D28">
              <w:rPr>
                <w:rFonts w:ascii="Arial" w:hAnsi="Arial" w:cs="Arial"/>
                <w:sz w:val="20"/>
                <w:szCs w:val="20"/>
              </w:rPr>
              <w:t>-</w:t>
            </w:r>
            <w:r w:rsidR="006F761C">
              <w:rPr>
                <w:rFonts w:ascii="Arial" w:hAnsi="Arial" w:cs="Arial"/>
                <w:sz w:val="20"/>
                <w:szCs w:val="20"/>
              </w:rPr>
              <w:t>10</w:t>
            </w:r>
            <w:r>
              <w:rPr>
                <w:rFonts w:ascii="Arial" w:hAnsi="Arial" w:cs="Arial"/>
                <w:sz w:val="20"/>
                <w:szCs w:val="20"/>
              </w:rPr>
              <w:t>-</w:t>
            </w:r>
            <w:r w:rsidR="00D33D28">
              <w:rPr>
                <w:rFonts w:ascii="Arial" w:hAnsi="Arial" w:cs="Arial"/>
                <w:sz w:val="20"/>
                <w:szCs w:val="20"/>
              </w:rPr>
              <w:t>0</w:t>
            </w:r>
            <w:r w:rsidR="006F761C">
              <w:rPr>
                <w:rFonts w:ascii="Arial" w:hAnsi="Arial" w:cs="Arial"/>
                <w:sz w:val="20"/>
                <w:szCs w:val="20"/>
              </w:rPr>
              <w:t>2</w:t>
            </w:r>
          </w:p>
        </w:tc>
      </w:tr>
      <w:tr w:rsidR="00A748E4" w:rsidRPr="00A748E4" w:rsidTr="00717131">
        <w:tc>
          <w:tcPr>
            <w:tcW w:w="2178" w:type="dxa"/>
            <w:tcBorders>
              <w:top w:val="single" w:sz="4" w:space="0" w:color="auto"/>
              <w:left w:val="single" w:sz="4" w:space="0" w:color="auto"/>
              <w:bottom w:val="single" w:sz="4" w:space="0" w:color="auto"/>
              <w:right w:val="single" w:sz="4" w:space="0" w:color="auto"/>
            </w:tcBorders>
          </w:tcPr>
          <w:p w:rsidR="00A748E4" w:rsidRPr="00A748E4" w:rsidRDefault="00A748E4" w:rsidP="00717131">
            <w:pPr>
              <w:tabs>
                <w:tab w:val="center" w:pos="4320"/>
                <w:tab w:val="right" w:pos="8640"/>
              </w:tabs>
              <w:rPr>
                <w:rFonts w:ascii="Arial" w:hAnsi="Arial" w:cs="Arial"/>
                <w:b/>
                <w:sz w:val="20"/>
                <w:szCs w:val="20"/>
              </w:rPr>
            </w:pPr>
            <w:r w:rsidRPr="00A748E4">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A748E4" w:rsidRPr="00A748E4" w:rsidRDefault="00A748E4" w:rsidP="003D0717">
            <w:pPr>
              <w:tabs>
                <w:tab w:val="center" w:pos="4320"/>
                <w:tab w:val="right" w:pos="8640"/>
              </w:tabs>
              <w:rPr>
                <w:rFonts w:ascii="Arial" w:hAnsi="Arial" w:cs="Arial"/>
                <w:sz w:val="20"/>
                <w:szCs w:val="20"/>
              </w:rPr>
            </w:pPr>
            <w:r w:rsidRPr="00A748E4">
              <w:rPr>
                <w:rFonts w:ascii="Arial" w:hAnsi="Arial" w:cs="Arial"/>
                <w:b/>
                <w:bCs/>
                <w:sz w:val="20"/>
                <w:szCs w:val="20"/>
              </w:rPr>
              <w:t xml:space="preserve">This form shall be filled, signed and returned to Kenya Bureau of Standards for the attention of </w:t>
            </w:r>
            <w:r w:rsidR="003D0717" w:rsidRPr="003D0717">
              <w:rPr>
                <w:rFonts w:ascii="Arial" w:hAnsi="Arial" w:cs="Arial"/>
                <w:b/>
                <w:bCs/>
                <w:color w:val="0070C0"/>
                <w:sz w:val="20"/>
                <w:szCs w:val="20"/>
              </w:rPr>
              <w:t>Tania Monica</w:t>
            </w:r>
            <w:r w:rsidR="00847D8E" w:rsidRPr="00847D8E">
              <w:rPr>
                <w:rFonts w:ascii="Arial" w:hAnsi="Arial" w:cs="Arial"/>
                <w:b/>
                <w:bCs/>
                <w:color w:val="0070C0"/>
                <w:sz w:val="20"/>
                <w:szCs w:val="20"/>
              </w:rPr>
              <w:t xml:space="preserve"> </w:t>
            </w:r>
            <w:r w:rsidR="003D0717">
              <w:rPr>
                <w:rFonts w:ascii="Arial" w:hAnsi="Arial" w:cs="Arial"/>
                <w:b/>
                <w:bCs/>
                <w:color w:val="0070C0"/>
                <w:sz w:val="20"/>
                <w:szCs w:val="20"/>
              </w:rPr>
              <w:t>taniam</w:t>
            </w:r>
            <w:r w:rsidR="00F8024A" w:rsidRPr="00F8024A">
              <w:rPr>
                <w:rFonts w:ascii="Arial" w:hAnsi="Arial" w:cs="Arial"/>
                <w:b/>
                <w:bCs/>
                <w:color w:val="0070C0"/>
                <w:sz w:val="20"/>
                <w:szCs w:val="20"/>
              </w:rPr>
              <w:t>@kebs.org</w:t>
            </w:r>
          </w:p>
        </w:tc>
      </w:tr>
    </w:tbl>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Kenya Bureau of Standards intends to confirm the Kenya Standards as detailed in the attached list of Kenya Standards for Systematic Review.</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We are therefore seeking views from potential users in respect of relevance and effectiveness of the attached standard(s) in addressing current market needs, regulatory needs and scientific and technological development.  </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The Standards are available at the Kenya Bureau of Standards Information Resource Centre.  Please tick (mark) and fill your preference of the listed option.  (If the spaces provided are not enough, please attach a separate sheet of paper).</w:t>
      </w:r>
    </w:p>
    <w:p w:rsidR="00144105" w:rsidRDefault="00144105" w:rsidP="0032084E">
      <w:pPr>
        <w:autoSpaceDE w:val="0"/>
        <w:autoSpaceDN w:val="0"/>
        <w:adjustRightInd w:val="0"/>
        <w:ind w:left="0"/>
        <w:rPr>
          <w:rFonts w:ascii="Arial" w:hAnsi="Arial" w:cs="Arial"/>
          <w:sz w:val="20"/>
          <w:szCs w:val="20"/>
        </w:rPr>
      </w:pPr>
    </w:p>
    <w:p w:rsidR="00BC448F" w:rsidRDefault="00BC448F" w:rsidP="0032084E">
      <w:pPr>
        <w:autoSpaceDE w:val="0"/>
        <w:autoSpaceDN w:val="0"/>
        <w:adjustRightInd w:val="0"/>
        <w:ind w:left="0"/>
        <w:rPr>
          <w:rFonts w:ascii="Arial" w:hAnsi="Arial" w:cs="Arial"/>
          <w:sz w:val="20"/>
          <w:szCs w:val="20"/>
        </w:rPr>
      </w:pPr>
    </w:p>
    <w:p w:rsidR="00F8024A"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KS Number(s) of Standard(s) </w:t>
      </w:r>
    </w:p>
    <w:p w:rsidR="00D33D28" w:rsidRDefault="00D33D28"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roofErr w:type="gramStart"/>
      <w:r>
        <w:rPr>
          <w:rFonts w:ascii="Arial" w:hAnsi="Arial" w:cs="Arial"/>
          <w:sz w:val="20"/>
          <w:szCs w:val="20"/>
        </w:rPr>
        <w:t>( Fill</w:t>
      </w:r>
      <w:proofErr w:type="gramEnd"/>
      <w:r>
        <w:rPr>
          <w:rFonts w:ascii="Arial" w:hAnsi="Arial" w:cs="Arial"/>
          <w:sz w:val="20"/>
          <w:szCs w:val="20"/>
        </w:rPr>
        <w:t xml:space="preserve"> in for each standard separately in case you have objections, otherwise use the same form)</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accept the proposal to confirm the Kenya Standard(s)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F50F8">
        <w:rPr>
          <w:rFonts w:ascii="Arial" w:hAnsi="Arial" w:cs="Arial"/>
          <w:color w:val="000000"/>
          <w:sz w:val="20"/>
          <w:szCs w:val="20"/>
        </w:rPr>
      </w:r>
      <w:r w:rsidR="00CF50F8">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Pr>
          <w:rFonts w:ascii="Arial" w:hAnsi="Arial" w:cs="Arial"/>
          <w:sz w:val="20"/>
          <w:szCs w:val="20"/>
        </w:rPr>
        <w:t xml:space="preserve">I object to the proposal to confirm the Kenya Standard as current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F50F8">
        <w:rPr>
          <w:rFonts w:ascii="Arial" w:hAnsi="Arial" w:cs="Arial"/>
          <w:color w:val="000000"/>
          <w:sz w:val="20"/>
          <w:szCs w:val="20"/>
        </w:rPr>
      </w:r>
      <w:r w:rsidR="00CF50F8">
        <w:rPr>
          <w:rFonts w:ascii="Arial" w:hAnsi="Arial" w:cs="Arial"/>
          <w:color w:val="000000"/>
          <w:sz w:val="20"/>
          <w:szCs w:val="20"/>
        </w:rPr>
        <w:fldChar w:fldCharType="separate"/>
      </w:r>
      <w:r>
        <w:rPr>
          <w:rFonts w:ascii="Arial" w:hAnsi="Arial" w:cs="Arial"/>
          <w:color w:val="000000"/>
          <w:sz w:val="20"/>
          <w:szCs w:val="20"/>
        </w:rPr>
        <w:fldChar w:fldCharType="end"/>
      </w:r>
    </w:p>
    <w:p w:rsidR="00A748E4" w:rsidRDefault="00A748E4" w:rsidP="0032084E">
      <w:pPr>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sz w:val="20"/>
          <w:szCs w:val="20"/>
        </w:rPr>
        <w:t>Our proposed action</w:t>
      </w:r>
      <w:r w:rsidRPr="00652429">
        <w:rPr>
          <w:rFonts w:ascii="Arial" w:hAnsi="Arial" w:cs="Arial"/>
          <w:sz w:val="20"/>
          <w:szCs w:val="20"/>
        </w:rPr>
        <w:t xml:space="preserve"> </w:t>
      </w:r>
      <w:r>
        <w:rPr>
          <w:rFonts w:ascii="Arial" w:hAnsi="Arial" w:cs="Arial"/>
          <w:sz w:val="20"/>
          <w:szCs w:val="20"/>
        </w:rPr>
        <w:t>is</w:t>
      </w:r>
      <w:r w:rsidRPr="00652429">
        <w:rPr>
          <w:rFonts w:ascii="Arial" w:hAnsi="Arial" w:cs="Arial"/>
          <w:sz w:val="20"/>
          <w:szCs w:val="20"/>
        </w:rPr>
        <w:t xml:space="preserve"> </w:t>
      </w:r>
      <w:r>
        <w:rPr>
          <w:rFonts w:ascii="Arial" w:hAnsi="Arial" w:cs="Arial"/>
          <w:sz w:val="20"/>
          <w:szCs w:val="20"/>
        </w:rPr>
        <w:t xml:space="preserve">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F50F8">
        <w:rPr>
          <w:rFonts w:ascii="Arial" w:hAnsi="Arial" w:cs="Arial"/>
          <w:color w:val="000000"/>
          <w:sz w:val="20"/>
          <w:szCs w:val="20"/>
        </w:rPr>
      </w:r>
      <w:r w:rsidR="00CF50F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REVISION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F50F8">
        <w:rPr>
          <w:rFonts w:ascii="Arial" w:hAnsi="Arial" w:cs="Arial"/>
          <w:color w:val="000000"/>
          <w:sz w:val="20"/>
          <w:szCs w:val="20"/>
        </w:rPr>
      </w:r>
      <w:r w:rsidR="00CF50F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AMMENDMENT  </w:t>
      </w:r>
      <w:r>
        <w:rPr>
          <w:rFonts w:ascii="Arial" w:hAnsi="Arial" w:cs="Arial"/>
          <w:color w:val="000000"/>
          <w:sz w:val="20"/>
          <w:szCs w:val="20"/>
        </w:rPr>
        <w:fldChar w:fldCharType="begin">
          <w:ffData>
            <w:name w:val=""/>
            <w:enabled/>
            <w:calcOnExit w:val="0"/>
            <w:checkBox>
              <w:sizeAuto/>
              <w:default w:val="0"/>
            </w:checkBox>
          </w:ffData>
        </w:fldChar>
      </w:r>
      <w:r>
        <w:rPr>
          <w:rFonts w:ascii="Arial" w:hAnsi="Arial" w:cs="Arial"/>
          <w:color w:val="000000"/>
          <w:sz w:val="20"/>
          <w:szCs w:val="20"/>
        </w:rPr>
        <w:instrText xml:space="preserve"> FORMCHECKBOX </w:instrText>
      </w:r>
      <w:r w:rsidR="00CF50F8">
        <w:rPr>
          <w:rFonts w:ascii="Arial" w:hAnsi="Arial" w:cs="Arial"/>
          <w:color w:val="000000"/>
          <w:sz w:val="20"/>
          <w:szCs w:val="20"/>
        </w:rPr>
      </w:r>
      <w:r w:rsidR="00CF50F8">
        <w:rPr>
          <w:rFonts w:ascii="Arial" w:hAnsi="Arial" w:cs="Arial"/>
          <w:color w:val="000000"/>
          <w:sz w:val="20"/>
          <w:szCs w:val="20"/>
        </w:rPr>
        <w:fldChar w:fldCharType="separate"/>
      </w:r>
      <w:r>
        <w:rPr>
          <w:rFonts w:ascii="Arial" w:hAnsi="Arial" w:cs="Arial"/>
          <w:color w:val="000000"/>
          <w:sz w:val="20"/>
          <w:szCs w:val="20"/>
        </w:rPr>
        <w:fldChar w:fldCharType="end"/>
      </w:r>
      <w:r>
        <w:rPr>
          <w:rFonts w:ascii="Arial" w:hAnsi="Arial" w:cs="Arial"/>
          <w:color w:val="000000"/>
          <w:sz w:val="20"/>
          <w:szCs w:val="20"/>
        </w:rPr>
        <w:t xml:space="preserve"> WITHDRAWAL    </w:t>
      </w:r>
    </w:p>
    <w:p w:rsidR="00A748E4" w:rsidRDefault="00A748E4" w:rsidP="0032084E">
      <w:pPr>
        <w:autoSpaceDE w:val="0"/>
        <w:autoSpaceDN w:val="0"/>
        <w:adjustRightInd w:val="0"/>
        <w:ind w:left="0"/>
        <w:rPr>
          <w:rFonts w:ascii="Arial" w:hAnsi="Arial" w:cs="Arial"/>
          <w:color w:val="000000"/>
          <w:sz w:val="20"/>
          <w:szCs w:val="20"/>
        </w:rPr>
      </w:pP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Our justification for the objection of the proposed confirmation is as follows (cite specific clauses and wording preferred):</w:t>
      </w:r>
    </w:p>
    <w:p w:rsidR="00A748E4" w:rsidRDefault="00A748E4" w:rsidP="0032084E">
      <w:pPr>
        <w:autoSpaceDE w:val="0"/>
        <w:autoSpaceDN w:val="0"/>
        <w:adjustRightInd w:val="0"/>
        <w:ind w:left="0"/>
        <w:rPr>
          <w:rFonts w:ascii="Arial" w:hAnsi="Arial" w:cs="Arial"/>
          <w:color w:val="000000"/>
          <w:sz w:val="20"/>
          <w:szCs w:val="20"/>
        </w:rPr>
      </w:pPr>
      <w:r>
        <w:rPr>
          <w:rFonts w:ascii="Arial" w:hAnsi="Arial" w:cs="Arial"/>
          <w:color w:val="000000"/>
          <w:sz w:val="20"/>
          <w:szCs w:val="20"/>
        </w:rPr>
        <w:t>………………………………………………………………………………………………………………………………………………………………………………………………………………………………………………………………………………………………………………………………………………………………………………………………………………………………</w:t>
      </w:r>
    </w:p>
    <w:p w:rsidR="00A748E4" w:rsidRDefault="00A748E4" w:rsidP="0032084E">
      <w:pPr>
        <w:autoSpaceDE w:val="0"/>
        <w:autoSpaceDN w:val="0"/>
        <w:adjustRightInd w:val="0"/>
        <w:ind w:left="0"/>
        <w:rPr>
          <w:rFonts w:ascii="Arial" w:hAnsi="Arial" w:cs="Arial"/>
          <w:color w:val="000000"/>
          <w:sz w:val="16"/>
          <w:szCs w:val="16"/>
        </w:rPr>
      </w:pPr>
    </w:p>
    <w:p w:rsidR="00A748E4" w:rsidRPr="00596B33" w:rsidRDefault="00A748E4" w:rsidP="0032084E">
      <w:pPr>
        <w:autoSpaceDE w:val="0"/>
        <w:autoSpaceDN w:val="0"/>
        <w:adjustRightInd w:val="0"/>
        <w:ind w:left="0"/>
        <w:rPr>
          <w:rFonts w:ascii="Arial" w:hAnsi="Arial" w:cs="Arial"/>
          <w:color w:val="000000"/>
          <w:sz w:val="16"/>
          <w:szCs w:val="16"/>
        </w:rPr>
      </w:pPr>
      <w:r w:rsidRPr="00596B33">
        <w:rPr>
          <w:rFonts w:ascii="Arial" w:hAnsi="Arial" w:cs="Arial"/>
          <w:color w:val="000000"/>
          <w:sz w:val="16"/>
          <w:szCs w:val="16"/>
        </w:rPr>
        <w:t xml:space="preserve">Note: Absence of </w:t>
      </w:r>
      <w:r w:rsidRPr="00596B33">
        <w:rPr>
          <w:rFonts w:ascii="Arial" w:hAnsi="Arial" w:cs="Arial"/>
          <w:bCs/>
          <w:sz w:val="16"/>
          <w:szCs w:val="16"/>
        </w:rPr>
        <w:t>sustainable technical justifications in support of the objection shall render the objection unviable.</w:t>
      </w:r>
    </w:p>
    <w:p w:rsidR="00A748E4" w:rsidRDefault="00A748E4" w:rsidP="0032084E">
      <w:pPr>
        <w:autoSpaceDE w:val="0"/>
        <w:autoSpaceDN w:val="0"/>
        <w:adjustRightInd w:val="0"/>
        <w:ind w:left="0"/>
        <w:rPr>
          <w:rFonts w:ascii="Arial" w:hAnsi="Arial" w:cs="Arial"/>
          <w:sz w:val="20"/>
          <w:szCs w:val="20"/>
        </w:rPr>
      </w:pPr>
    </w:p>
    <w:p w:rsidR="00011EA4" w:rsidRDefault="00011EA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Name and (of respondent)</w:t>
      </w:r>
      <w:r w:rsidR="0032084E">
        <w:rPr>
          <w:rFonts w:ascii="Arial" w:hAnsi="Arial" w:cs="Arial"/>
          <w:sz w:val="20"/>
          <w:szCs w:val="20"/>
        </w:rPr>
        <w:t xml:space="preserve">………………………………………… </w:t>
      </w:r>
      <w:r>
        <w:rPr>
          <w:rFonts w:ascii="Arial" w:hAnsi="Arial" w:cs="Arial"/>
          <w:sz w:val="20"/>
          <w:szCs w:val="20"/>
        </w:rPr>
        <w:t xml:space="preserve">        </w:t>
      </w:r>
      <w:r w:rsidRPr="00652429">
        <w:rPr>
          <w:rFonts w:ascii="Arial" w:hAnsi="Arial" w:cs="Arial"/>
          <w:sz w:val="20"/>
          <w:szCs w:val="20"/>
        </w:rPr>
        <w:t>Position</w:t>
      </w:r>
      <w:r>
        <w:rPr>
          <w:rFonts w:ascii="Arial" w:hAnsi="Arial" w:cs="Arial"/>
          <w:sz w:val="20"/>
          <w:szCs w:val="20"/>
        </w:rPr>
        <w:t>…………………</w:t>
      </w:r>
    </w:p>
    <w:p w:rsidR="00A748E4" w:rsidRDefault="00A748E4" w:rsidP="0032084E">
      <w:pPr>
        <w:autoSpaceDE w:val="0"/>
        <w:autoSpaceDN w:val="0"/>
        <w:adjustRightInd w:val="0"/>
        <w:ind w:left="0"/>
        <w:rPr>
          <w:rFonts w:ascii="Arial" w:hAnsi="Arial" w:cs="Arial"/>
          <w:sz w:val="20"/>
          <w:szCs w:val="20"/>
        </w:rPr>
      </w:pPr>
    </w:p>
    <w:p w:rsidR="00A748E4" w:rsidRDefault="00A748E4" w:rsidP="0032084E">
      <w:pPr>
        <w:autoSpaceDE w:val="0"/>
        <w:autoSpaceDN w:val="0"/>
        <w:adjustRightInd w:val="0"/>
        <w:ind w:left="0"/>
        <w:rPr>
          <w:rFonts w:ascii="Arial" w:hAnsi="Arial" w:cs="Arial"/>
          <w:sz w:val="20"/>
          <w:szCs w:val="20"/>
        </w:rPr>
      </w:pPr>
      <w:r w:rsidRPr="00652429">
        <w:rPr>
          <w:rFonts w:ascii="Arial" w:hAnsi="Arial" w:cs="Arial"/>
          <w:sz w:val="20"/>
          <w:szCs w:val="20"/>
        </w:rPr>
        <w:t>Signature</w:t>
      </w:r>
      <w:r>
        <w:rPr>
          <w:rFonts w:ascii="Arial" w:hAnsi="Arial" w:cs="Arial"/>
          <w:sz w:val="20"/>
          <w:szCs w:val="20"/>
        </w:rPr>
        <w:t>: …………………………………………………….</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 xml:space="preserve">On behalf of: </w:t>
      </w:r>
      <w:r>
        <w:rPr>
          <w:rFonts w:ascii="Arial" w:hAnsi="Arial" w:cs="Arial"/>
          <w:sz w:val="20"/>
          <w:szCs w:val="20"/>
        </w:rPr>
        <w:tab/>
        <w:t>(Name of organization)</w:t>
      </w:r>
    </w:p>
    <w:p w:rsidR="00A748E4" w:rsidRDefault="00A748E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9000"/>
        </w:tabs>
        <w:autoSpaceDE w:val="0"/>
        <w:autoSpaceDN w:val="0"/>
        <w:adjustRightInd w:val="0"/>
        <w:ind w:left="0"/>
        <w:rPr>
          <w:rFonts w:ascii="Arial" w:hAnsi="Arial" w:cs="Arial"/>
          <w:sz w:val="20"/>
          <w:szCs w:val="20"/>
        </w:rPr>
      </w:pPr>
      <w:r>
        <w:rPr>
          <w:rFonts w:ascii="Arial" w:hAnsi="Arial" w:cs="Arial"/>
          <w:sz w:val="20"/>
          <w:szCs w:val="20"/>
        </w:rPr>
        <w:t>Date:</w:t>
      </w:r>
      <w:r>
        <w:rPr>
          <w:rFonts w:ascii="Arial" w:hAnsi="Arial" w:cs="Arial"/>
          <w:sz w:val="20"/>
          <w:szCs w:val="20"/>
        </w:rPr>
        <w:tab/>
      </w:r>
    </w:p>
    <w:p w:rsidR="00011EA4" w:rsidRDefault="00011EA4" w:rsidP="0032084E">
      <w:pPr>
        <w:tabs>
          <w:tab w:val="right" w:leader="dot" w:pos="9000"/>
        </w:tabs>
        <w:autoSpaceDE w:val="0"/>
        <w:autoSpaceDN w:val="0"/>
        <w:adjustRightInd w:val="0"/>
        <w:ind w:left="0"/>
        <w:rPr>
          <w:rFonts w:ascii="Arial" w:hAnsi="Arial" w:cs="Arial"/>
          <w:sz w:val="20"/>
          <w:szCs w:val="20"/>
        </w:rPr>
      </w:pPr>
    </w:p>
    <w:p w:rsidR="00011EA4" w:rsidRDefault="00011EA4" w:rsidP="0032084E">
      <w:pPr>
        <w:tabs>
          <w:tab w:val="right" w:leader="dot" w:pos="9000"/>
        </w:tabs>
        <w:autoSpaceDE w:val="0"/>
        <w:autoSpaceDN w:val="0"/>
        <w:adjustRightInd w:val="0"/>
        <w:ind w:left="0"/>
        <w:rPr>
          <w:rFonts w:ascii="Arial" w:hAnsi="Arial" w:cs="Arial"/>
          <w:sz w:val="20"/>
          <w:szCs w:val="20"/>
        </w:rPr>
      </w:pPr>
    </w:p>
    <w:p w:rsidR="00011EA4" w:rsidRDefault="00011EA4" w:rsidP="0032084E">
      <w:pPr>
        <w:tabs>
          <w:tab w:val="right" w:leader="dot" w:pos="9000"/>
        </w:tabs>
        <w:autoSpaceDE w:val="0"/>
        <w:autoSpaceDN w:val="0"/>
        <w:adjustRightInd w:val="0"/>
        <w:ind w:left="0"/>
        <w:rPr>
          <w:rFonts w:ascii="Arial" w:hAnsi="Arial" w:cs="Arial"/>
          <w:sz w:val="20"/>
          <w:szCs w:val="20"/>
        </w:rPr>
      </w:pPr>
    </w:p>
    <w:p w:rsidR="00A748E4" w:rsidRDefault="00A748E4" w:rsidP="0032084E">
      <w:pPr>
        <w:tabs>
          <w:tab w:val="right" w:leader="dot" w:pos="3600"/>
        </w:tabs>
        <w:autoSpaceDE w:val="0"/>
        <w:autoSpaceDN w:val="0"/>
        <w:adjustRightInd w:val="0"/>
        <w:ind w:left="0"/>
        <w:rPr>
          <w:rFonts w:ascii="Arial" w:hAnsi="Arial" w:cs="Arial"/>
          <w:b/>
          <w:bCs/>
          <w:sz w:val="20"/>
          <w:szCs w:val="20"/>
        </w:rPr>
      </w:pPr>
    </w:p>
    <w:p w:rsidR="00847D8E" w:rsidRDefault="00A748E4" w:rsidP="00847D8E">
      <w:pPr>
        <w:tabs>
          <w:tab w:val="right" w:leader="dot" w:pos="3600"/>
        </w:tabs>
        <w:autoSpaceDE w:val="0"/>
        <w:autoSpaceDN w:val="0"/>
        <w:adjustRightInd w:val="0"/>
        <w:ind w:left="0"/>
        <w:rPr>
          <w:rFonts w:ascii="Arial" w:hAnsi="Arial" w:cs="Arial"/>
          <w:bCs/>
          <w:sz w:val="20"/>
          <w:szCs w:val="20"/>
        </w:rPr>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w:t>
      </w:r>
      <w:r>
        <w:rPr>
          <w:rFonts w:ascii="Arial" w:hAnsi="Arial" w:cs="Arial"/>
          <w:bCs/>
          <w:sz w:val="20"/>
          <w:szCs w:val="20"/>
        </w:rPr>
        <w:t xml:space="preserve">confirmation and </w:t>
      </w:r>
      <w:r>
        <w:rPr>
          <w:rFonts w:ascii="Arial" w:hAnsi="Arial" w:cs="Arial"/>
          <w:b/>
          <w:color w:val="000000"/>
          <w:sz w:val="20"/>
          <w:szCs w:val="20"/>
        </w:rPr>
        <w:t>shall constitute an approval vote</w:t>
      </w:r>
      <w:r w:rsidRPr="00DC08CA">
        <w:rPr>
          <w:rFonts w:ascii="Arial" w:hAnsi="Arial" w:cs="Arial"/>
          <w:bCs/>
          <w:sz w:val="20"/>
          <w:szCs w:val="20"/>
        </w:rPr>
        <w:t>.</w:t>
      </w:r>
      <w:r>
        <w:rPr>
          <w:rFonts w:ascii="Arial" w:hAnsi="Arial" w:cs="Arial"/>
          <w:bCs/>
          <w:sz w:val="20"/>
          <w:szCs w:val="20"/>
        </w:rPr>
        <w:t xml:space="preserve"> </w:t>
      </w:r>
    </w:p>
    <w:p w:rsidR="00011EA4" w:rsidRDefault="00011EA4" w:rsidP="00847D8E">
      <w:pPr>
        <w:tabs>
          <w:tab w:val="right" w:leader="dot" w:pos="3600"/>
        </w:tabs>
        <w:autoSpaceDE w:val="0"/>
        <w:autoSpaceDN w:val="0"/>
        <w:adjustRightInd w:val="0"/>
        <w:ind w:left="0"/>
        <w:rPr>
          <w:rFonts w:ascii="Arial" w:hAnsi="Arial" w:cs="Arial"/>
          <w:bCs/>
          <w:sz w:val="20"/>
          <w:szCs w:val="20"/>
        </w:rPr>
      </w:pPr>
    </w:p>
    <w:p w:rsidR="00847D8E" w:rsidRDefault="00847D8E" w:rsidP="00847D8E">
      <w:pPr>
        <w:tabs>
          <w:tab w:val="right" w:leader="dot" w:pos="3600"/>
        </w:tabs>
        <w:autoSpaceDE w:val="0"/>
        <w:autoSpaceDN w:val="0"/>
        <w:adjustRightInd w:val="0"/>
        <w:ind w:left="0"/>
        <w:rPr>
          <w:rFonts w:ascii="Arial" w:hAnsi="Arial" w:cs="Arial"/>
          <w:bCs/>
          <w:sz w:val="20"/>
          <w:szCs w:val="20"/>
        </w:rPr>
      </w:pPr>
    </w:p>
    <w:p w:rsidR="00847D8E" w:rsidRPr="00F33FFB" w:rsidRDefault="00847D8E" w:rsidP="00847D8E">
      <w:pPr>
        <w:tabs>
          <w:tab w:val="right" w:leader="dot" w:pos="3600"/>
        </w:tabs>
        <w:autoSpaceDE w:val="0"/>
        <w:autoSpaceDN w:val="0"/>
        <w:adjustRightInd w:val="0"/>
        <w:ind w:left="0"/>
        <w:rPr>
          <w:rFonts w:ascii="Arial" w:hAnsi="Arial" w:cs="Arial"/>
          <w:b/>
          <w:bCs/>
          <w:u w:val="single"/>
        </w:rPr>
      </w:pPr>
      <w:r w:rsidRPr="00DD27E6">
        <w:rPr>
          <w:rFonts w:ascii="Arial" w:hAnsi="Arial" w:cs="Arial"/>
          <w:b/>
          <w:u w:val="single"/>
        </w:rPr>
        <w:t>List of Kenya Standards for Systematic Review (</w:t>
      </w:r>
      <w:r w:rsidR="00392542">
        <w:rPr>
          <w:rFonts w:ascii="Arial" w:hAnsi="Arial" w:cs="Arial"/>
          <w:b/>
          <w:bCs/>
          <w:u w:val="single"/>
        </w:rPr>
        <w:t>KEBS TC 10</w:t>
      </w:r>
      <w:r w:rsidR="00B433A6">
        <w:rPr>
          <w:rFonts w:ascii="Arial" w:hAnsi="Arial" w:cs="Arial"/>
          <w:b/>
          <w:bCs/>
          <w:u w:val="single"/>
        </w:rPr>
        <w:t>4</w:t>
      </w:r>
      <w:r>
        <w:rPr>
          <w:rFonts w:ascii="Arial" w:hAnsi="Arial" w:cs="Arial"/>
          <w:b/>
          <w:bCs/>
          <w:u w:val="single"/>
        </w:rPr>
        <w:t xml:space="preserve">: </w:t>
      </w:r>
      <w:r w:rsidR="00B433A6">
        <w:rPr>
          <w:rFonts w:ascii="Arial" w:hAnsi="Arial" w:cs="Arial"/>
          <w:b/>
          <w:bCs/>
          <w:u w:val="single"/>
        </w:rPr>
        <w:t>Thermodynamics, photometry, optics and photonics</w:t>
      </w:r>
      <w:r>
        <w:rPr>
          <w:rFonts w:ascii="Arial" w:hAnsi="Arial" w:cs="Arial"/>
          <w:b/>
          <w:bCs/>
          <w:u w:val="single"/>
        </w:rPr>
        <w:t>)</w:t>
      </w:r>
    </w:p>
    <w:p w:rsidR="00847D8E" w:rsidRDefault="00847D8E" w:rsidP="0032084E">
      <w:pPr>
        <w:tabs>
          <w:tab w:val="right" w:leader="dot" w:pos="3600"/>
        </w:tabs>
        <w:autoSpaceDE w:val="0"/>
        <w:autoSpaceDN w:val="0"/>
        <w:adjustRightInd w:val="0"/>
        <w:ind w:left="0"/>
        <w:rPr>
          <w:rFonts w:ascii="Arial" w:hAnsi="Arial" w:cs="Arial"/>
          <w:bCs/>
          <w:sz w:val="20"/>
          <w:szCs w:val="20"/>
        </w:rPr>
      </w:pPr>
    </w:p>
    <w:p w:rsidR="00E44C14" w:rsidRPr="005E5A3B" w:rsidRDefault="00E44C14" w:rsidP="005E5A3B">
      <w:pPr>
        <w:autoSpaceDE w:val="0"/>
        <w:autoSpaceDN w:val="0"/>
        <w:adjustRightInd w:val="0"/>
        <w:ind w:left="0"/>
        <w:rPr>
          <w:rFonts w:ascii="Times New Roman" w:eastAsia="Times New Roman" w:hAnsi="Times New Roman"/>
        </w:rPr>
      </w:pPr>
    </w:p>
    <w:tbl>
      <w:tblPr>
        <w:tblStyle w:val="TableGrid"/>
        <w:tblW w:w="0" w:type="auto"/>
        <w:tblLook w:val="04A0" w:firstRow="1" w:lastRow="0" w:firstColumn="1" w:lastColumn="0" w:noHBand="0" w:noVBand="1"/>
      </w:tblPr>
      <w:tblGrid>
        <w:gridCol w:w="495"/>
        <w:gridCol w:w="2020"/>
        <w:gridCol w:w="6502"/>
      </w:tblGrid>
      <w:tr w:rsidR="00B433A6" w:rsidRPr="00847D8E" w:rsidTr="0005520B">
        <w:trPr>
          <w:trHeight w:val="570"/>
        </w:trPr>
        <w:tc>
          <w:tcPr>
            <w:tcW w:w="495" w:type="dxa"/>
          </w:tcPr>
          <w:p w:rsidR="00B433A6" w:rsidRPr="00847D8E" w:rsidRDefault="00B433A6" w:rsidP="00B433A6">
            <w:pPr>
              <w:autoSpaceDE w:val="0"/>
              <w:autoSpaceDN w:val="0"/>
              <w:adjustRightInd w:val="0"/>
              <w:ind w:left="0"/>
            </w:pPr>
            <w:r w:rsidRPr="00847D8E">
              <w:t>1.</w:t>
            </w:r>
          </w:p>
        </w:tc>
        <w:tc>
          <w:tcPr>
            <w:tcW w:w="2020" w:type="dxa"/>
          </w:tcPr>
          <w:p w:rsidR="00B433A6" w:rsidRPr="00174882" w:rsidRDefault="00B433A6" w:rsidP="00B433A6">
            <w:pPr>
              <w:ind w:left="0"/>
            </w:pPr>
            <w:r w:rsidRPr="00174882">
              <w:t>KS ISO 7944:1998</w:t>
            </w:r>
          </w:p>
        </w:tc>
        <w:tc>
          <w:tcPr>
            <w:tcW w:w="6502" w:type="dxa"/>
          </w:tcPr>
          <w:p w:rsidR="00B433A6" w:rsidRPr="007F136C" w:rsidRDefault="00B433A6" w:rsidP="00B433A6">
            <w:pPr>
              <w:ind w:left="0"/>
            </w:pPr>
            <w:r w:rsidRPr="007F136C">
              <w:t>Optics and optical instruments — Reference wavelengths</w:t>
            </w:r>
          </w:p>
        </w:tc>
      </w:tr>
      <w:tr w:rsidR="00B433A6" w:rsidRPr="00847D8E" w:rsidTr="0005520B">
        <w:trPr>
          <w:trHeight w:val="510"/>
        </w:trPr>
        <w:tc>
          <w:tcPr>
            <w:tcW w:w="495" w:type="dxa"/>
          </w:tcPr>
          <w:p w:rsidR="00B433A6" w:rsidRPr="00847D8E" w:rsidRDefault="00B433A6" w:rsidP="00B433A6">
            <w:pPr>
              <w:autoSpaceDE w:val="0"/>
              <w:autoSpaceDN w:val="0"/>
              <w:adjustRightInd w:val="0"/>
              <w:ind w:left="0"/>
            </w:pPr>
            <w:r w:rsidRPr="00847D8E">
              <w:t>2.</w:t>
            </w:r>
          </w:p>
        </w:tc>
        <w:tc>
          <w:tcPr>
            <w:tcW w:w="2020" w:type="dxa"/>
          </w:tcPr>
          <w:p w:rsidR="00B433A6" w:rsidRPr="00174882" w:rsidRDefault="00B433A6" w:rsidP="00B433A6">
            <w:pPr>
              <w:ind w:left="0"/>
            </w:pPr>
            <w:r w:rsidRPr="00174882">
              <w:t>KS ISO 9334:2007</w:t>
            </w:r>
          </w:p>
        </w:tc>
        <w:tc>
          <w:tcPr>
            <w:tcW w:w="6502" w:type="dxa"/>
          </w:tcPr>
          <w:p w:rsidR="00B433A6" w:rsidRDefault="00B433A6" w:rsidP="00B433A6">
            <w:pPr>
              <w:ind w:left="0"/>
            </w:pPr>
            <w:r>
              <w:t xml:space="preserve">Optics and optical instruments – Optical transfer function - </w:t>
            </w:r>
          </w:p>
          <w:p w:rsidR="00B433A6" w:rsidRPr="007F136C" w:rsidRDefault="00B433A6" w:rsidP="00B433A6">
            <w:pPr>
              <w:ind w:left="0"/>
            </w:pPr>
            <w:r>
              <w:t>Definitions</w:t>
            </w:r>
            <w:r>
              <w:t xml:space="preserve"> and mathematical relationships</w:t>
            </w:r>
          </w:p>
        </w:tc>
      </w:tr>
      <w:tr w:rsidR="00B433A6" w:rsidRPr="00847D8E" w:rsidTr="0005520B">
        <w:trPr>
          <w:trHeight w:val="525"/>
        </w:trPr>
        <w:tc>
          <w:tcPr>
            <w:tcW w:w="495" w:type="dxa"/>
          </w:tcPr>
          <w:p w:rsidR="00B433A6" w:rsidRPr="00847D8E" w:rsidRDefault="00B433A6" w:rsidP="00B433A6">
            <w:pPr>
              <w:autoSpaceDE w:val="0"/>
              <w:autoSpaceDN w:val="0"/>
              <w:adjustRightInd w:val="0"/>
              <w:ind w:left="0"/>
            </w:pPr>
            <w:r w:rsidRPr="00847D8E">
              <w:t>3.</w:t>
            </w:r>
          </w:p>
        </w:tc>
        <w:tc>
          <w:tcPr>
            <w:tcW w:w="2020" w:type="dxa"/>
          </w:tcPr>
          <w:p w:rsidR="00B433A6" w:rsidRPr="00174882" w:rsidRDefault="00B433A6" w:rsidP="00B433A6">
            <w:pPr>
              <w:ind w:left="0"/>
            </w:pPr>
            <w:r w:rsidRPr="00174882">
              <w:t>KS ISO 9039: 2008</w:t>
            </w:r>
          </w:p>
        </w:tc>
        <w:tc>
          <w:tcPr>
            <w:tcW w:w="6502" w:type="dxa"/>
          </w:tcPr>
          <w:p w:rsidR="00B433A6" w:rsidRDefault="00B433A6" w:rsidP="001130C0">
            <w:pPr>
              <w:ind w:left="0"/>
            </w:pPr>
            <w:r>
              <w:t>Optics and optical instruments – Quality evaluation of optical systems -</w:t>
            </w:r>
          </w:p>
          <w:p w:rsidR="00B433A6" w:rsidRPr="007F136C" w:rsidRDefault="001130C0" w:rsidP="001130C0">
            <w:pPr>
              <w:ind w:left="0"/>
            </w:pPr>
            <w:r>
              <w:t>Determination of distortion</w:t>
            </w:r>
          </w:p>
        </w:tc>
      </w:tr>
      <w:tr w:rsidR="00B433A6" w:rsidRPr="00847D8E" w:rsidTr="001130C0">
        <w:trPr>
          <w:trHeight w:val="620"/>
        </w:trPr>
        <w:tc>
          <w:tcPr>
            <w:tcW w:w="495" w:type="dxa"/>
          </w:tcPr>
          <w:p w:rsidR="00B433A6" w:rsidRPr="00847D8E" w:rsidRDefault="00B433A6" w:rsidP="00B433A6">
            <w:pPr>
              <w:autoSpaceDE w:val="0"/>
              <w:autoSpaceDN w:val="0"/>
              <w:adjustRightInd w:val="0"/>
              <w:ind w:left="0"/>
            </w:pPr>
            <w:r w:rsidRPr="00847D8E">
              <w:t>4.</w:t>
            </w:r>
          </w:p>
        </w:tc>
        <w:tc>
          <w:tcPr>
            <w:tcW w:w="2020" w:type="dxa"/>
          </w:tcPr>
          <w:p w:rsidR="00B433A6" w:rsidRPr="00174882" w:rsidRDefault="00B433A6" w:rsidP="00B433A6">
            <w:pPr>
              <w:ind w:left="0"/>
            </w:pPr>
            <w:r w:rsidRPr="00174882">
              <w:t>KS ISO 15529:2007</w:t>
            </w:r>
          </w:p>
        </w:tc>
        <w:tc>
          <w:tcPr>
            <w:tcW w:w="6502" w:type="dxa"/>
          </w:tcPr>
          <w:p w:rsidR="00B433A6" w:rsidRPr="007F136C" w:rsidRDefault="001130C0" w:rsidP="001130C0">
            <w:pPr>
              <w:ind w:left="0"/>
            </w:pPr>
            <w:r>
              <w:t>Optics and optical instruments — Optical transfer function — Principles of measurement of modulation transfer function (MTF) of</w:t>
            </w:r>
            <w:r>
              <w:t xml:space="preserve"> sampled imaging systems</w:t>
            </w:r>
          </w:p>
        </w:tc>
      </w:tr>
      <w:tr w:rsidR="00B433A6" w:rsidRPr="00847D8E" w:rsidTr="0005520B">
        <w:trPr>
          <w:trHeight w:val="440"/>
        </w:trPr>
        <w:tc>
          <w:tcPr>
            <w:tcW w:w="495" w:type="dxa"/>
          </w:tcPr>
          <w:p w:rsidR="00B433A6" w:rsidRPr="00847D8E" w:rsidRDefault="00B433A6" w:rsidP="00B433A6">
            <w:pPr>
              <w:autoSpaceDE w:val="0"/>
              <w:autoSpaceDN w:val="0"/>
              <w:adjustRightInd w:val="0"/>
              <w:ind w:left="0"/>
            </w:pPr>
            <w:r>
              <w:t>5.</w:t>
            </w:r>
          </w:p>
        </w:tc>
        <w:tc>
          <w:tcPr>
            <w:tcW w:w="2020" w:type="dxa"/>
          </w:tcPr>
          <w:p w:rsidR="00B433A6" w:rsidRPr="00174882" w:rsidRDefault="00B433A6" w:rsidP="00B433A6">
            <w:pPr>
              <w:ind w:left="0"/>
            </w:pPr>
            <w:r w:rsidRPr="00174882">
              <w:t>KS ISO 11421:1997</w:t>
            </w:r>
          </w:p>
        </w:tc>
        <w:tc>
          <w:tcPr>
            <w:tcW w:w="6502" w:type="dxa"/>
          </w:tcPr>
          <w:p w:rsidR="00B433A6" w:rsidRPr="007F136C" w:rsidRDefault="001130C0" w:rsidP="001130C0">
            <w:pPr>
              <w:ind w:left="0"/>
            </w:pPr>
            <w:r w:rsidRPr="001130C0">
              <w:t>Optics and optical instruments – Accuracy of optical transfer function (OTF) measurement</w:t>
            </w:r>
          </w:p>
        </w:tc>
      </w:tr>
      <w:tr w:rsidR="00B433A6" w:rsidRPr="00847D8E" w:rsidTr="0005520B">
        <w:trPr>
          <w:trHeight w:val="615"/>
        </w:trPr>
        <w:tc>
          <w:tcPr>
            <w:tcW w:w="495" w:type="dxa"/>
          </w:tcPr>
          <w:p w:rsidR="00B433A6" w:rsidRPr="00847D8E" w:rsidRDefault="00B433A6" w:rsidP="00B433A6">
            <w:pPr>
              <w:autoSpaceDE w:val="0"/>
              <w:autoSpaceDN w:val="0"/>
              <w:adjustRightInd w:val="0"/>
              <w:ind w:left="0"/>
            </w:pPr>
            <w:r>
              <w:t>6</w:t>
            </w:r>
            <w:r w:rsidRPr="00847D8E">
              <w:t>.</w:t>
            </w:r>
          </w:p>
        </w:tc>
        <w:tc>
          <w:tcPr>
            <w:tcW w:w="2020" w:type="dxa"/>
          </w:tcPr>
          <w:p w:rsidR="00B433A6" w:rsidRPr="00174882" w:rsidRDefault="00B433A6" w:rsidP="00B433A6">
            <w:pPr>
              <w:ind w:left="0"/>
            </w:pPr>
            <w:r w:rsidRPr="00174882">
              <w:t>KS ISO 13653:1996</w:t>
            </w:r>
          </w:p>
        </w:tc>
        <w:tc>
          <w:tcPr>
            <w:tcW w:w="6502" w:type="dxa"/>
          </w:tcPr>
          <w:p w:rsidR="00B433A6" w:rsidRPr="007F136C" w:rsidRDefault="001130C0" w:rsidP="001130C0">
            <w:pPr>
              <w:ind w:left="0"/>
            </w:pPr>
            <w:r w:rsidRPr="001130C0">
              <w:t>Optics and optical instruments – General optical test methods - Measurement of relative irradiance in the image field</w:t>
            </w:r>
          </w:p>
        </w:tc>
      </w:tr>
      <w:tr w:rsidR="00B433A6" w:rsidRPr="00847D8E" w:rsidTr="0005520B">
        <w:trPr>
          <w:trHeight w:val="300"/>
        </w:trPr>
        <w:tc>
          <w:tcPr>
            <w:tcW w:w="495" w:type="dxa"/>
          </w:tcPr>
          <w:p w:rsidR="00B433A6" w:rsidRPr="00847D8E" w:rsidRDefault="00B433A6" w:rsidP="00B433A6">
            <w:pPr>
              <w:autoSpaceDE w:val="0"/>
              <w:autoSpaceDN w:val="0"/>
              <w:adjustRightInd w:val="0"/>
              <w:ind w:left="0"/>
            </w:pPr>
            <w:r w:rsidRPr="00847D8E">
              <w:t>7.</w:t>
            </w:r>
          </w:p>
        </w:tc>
        <w:tc>
          <w:tcPr>
            <w:tcW w:w="2020" w:type="dxa"/>
          </w:tcPr>
          <w:p w:rsidR="00B433A6" w:rsidRPr="00174882" w:rsidRDefault="00B433A6" w:rsidP="00B433A6">
            <w:pPr>
              <w:ind w:left="0"/>
            </w:pPr>
            <w:r w:rsidRPr="00174882">
              <w:t>KS ISO 15368:2001</w:t>
            </w:r>
          </w:p>
        </w:tc>
        <w:tc>
          <w:tcPr>
            <w:tcW w:w="6502" w:type="dxa"/>
          </w:tcPr>
          <w:p w:rsidR="00B433A6" w:rsidRPr="007F136C" w:rsidRDefault="001130C0" w:rsidP="001130C0">
            <w:pPr>
              <w:ind w:left="0"/>
            </w:pPr>
            <w:r w:rsidRPr="001130C0">
              <w:t>Optics and optical instruments — Measurement of reflectance of plane surfaces and transmittance of plane parallel elements</w:t>
            </w:r>
          </w:p>
        </w:tc>
      </w:tr>
      <w:tr w:rsidR="001130C0" w:rsidRPr="00847D8E" w:rsidTr="0005520B">
        <w:trPr>
          <w:trHeight w:val="300"/>
        </w:trPr>
        <w:tc>
          <w:tcPr>
            <w:tcW w:w="495" w:type="dxa"/>
          </w:tcPr>
          <w:p w:rsidR="001130C0" w:rsidRPr="00847D8E" w:rsidRDefault="001130C0" w:rsidP="001130C0">
            <w:pPr>
              <w:autoSpaceDE w:val="0"/>
              <w:autoSpaceDN w:val="0"/>
              <w:adjustRightInd w:val="0"/>
              <w:ind w:left="0"/>
            </w:pPr>
            <w:r w:rsidRPr="00847D8E">
              <w:t>8.</w:t>
            </w:r>
          </w:p>
        </w:tc>
        <w:tc>
          <w:tcPr>
            <w:tcW w:w="2020" w:type="dxa"/>
          </w:tcPr>
          <w:p w:rsidR="001130C0" w:rsidRPr="00174882" w:rsidRDefault="001130C0" w:rsidP="001130C0">
            <w:pPr>
              <w:ind w:left="0"/>
            </w:pPr>
            <w:r w:rsidRPr="00174882">
              <w:t>KS ISO/CIE 10526:2007</w:t>
            </w:r>
          </w:p>
        </w:tc>
        <w:tc>
          <w:tcPr>
            <w:tcW w:w="6502" w:type="dxa"/>
          </w:tcPr>
          <w:p w:rsidR="001130C0" w:rsidRPr="00BF1CE4" w:rsidRDefault="001130C0" w:rsidP="001130C0">
            <w:pPr>
              <w:ind w:left="0"/>
            </w:pPr>
            <w:r w:rsidRPr="00BF1CE4">
              <w:t xml:space="preserve">CIE standard illuminants for </w:t>
            </w:r>
            <w:proofErr w:type="spellStart"/>
            <w:r w:rsidRPr="00BF1CE4">
              <w:t>colorimetry</w:t>
            </w:r>
            <w:proofErr w:type="spellEnd"/>
          </w:p>
        </w:tc>
      </w:tr>
      <w:tr w:rsidR="001130C0" w:rsidRPr="00847D8E" w:rsidTr="0005520B">
        <w:trPr>
          <w:trHeight w:val="300"/>
        </w:trPr>
        <w:tc>
          <w:tcPr>
            <w:tcW w:w="495" w:type="dxa"/>
          </w:tcPr>
          <w:p w:rsidR="001130C0" w:rsidRPr="00847D8E" w:rsidRDefault="001130C0" w:rsidP="001130C0">
            <w:pPr>
              <w:autoSpaceDE w:val="0"/>
              <w:autoSpaceDN w:val="0"/>
              <w:adjustRightInd w:val="0"/>
              <w:ind w:left="0"/>
            </w:pPr>
            <w:r w:rsidRPr="00847D8E">
              <w:t>9.</w:t>
            </w:r>
          </w:p>
        </w:tc>
        <w:tc>
          <w:tcPr>
            <w:tcW w:w="2020" w:type="dxa"/>
          </w:tcPr>
          <w:p w:rsidR="001130C0" w:rsidRPr="00174882" w:rsidRDefault="001130C0" w:rsidP="001130C0">
            <w:pPr>
              <w:ind w:left="0"/>
            </w:pPr>
            <w:r w:rsidRPr="00174882">
              <w:t>KS IEC 61966-2-2:2003</w:t>
            </w:r>
          </w:p>
        </w:tc>
        <w:tc>
          <w:tcPr>
            <w:tcW w:w="6502" w:type="dxa"/>
          </w:tcPr>
          <w:p w:rsidR="001130C0" w:rsidRPr="00BF1CE4" w:rsidRDefault="001130C0" w:rsidP="001130C0">
            <w:pPr>
              <w:ind w:left="0"/>
            </w:pPr>
            <w:r w:rsidRPr="00BF1CE4">
              <w:t xml:space="preserve">Multimedia systems and equipment – </w:t>
            </w:r>
            <w:proofErr w:type="spellStart"/>
            <w:r w:rsidRPr="00BF1CE4">
              <w:t>Colour</w:t>
            </w:r>
            <w:proofErr w:type="spellEnd"/>
            <w:r w:rsidRPr="00BF1CE4">
              <w:t xml:space="preserve"> measurement and management – Part 2-2: </w:t>
            </w:r>
            <w:proofErr w:type="spellStart"/>
            <w:r w:rsidRPr="00BF1CE4">
              <w:t>Colour</w:t>
            </w:r>
            <w:proofErr w:type="spellEnd"/>
            <w:r w:rsidRPr="00BF1CE4">
              <w:t xml:space="preserve"> management – Extended RGB</w:t>
            </w:r>
          </w:p>
        </w:tc>
      </w:tr>
      <w:tr w:rsidR="001130C0" w:rsidRPr="00847D8E" w:rsidTr="0005520B">
        <w:trPr>
          <w:trHeight w:val="300"/>
        </w:trPr>
        <w:tc>
          <w:tcPr>
            <w:tcW w:w="495" w:type="dxa"/>
          </w:tcPr>
          <w:p w:rsidR="001130C0" w:rsidRPr="00847D8E" w:rsidRDefault="001130C0" w:rsidP="001130C0">
            <w:pPr>
              <w:autoSpaceDE w:val="0"/>
              <w:autoSpaceDN w:val="0"/>
              <w:adjustRightInd w:val="0"/>
              <w:ind w:left="0"/>
            </w:pPr>
            <w:r w:rsidRPr="00847D8E">
              <w:t>10.</w:t>
            </w:r>
          </w:p>
        </w:tc>
        <w:tc>
          <w:tcPr>
            <w:tcW w:w="2020" w:type="dxa"/>
          </w:tcPr>
          <w:p w:rsidR="001130C0" w:rsidRPr="00174882" w:rsidRDefault="001130C0" w:rsidP="001130C0">
            <w:pPr>
              <w:ind w:left="0"/>
            </w:pPr>
            <w:r w:rsidRPr="00174882">
              <w:t>KS ISO 9849:2000</w:t>
            </w:r>
          </w:p>
        </w:tc>
        <w:tc>
          <w:tcPr>
            <w:tcW w:w="6502" w:type="dxa"/>
          </w:tcPr>
          <w:p w:rsidR="001130C0" w:rsidRPr="00AB3D49" w:rsidRDefault="001130C0" w:rsidP="001130C0">
            <w:pPr>
              <w:ind w:left="0"/>
            </w:pPr>
            <w:r w:rsidRPr="00AB3D49">
              <w:t>Optics and optical instruments -- Geodetic and surveying instruments – Vocabulary</w:t>
            </w:r>
          </w:p>
        </w:tc>
      </w:tr>
      <w:tr w:rsidR="001130C0" w:rsidRPr="00847D8E" w:rsidTr="0005520B">
        <w:trPr>
          <w:trHeight w:val="300"/>
        </w:trPr>
        <w:tc>
          <w:tcPr>
            <w:tcW w:w="495" w:type="dxa"/>
          </w:tcPr>
          <w:p w:rsidR="001130C0" w:rsidRPr="00847D8E" w:rsidRDefault="001130C0" w:rsidP="001130C0">
            <w:pPr>
              <w:autoSpaceDE w:val="0"/>
              <w:autoSpaceDN w:val="0"/>
              <w:adjustRightInd w:val="0"/>
              <w:ind w:left="0"/>
            </w:pPr>
            <w:r>
              <w:t>11.</w:t>
            </w:r>
          </w:p>
        </w:tc>
        <w:tc>
          <w:tcPr>
            <w:tcW w:w="2020" w:type="dxa"/>
          </w:tcPr>
          <w:p w:rsidR="001130C0" w:rsidRPr="00174882" w:rsidRDefault="001130C0" w:rsidP="001130C0">
            <w:pPr>
              <w:ind w:left="0"/>
            </w:pPr>
            <w:r w:rsidRPr="00174882">
              <w:t>KS ISO 12858-1:1999</w:t>
            </w:r>
          </w:p>
        </w:tc>
        <w:tc>
          <w:tcPr>
            <w:tcW w:w="6502" w:type="dxa"/>
          </w:tcPr>
          <w:p w:rsidR="001130C0" w:rsidRDefault="001130C0" w:rsidP="001130C0">
            <w:pPr>
              <w:ind w:left="0"/>
            </w:pPr>
            <w:r w:rsidRPr="00AB3D49">
              <w:t>Optics and optical instruments -- Ancillary devices for geodetic instruments - Part 1: Invar levelling staffs</w:t>
            </w:r>
          </w:p>
        </w:tc>
      </w:tr>
      <w:tr w:rsidR="00B433A6" w:rsidRPr="00847D8E" w:rsidTr="0005520B">
        <w:trPr>
          <w:trHeight w:val="300"/>
        </w:trPr>
        <w:tc>
          <w:tcPr>
            <w:tcW w:w="495" w:type="dxa"/>
          </w:tcPr>
          <w:p w:rsidR="00B433A6" w:rsidRPr="00847D8E" w:rsidRDefault="00B433A6" w:rsidP="00B433A6">
            <w:pPr>
              <w:autoSpaceDE w:val="0"/>
              <w:autoSpaceDN w:val="0"/>
              <w:adjustRightInd w:val="0"/>
              <w:ind w:left="0"/>
            </w:pPr>
            <w:r>
              <w:t>12.</w:t>
            </w:r>
          </w:p>
        </w:tc>
        <w:tc>
          <w:tcPr>
            <w:tcW w:w="2020" w:type="dxa"/>
          </w:tcPr>
          <w:p w:rsidR="00B433A6" w:rsidRPr="00174882" w:rsidRDefault="00B433A6" w:rsidP="00B433A6">
            <w:pPr>
              <w:ind w:left="0"/>
            </w:pPr>
            <w:r w:rsidRPr="00174882">
              <w:t>KS ISO 12858-2:1999</w:t>
            </w:r>
          </w:p>
        </w:tc>
        <w:tc>
          <w:tcPr>
            <w:tcW w:w="6502" w:type="dxa"/>
          </w:tcPr>
          <w:p w:rsidR="00B433A6" w:rsidRPr="007F136C" w:rsidRDefault="001130C0" w:rsidP="001130C0">
            <w:pPr>
              <w:ind w:left="0"/>
            </w:pPr>
            <w:r>
              <w:t xml:space="preserve">Optics and optical instruments </w:t>
            </w:r>
            <w:r>
              <w:t>–</w:t>
            </w:r>
            <w:r>
              <w:t xml:space="preserve"> Ancillary</w:t>
            </w:r>
            <w:r>
              <w:t xml:space="preserve"> </w:t>
            </w:r>
            <w:r>
              <w:t>devices for geodetic</w:t>
            </w:r>
            <w:r>
              <w:t xml:space="preserve"> instruments -- Part 2: Tripods</w:t>
            </w:r>
          </w:p>
        </w:tc>
      </w:tr>
      <w:tr w:rsidR="001130C0" w:rsidRPr="00847D8E" w:rsidTr="0005520B">
        <w:trPr>
          <w:trHeight w:val="300"/>
        </w:trPr>
        <w:tc>
          <w:tcPr>
            <w:tcW w:w="495" w:type="dxa"/>
          </w:tcPr>
          <w:p w:rsidR="001130C0" w:rsidRPr="00847D8E" w:rsidRDefault="001130C0" w:rsidP="001130C0">
            <w:pPr>
              <w:autoSpaceDE w:val="0"/>
              <w:autoSpaceDN w:val="0"/>
              <w:adjustRightInd w:val="0"/>
              <w:ind w:left="0"/>
            </w:pPr>
            <w:r>
              <w:t>13.</w:t>
            </w:r>
          </w:p>
        </w:tc>
        <w:tc>
          <w:tcPr>
            <w:tcW w:w="2020" w:type="dxa"/>
          </w:tcPr>
          <w:p w:rsidR="001130C0" w:rsidRPr="00174882" w:rsidRDefault="001130C0" w:rsidP="001130C0">
            <w:pPr>
              <w:ind w:left="0"/>
            </w:pPr>
            <w:r w:rsidRPr="00174882">
              <w:t>KS ISO 17123-1:2002</w:t>
            </w:r>
          </w:p>
        </w:tc>
        <w:tc>
          <w:tcPr>
            <w:tcW w:w="6502" w:type="dxa"/>
          </w:tcPr>
          <w:p w:rsidR="001130C0" w:rsidRPr="00FF4DCF" w:rsidRDefault="001130C0" w:rsidP="0018562F">
            <w:pPr>
              <w:ind w:left="0"/>
            </w:pPr>
            <w:r w:rsidRPr="00FF4DCF">
              <w:t>Optics and optical instruments -- Field procedures for testing geodetic and surveying instruments -- Part 1: Theory</w:t>
            </w:r>
          </w:p>
        </w:tc>
      </w:tr>
      <w:tr w:rsidR="001130C0" w:rsidRPr="00847D8E" w:rsidTr="0005520B">
        <w:trPr>
          <w:trHeight w:val="300"/>
        </w:trPr>
        <w:tc>
          <w:tcPr>
            <w:tcW w:w="495" w:type="dxa"/>
          </w:tcPr>
          <w:p w:rsidR="001130C0" w:rsidRPr="00847D8E" w:rsidRDefault="001130C0" w:rsidP="001130C0">
            <w:pPr>
              <w:autoSpaceDE w:val="0"/>
              <w:autoSpaceDN w:val="0"/>
              <w:adjustRightInd w:val="0"/>
              <w:ind w:left="0"/>
            </w:pPr>
            <w:r>
              <w:t>14.</w:t>
            </w:r>
          </w:p>
        </w:tc>
        <w:tc>
          <w:tcPr>
            <w:tcW w:w="2020" w:type="dxa"/>
          </w:tcPr>
          <w:p w:rsidR="001130C0" w:rsidRPr="00174882" w:rsidRDefault="001130C0" w:rsidP="001130C0">
            <w:pPr>
              <w:ind w:left="0"/>
            </w:pPr>
            <w:r w:rsidRPr="00174882">
              <w:t>KS ISO 17123-2:2001</w:t>
            </w:r>
          </w:p>
        </w:tc>
        <w:tc>
          <w:tcPr>
            <w:tcW w:w="6502" w:type="dxa"/>
          </w:tcPr>
          <w:p w:rsidR="001130C0" w:rsidRPr="00FF4DCF" w:rsidRDefault="001130C0" w:rsidP="0018562F">
            <w:pPr>
              <w:ind w:left="0"/>
            </w:pPr>
            <w:r w:rsidRPr="00FF4DCF">
              <w:t>Optics and optical instruments -- Field procedures for testing geodetic and surveying instruments -- Part 2: Levels</w:t>
            </w:r>
          </w:p>
        </w:tc>
      </w:tr>
      <w:tr w:rsidR="001130C0" w:rsidRPr="00847D8E" w:rsidTr="0005520B">
        <w:trPr>
          <w:trHeight w:val="300"/>
        </w:trPr>
        <w:tc>
          <w:tcPr>
            <w:tcW w:w="495" w:type="dxa"/>
          </w:tcPr>
          <w:p w:rsidR="001130C0" w:rsidRDefault="001130C0" w:rsidP="001130C0">
            <w:pPr>
              <w:autoSpaceDE w:val="0"/>
              <w:autoSpaceDN w:val="0"/>
              <w:adjustRightInd w:val="0"/>
              <w:ind w:left="0"/>
            </w:pPr>
            <w:r>
              <w:t>15.</w:t>
            </w:r>
          </w:p>
        </w:tc>
        <w:tc>
          <w:tcPr>
            <w:tcW w:w="2020" w:type="dxa"/>
          </w:tcPr>
          <w:p w:rsidR="001130C0" w:rsidRPr="00174882" w:rsidRDefault="001130C0" w:rsidP="001130C0">
            <w:pPr>
              <w:ind w:left="0"/>
            </w:pPr>
            <w:r w:rsidRPr="00174882">
              <w:t>KS ISO 17123-3:2001</w:t>
            </w:r>
          </w:p>
        </w:tc>
        <w:tc>
          <w:tcPr>
            <w:tcW w:w="6502" w:type="dxa"/>
          </w:tcPr>
          <w:p w:rsidR="001130C0" w:rsidRDefault="001130C0" w:rsidP="0018562F">
            <w:pPr>
              <w:ind w:left="0"/>
            </w:pPr>
            <w:r w:rsidRPr="00FF4DCF">
              <w:t>Optics and optical instruments -- Field procedures for testing geodetic and surveying instruments -- Part 3: Theodolites</w:t>
            </w:r>
          </w:p>
        </w:tc>
      </w:tr>
      <w:tr w:rsidR="00B433A6" w:rsidRPr="00847D8E" w:rsidTr="0005520B">
        <w:trPr>
          <w:trHeight w:val="300"/>
        </w:trPr>
        <w:tc>
          <w:tcPr>
            <w:tcW w:w="495" w:type="dxa"/>
          </w:tcPr>
          <w:p w:rsidR="00B433A6" w:rsidRDefault="00B433A6" w:rsidP="00B433A6">
            <w:pPr>
              <w:autoSpaceDE w:val="0"/>
              <w:autoSpaceDN w:val="0"/>
              <w:adjustRightInd w:val="0"/>
              <w:ind w:left="0"/>
            </w:pPr>
            <w:r>
              <w:t>16.</w:t>
            </w:r>
          </w:p>
        </w:tc>
        <w:tc>
          <w:tcPr>
            <w:tcW w:w="2020" w:type="dxa"/>
          </w:tcPr>
          <w:p w:rsidR="00B433A6" w:rsidRPr="00F56193" w:rsidRDefault="00B433A6" w:rsidP="00B433A6">
            <w:pPr>
              <w:ind w:left="0"/>
            </w:pPr>
            <w:r w:rsidRPr="00F56193">
              <w:t>KS ISO 17123-4:2001</w:t>
            </w:r>
          </w:p>
        </w:tc>
        <w:tc>
          <w:tcPr>
            <w:tcW w:w="6502" w:type="dxa"/>
          </w:tcPr>
          <w:p w:rsidR="00B433A6" w:rsidRPr="007F136C" w:rsidRDefault="0018562F" w:rsidP="0018562F">
            <w:pPr>
              <w:ind w:left="0"/>
            </w:pPr>
            <w:r>
              <w:t>Optics and optical instruments -- Field procedures for testing geodetic and surveying instruments -- Part 4: Electro-optical distance</w:t>
            </w:r>
            <w:r>
              <w:t xml:space="preserve"> </w:t>
            </w:r>
            <w:r>
              <w:t>meters (EDM instruments)"</w:t>
            </w:r>
          </w:p>
        </w:tc>
      </w:tr>
      <w:tr w:rsidR="00B433A6" w:rsidRPr="00847D8E" w:rsidTr="0005520B">
        <w:trPr>
          <w:trHeight w:val="300"/>
        </w:trPr>
        <w:tc>
          <w:tcPr>
            <w:tcW w:w="495" w:type="dxa"/>
          </w:tcPr>
          <w:p w:rsidR="00B433A6" w:rsidRDefault="00B433A6" w:rsidP="00B433A6">
            <w:pPr>
              <w:autoSpaceDE w:val="0"/>
              <w:autoSpaceDN w:val="0"/>
              <w:adjustRightInd w:val="0"/>
              <w:ind w:left="0"/>
            </w:pPr>
            <w:r>
              <w:lastRenderedPageBreak/>
              <w:t>17.</w:t>
            </w:r>
          </w:p>
        </w:tc>
        <w:tc>
          <w:tcPr>
            <w:tcW w:w="2020" w:type="dxa"/>
          </w:tcPr>
          <w:p w:rsidR="00B433A6" w:rsidRDefault="00B433A6" w:rsidP="00B433A6">
            <w:pPr>
              <w:ind w:left="0"/>
            </w:pPr>
            <w:r w:rsidRPr="00F56193">
              <w:t>KS ISO 17123-6:2003</w:t>
            </w:r>
          </w:p>
        </w:tc>
        <w:tc>
          <w:tcPr>
            <w:tcW w:w="6502" w:type="dxa"/>
          </w:tcPr>
          <w:p w:rsidR="00B433A6" w:rsidRPr="007F136C" w:rsidRDefault="0018562F" w:rsidP="0018562F">
            <w:pPr>
              <w:ind w:left="0"/>
            </w:pPr>
            <w:bookmarkStart w:id="0" w:name="_GoBack"/>
            <w:bookmarkEnd w:id="0"/>
            <w:r w:rsidRPr="0018562F">
              <w:t>Optics and optical instruments -- Field procedures for testing geodetic and surveying instruments -- Part 6: Rotating lasers</w:t>
            </w:r>
          </w:p>
        </w:tc>
      </w:tr>
      <w:tr w:rsidR="00B433A6" w:rsidRPr="00847D8E" w:rsidTr="0005520B">
        <w:trPr>
          <w:trHeight w:val="300"/>
        </w:trPr>
        <w:tc>
          <w:tcPr>
            <w:tcW w:w="495" w:type="dxa"/>
          </w:tcPr>
          <w:p w:rsidR="00B433A6" w:rsidRDefault="00B433A6" w:rsidP="00B433A6">
            <w:pPr>
              <w:autoSpaceDE w:val="0"/>
              <w:autoSpaceDN w:val="0"/>
              <w:adjustRightInd w:val="0"/>
              <w:ind w:left="0"/>
            </w:pPr>
          </w:p>
        </w:tc>
        <w:tc>
          <w:tcPr>
            <w:tcW w:w="2020" w:type="dxa"/>
          </w:tcPr>
          <w:p w:rsidR="00B433A6" w:rsidRPr="00174882" w:rsidRDefault="00B433A6" w:rsidP="00B433A6">
            <w:pPr>
              <w:ind w:left="0"/>
            </w:pPr>
          </w:p>
        </w:tc>
        <w:tc>
          <w:tcPr>
            <w:tcW w:w="6502" w:type="dxa"/>
          </w:tcPr>
          <w:p w:rsidR="00B433A6" w:rsidRPr="00301122" w:rsidRDefault="00B433A6" w:rsidP="00B433A6">
            <w:pPr>
              <w:ind w:left="0"/>
            </w:pPr>
          </w:p>
        </w:tc>
      </w:tr>
    </w:tbl>
    <w:p w:rsidR="00E44C14" w:rsidRPr="00847D8E" w:rsidRDefault="00E44C14" w:rsidP="0032084E">
      <w:pPr>
        <w:tabs>
          <w:tab w:val="right" w:leader="dot" w:pos="3600"/>
        </w:tabs>
        <w:autoSpaceDE w:val="0"/>
        <w:autoSpaceDN w:val="0"/>
        <w:adjustRightInd w:val="0"/>
        <w:ind w:left="0"/>
        <w:rPr>
          <w:rFonts w:ascii="Times New Roman" w:hAnsi="Times New Roman"/>
          <w:bCs/>
        </w:rPr>
      </w:pPr>
    </w:p>
    <w:sectPr w:rsidR="00E44C14" w:rsidRPr="00847D8E" w:rsidSect="0032084E">
      <w:headerReference w:type="even" r:id="rId7"/>
      <w:headerReference w:type="default" r:id="rId8"/>
      <w:headerReference w:type="first" r:id="rId9"/>
      <w:footerReference w:type="first" r:id="rId10"/>
      <w:pgSz w:w="11907" w:h="16839" w:code="9"/>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0F8" w:rsidRDefault="00CF50F8" w:rsidP="00970449">
      <w:pPr>
        <w:spacing w:after="0"/>
      </w:pPr>
      <w:r>
        <w:separator/>
      </w:r>
    </w:p>
  </w:endnote>
  <w:endnote w:type="continuationSeparator" w:id="0">
    <w:p w:rsidR="00CF50F8" w:rsidRDefault="00CF50F8" w:rsidP="009704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ITC Bookman Demi">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717131" w:rsidRPr="00A748E4">
      <w:trPr>
        <w:cantSplit/>
      </w:trPr>
      <w:tc>
        <w:tcPr>
          <w:tcW w:w="2028" w:type="dxa"/>
        </w:tcPr>
        <w:p w:rsidR="00717131" w:rsidRDefault="00717131" w:rsidP="00717131">
          <w:pPr>
            <w:pStyle w:val="Footer"/>
            <w:rPr>
              <w:rFonts w:ascii="Arial" w:hAnsi="Arial" w:cs="Arial"/>
              <w:sz w:val="20"/>
            </w:rPr>
          </w:pPr>
          <w:r>
            <w:rPr>
              <w:rFonts w:ascii="Arial" w:hAnsi="Arial" w:cs="Arial"/>
              <w:sz w:val="20"/>
            </w:rPr>
            <w:t>Revision</w:t>
          </w:r>
        </w:p>
      </w:tc>
      <w:tc>
        <w:tcPr>
          <w:tcW w:w="480" w:type="dxa"/>
        </w:tcPr>
        <w:p w:rsidR="00717131" w:rsidRDefault="00717131" w:rsidP="00717131">
          <w:pPr>
            <w:pStyle w:val="Footer"/>
            <w:rPr>
              <w:rFonts w:ascii="Arial" w:hAnsi="Arial" w:cs="Arial"/>
              <w:sz w:val="20"/>
            </w:rPr>
          </w:pPr>
          <w:r w:rsidRPr="00C640D9">
            <w:rPr>
              <w:rFonts w:ascii="Arial" w:hAnsi="Arial" w:cs="Arial"/>
              <w:sz w:val="20"/>
            </w:rPr>
            <w:t>0</w:t>
          </w:r>
          <w:r>
            <w:rPr>
              <w:rFonts w:ascii="Arial" w:hAnsi="Arial" w:cs="Arial"/>
              <w:sz w:val="20"/>
            </w:rPr>
            <w:t>1</w:t>
          </w:r>
        </w:p>
      </w:tc>
      <w:tc>
        <w:tcPr>
          <w:tcW w:w="4145" w:type="dxa"/>
        </w:tcPr>
        <w:p w:rsidR="00717131" w:rsidRDefault="00717131" w:rsidP="00717131">
          <w:pPr>
            <w:pStyle w:val="Footer"/>
            <w:rPr>
              <w:rFonts w:ascii="Arial" w:hAnsi="Arial" w:cs="Arial"/>
              <w:sz w:val="20"/>
            </w:rPr>
          </w:pPr>
        </w:p>
      </w:tc>
      <w:tc>
        <w:tcPr>
          <w:tcW w:w="2244" w:type="dxa"/>
        </w:tcPr>
        <w:p w:rsidR="00717131" w:rsidRDefault="00717131" w:rsidP="00717131">
          <w:pPr>
            <w:pStyle w:val="Footer"/>
            <w:rPr>
              <w:rFonts w:ascii="Arial" w:hAnsi="Arial" w:cs="Arial"/>
              <w:sz w:val="20"/>
            </w:rPr>
          </w:pPr>
          <w:r>
            <w:rPr>
              <w:rFonts w:ascii="Arial" w:hAnsi="Arial" w:cs="Arial"/>
              <w:sz w:val="20"/>
            </w:rPr>
            <w:t>Date: 2012-03-08</w:t>
          </w:r>
        </w:p>
      </w:tc>
    </w:tr>
  </w:tbl>
  <w:p w:rsidR="00717131" w:rsidRDefault="007171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0F8" w:rsidRDefault="00CF50F8" w:rsidP="00970449">
      <w:pPr>
        <w:spacing w:after="0"/>
      </w:pPr>
      <w:r>
        <w:separator/>
      </w:r>
    </w:p>
  </w:footnote>
  <w:footnote w:type="continuationSeparator" w:id="0">
    <w:p w:rsidR="00CF50F8" w:rsidRDefault="00CF50F8" w:rsidP="00970449">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131" w:rsidRDefault="00CF50F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77125" o:spid="_x0000_s2049" type="#_x0000_t136" style="position:absolute;margin-left:0;margin-top:0;width:591pt;height:45.45pt;rotation:315;z-index:-251658752;mso-position-horizontal:center;mso-position-horizontal-relative:margin;mso-position-vertical:center;mso-position-vertical-relative:margin" o:allowincell="f" fillcolor="#7030a0" stroked="f">
          <v:fill opacity=".5"/>
          <v:textpath style="font-family:&quot;Times New Roman&quot;;font-size:1pt" string="PROPOSED DRAFT AUGUST 2010"/>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84E" w:rsidRPr="0032084E" w:rsidRDefault="0032084E" w:rsidP="0032084E">
    <w:pPr>
      <w:pStyle w:val="Header"/>
      <w:jc w:val="right"/>
      <w:rPr>
        <w:rFonts w:ascii="Arial" w:hAnsi="Arial" w:cs="Arial"/>
        <w:b/>
        <w:sz w:val="20"/>
        <w:szCs w:val="20"/>
      </w:rPr>
    </w:pPr>
    <w:r w:rsidRPr="0032084E">
      <w:rPr>
        <w:rFonts w:ascii="Arial" w:hAnsi="Arial" w:cs="Arial"/>
        <w:b/>
        <w:sz w:val="20"/>
        <w:szCs w:val="20"/>
      </w:rPr>
      <w:t>STA/SD/OP/05/F1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58"/>
      <w:gridCol w:w="4704"/>
      <w:gridCol w:w="3081"/>
    </w:tblGrid>
    <w:tr w:rsidR="00717131" w:rsidRPr="00A748E4">
      <w:tc>
        <w:tcPr>
          <w:tcW w:w="1458" w:type="dxa"/>
        </w:tcPr>
        <w:p w:rsidR="00717131" w:rsidRDefault="00E424EB" w:rsidP="00717131">
          <w:pPr>
            <w:pStyle w:val="Header"/>
            <w:rPr>
              <w:rFonts w:ascii="Arial" w:hAnsi="Arial" w:cs="Arial"/>
            </w:rPr>
          </w:pPr>
          <w:r>
            <w:rPr>
              <w:rFonts w:ascii="ITC Bookman Demi" w:eastAsia="Batang" w:hAnsi="ITC Bookman Demi" w:cs="Tahoma"/>
              <w:noProof/>
              <w:sz w:val="48"/>
              <w:szCs w:val="48"/>
            </w:rPr>
            <w:drawing>
              <wp:inline distT="0" distB="0" distL="0" distR="0" wp14:anchorId="37795931" wp14:editId="455F7315">
                <wp:extent cx="685800" cy="400050"/>
                <wp:effectExtent l="19050" t="0" r="0" b="0"/>
                <wp:docPr id="1" name="Picture 1" descr="New KEB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KEBS Logo1"/>
                        <pic:cNvPicPr>
                          <a:picLocks noChangeAspect="1" noChangeArrowheads="1"/>
                        </pic:cNvPicPr>
                      </pic:nvPicPr>
                      <pic:blipFill>
                        <a:blip r:embed="rId1"/>
                        <a:srcRect/>
                        <a:stretch>
                          <a:fillRect/>
                        </a:stretch>
                      </pic:blipFill>
                      <pic:spPr bwMode="auto">
                        <a:xfrm>
                          <a:off x="0" y="0"/>
                          <a:ext cx="685800" cy="400050"/>
                        </a:xfrm>
                        <a:prstGeom prst="rect">
                          <a:avLst/>
                        </a:prstGeom>
                        <a:noFill/>
                        <a:ln w="9525">
                          <a:noFill/>
                          <a:miter lim="800000"/>
                          <a:headEnd/>
                          <a:tailEnd/>
                        </a:ln>
                      </pic:spPr>
                    </pic:pic>
                  </a:graphicData>
                </a:graphic>
              </wp:inline>
            </w:drawing>
          </w:r>
        </w:p>
      </w:tc>
      <w:tc>
        <w:tcPr>
          <w:tcW w:w="4705" w:type="dxa"/>
        </w:tcPr>
        <w:p w:rsidR="00717131" w:rsidRDefault="00717131" w:rsidP="00717131">
          <w:pPr>
            <w:pStyle w:val="Header"/>
            <w:rPr>
              <w:rFonts w:ascii="Arial" w:hAnsi="Arial" w:cs="Arial"/>
              <w:b/>
              <w:bCs/>
              <w:sz w:val="20"/>
              <w:szCs w:val="20"/>
            </w:rPr>
          </w:pPr>
          <w:r>
            <w:rPr>
              <w:rFonts w:ascii="Arial" w:hAnsi="Arial" w:cs="Arial"/>
              <w:b/>
              <w:bCs/>
              <w:sz w:val="20"/>
              <w:szCs w:val="20"/>
            </w:rPr>
            <w:t>STANDARDS DEVELOPMENT PROCEDURE</w:t>
          </w:r>
        </w:p>
        <w:p w:rsidR="00717131" w:rsidRDefault="00717131" w:rsidP="00717131">
          <w:pPr>
            <w:pStyle w:val="Header"/>
            <w:jc w:val="center"/>
            <w:rPr>
              <w:rFonts w:ascii="Arial" w:hAnsi="Arial" w:cs="Arial"/>
            </w:rPr>
          </w:pPr>
        </w:p>
      </w:tc>
      <w:tc>
        <w:tcPr>
          <w:tcW w:w="3082" w:type="dxa"/>
        </w:tcPr>
        <w:p w:rsidR="00717131" w:rsidRDefault="00717131" w:rsidP="00717131">
          <w:pPr>
            <w:pStyle w:val="Header"/>
            <w:rPr>
              <w:rFonts w:ascii="Arial" w:hAnsi="Arial" w:cs="Arial"/>
            </w:rPr>
          </w:pPr>
          <w:r>
            <w:rPr>
              <w:rFonts w:ascii="Arial" w:hAnsi="Arial" w:cs="Arial"/>
              <w:b/>
              <w:color w:val="000000"/>
              <w:sz w:val="20"/>
              <w:szCs w:val="20"/>
            </w:rPr>
            <w:t>STA/SDV/OP/05</w:t>
          </w:r>
        </w:p>
      </w:tc>
    </w:tr>
    <w:tr w:rsidR="00717131" w:rsidRPr="00A748E4">
      <w:tc>
        <w:tcPr>
          <w:tcW w:w="1458" w:type="dxa"/>
        </w:tcPr>
        <w:p w:rsidR="00717131" w:rsidRDefault="00717131" w:rsidP="00717131">
          <w:pPr>
            <w:pStyle w:val="Header"/>
            <w:rPr>
              <w:rFonts w:ascii="Arial" w:hAnsi="Arial" w:cs="Arial"/>
            </w:rPr>
          </w:pPr>
          <w:r>
            <w:rPr>
              <w:rFonts w:ascii="Arial" w:hAnsi="Arial" w:cs="Arial"/>
            </w:rPr>
            <w:t>Title:</w:t>
          </w:r>
        </w:p>
      </w:tc>
      <w:tc>
        <w:tcPr>
          <w:tcW w:w="4705" w:type="dxa"/>
        </w:tcPr>
        <w:p w:rsidR="00717131" w:rsidRDefault="00717131" w:rsidP="00717131">
          <w:pPr>
            <w:pStyle w:val="Header"/>
            <w:rPr>
              <w:rFonts w:ascii="Arial" w:hAnsi="Arial" w:cs="Arial"/>
            </w:rPr>
          </w:pPr>
          <w:r>
            <w:rPr>
              <w:rFonts w:ascii="Arial" w:hAnsi="Arial" w:cs="Arial"/>
              <w:b/>
              <w:bCs/>
              <w:sz w:val="20"/>
            </w:rPr>
            <w:t xml:space="preserve"> Review of Kenya Standards </w:t>
          </w:r>
        </w:p>
      </w:tc>
      <w:tc>
        <w:tcPr>
          <w:tcW w:w="3082" w:type="dxa"/>
        </w:tcPr>
        <w:p w:rsidR="00717131" w:rsidRPr="00FF25C7" w:rsidRDefault="00717131" w:rsidP="00717131">
          <w:pPr>
            <w:pStyle w:val="Header"/>
            <w:rPr>
              <w:rFonts w:ascii="Arial" w:hAnsi="Arial" w:cs="Arial"/>
              <w:sz w:val="20"/>
              <w:szCs w:val="20"/>
            </w:rPr>
          </w:pPr>
          <w:r w:rsidRPr="00FF25C7">
            <w:rPr>
              <w:rFonts w:ascii="Arial" w:hAnsi="Arial" w:cs="Arial"/>
              <w:sz w:val="20"/>
              <w:szCs w:val="20"/>
            </w:rPr>
            <w:t xml:space="preserve">Page </w:t>
          </w:r>
          <w:r w:rsidRPr="00A729B6">
            <w:rPr>
              <w:rStyle w:val="PageNumber"/>
            </w:rPr>
            <w:fldChar w:fldCharType="begin"/>
          </w:r>
          <w:r w:rsidRPr="00A729B6">
            <w:rPr>
              <w:rStyle w:val="PageNumber"/>
            </w:rPr>
            <w:instrText xml:space="preserve"> PAGE </w:instrText>
          </w:r>
          <w:r w:rsidRPr="00A729B6">
            <w:rPr>
              <w:rStyle w:val="PageNumber"/>
            </w:rPr>
            <w:fldChar w:fldCharType="separate"/>
          </w:r>
          <w:r>
            <w:rPr>
              <w:rStyle w:val="PageNumber"/>
              <w:noProof/>
            </w:rPr>
            <w:t>1</w:t>
          </w:r>
          <w:r w:rsidRPr="00A729B6">
            <w:rPr>
              <w:rStyle w:val="PageNumber"/>
            </w:rPr>
            <w:fldChar w:fldCharType="end"/>
          </w:r>
          <w:r w:rsidRPr="00FF25C7">
            <w:rPr>
              <w:rStyle w:val="PageNumber"/>
            </w:rPr>
            <w:t xml:space="preserve"> of </w:t>
          </w:r>
          <w:r w:rsidR="00CF50F8">
            <w:fldChar w:fldCharType="begin"/>
          </w:r>
          <w:r w:rsidR="00CF50F8">
            <w:instrText xml:space="preserve"> NUMPAGES   \* MERGEFORMAT </w:instrText>
          </w:r>
          <w:r w:rsidR="00CF50F8">
            <w:fldChar w:fldCharType="separate"/>
          </w:r>
          <w:r>
            <w:rPr>
              <w:rStyle w:val="PageNumber"/>
              <w:noProof/>
            </w:rPr>
            <w:t>15</w:t>
          </w:r>
          <w:r w:rsidR="00CF50F8">
            <w:rPr>
              <w:rStyle w:val="PageNumber"/>
              <w:noProof/>
            </w:rPr>
            <w:fldChar w:fldCharType="end"/>
          </w:r>
        </w:p>
      </w:tc>
    </w:tr>
  </w:tbl>
  <w:p w:rsidR="00717131" w:rsidRDefault="0071713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76A"/>
    <w:multiLevelType w:val="multilevel"/>
    <w:tmpl w:val="EDA0C0DC"/>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15:restartNumberingAfterBreak="0">
    <w:nsid w:val="09815966"/>
    <w:multiLevelType w:val="multilevel"/>
    <w:tmpl w:val="87007FF2"/>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990"/>
        </w:tabs>
        <w:ind w:left="99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3C21216"/>
    <w:multiLevelType w:val="hybridMultilevel"/>
    <w:tmpl w:val="CC1006B0"/>
    <w:lvl w:ilvl="0" w:tplc="231EB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D7EBA"/>
    <w:multiLevelType w:val="hybridMultilevel"/>
    <w:tmpl w:val="DFB266EE"/>
    <w:lvl w:ilvl="0" w:tplc="AB740640">
      <w:start w:val="1"/>
      <w:numFmt w:val="lowerLetter"/>
      <w:lvlText w:val="(%1)"/>
      <w:lvlJc w:val="left"/>
      <w:pPr>
        <w:tabs>
          <w:tab w:val="num" w:pos="1080"/>
        </w:tabs>
        <w:ind w:left="1080" w:hanging="360"/>
      </w:pPr>
      <w:rPr>
        <w:rFonts w:hint="default"/>
        <w:b/>
        <w:i/>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3EC71B6F"/>
    <w:multiLevelType w:val="hybridMultilevel"/>
    <w:tmpl w:val="14A45408"/>
    <w:lvl w:ilvl="0" w:tplc="A4FA8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903CF3"/>
    <w:multiLevelType w:val="hybridMultilevel"/>
    <w:tmpl w:val="A8903B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547E95"/>
    <w:multiLevelType w:val="hybridMultilevel"/>
    <w:tmpl w:val="DD3E3E9E"/>
    <w:lvl w:ilvl="0" w:tplc="DEECC7C2">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F87183"/>
    <w:multiLevelType w:val="hybridMultilevel"/>
    <w:tmpl w:val="EC24D6E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9"/>
  </w:num>
  <w:num w:numId="3">
    <w:abstractNumId w:val="2"/>
  </w:num>
  <w:num w:numId="4">
    <w:abstractNumId w:val="8"/>
  </w:num>
  <w:num w:numId="5">
    <w:abstractNumId w:val="9"/>
    <w:lvlOverride w:ilvl="0">
      <w:startOverride w:val="6"/>
    </w:lvlOverride>
  </w:num>
  <w:num w:numId="6">
    <w:abstractNumId w:val="5"/>
  </w:num>
  <w:num w:numId="7">
    <w:abstractNumId w:val="7"/>
  </w:num>
  <w:num w:numId="8">
    <w:abstractNumId w:val="4"/>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E4"/>
    <w:rsid w:val="00011EA4"/>
    <w:rsid w:val="0005520B"/>
    <w:rsid w:val="00055BE5"/>
    <w:rsid w:val="000B457D"/>
    <w:rsid w:val="001130C0"/>
    <w:rsid w:val="00121A55"/>
    <w:rsid w:val="001348CC"/>
    <w:rsid w:val="00144105"/>
    <w:rsid w:val="0018562F"/>
    <w:rsid w:val="001B196F"/>
    <w:rsid w:val="001C2C46"/>
    <w:rsid w:val="001F1243"/>
    <w:rsid w:val="002D5E00"/>
    <w:rsid w:val="00301122"/>
    <w:rsid w:val="00306B86"/>
    <w:rsid w:val="0032084E"/>
    <w:rsid w:val="003818C7"/>
    <w:rsid w:val="00392542"/>
    <w:rsid w:val="00393B45"/>
    <w:rsid w:val="003D0717"/>
    <w:rsid w:val="003D113F"/>
    <w:rsid w:val="0041472A"/>
    <w:rsid w:val="00472B3B"/>
    <w:rsid w:val="00482297"/>
    <w:rsid w:val="004912EA"/>
    <w:rsid w:val="004E6763"/>
    <w:rsid w:val="00531C3E"/>
    <w:rsid w:val="00557206"/>
    <w:rsid w:val="005A201E"/>
    <w:rsid w:val="005E5A3B"/>
    <w:rsid w:val="005F4D0F"/>
    <w:rsid w:val="0061313A"/>
    <w:rsid w:val="0065367A"/>
    <w:rsid w:val="006871C1"/>
    <w:rsid w:val="006D1B6A"/>
    <w:rsid w:val="006F4923"/>
    <w:rsid w:val="006F761C"/>
    <w:rsid w:val="00715F3B"/>
    <w:rsid w:val="00717131"/>
    <w:rsid w:val="00763AE4"/>
    <w:rsid w:val="00767C19"/>
    <w:rsid w:val="00772318"/>
    <w:rsid w:val="007913DD"/>
    <w:rsid w:val="007C2847"/>
    <w:rsid w:val="007F063A"/>
    <w:rsid w:val="00827BB9"/>
    <w:rsid w:val="00841598"/>
    <w:rsid w:val="00847D8E"/>
    <w:rsid w:val="00882DDE"/>
    <w:rsid w:val="00907C89"/>
    <w:rsid w:val="00970449"/>
    <w:rsid w:val="00980EA5"/>
    <w:rsid w:val="009C370F"/>
    <w:rsid w:val="009C7CE4"/>
    <w:rsid w:val="00A269D6"/>
    <w:rsid w:val="00A748E4"/>
    <w:rsid w:val="00A77213"/>
    <w:rsid w:val="00A82B43"/>
    <w:rsid w:val="00AA3CBC"/>
    <w:rsid w:val="00AA570C"/>
    <w:rsid w:val="00B0108E"/>
    <w:rsid w:val="00B433A6"/>
    <w:rsid w:val="00B463D0"/>
    <w:rsid w:val="00B72274"/>
    <w:rsid w:val="00BA6F2A"/>
    <w:rsid w:val="00BC2555"/>
    <w:rsid w:val="00BC39EE"/>
    <w:rsid w:val="00BC448F"/>
    <w:rsid w:val="00BE0AAD"/>
    <w:rsid w:val="00C42954"/>
    <w:rsid w:val="00C461D2"/>
    <w:rsid w:val="00C70FF6"/>
    <w:rsid w:val="00C8121C"/>
    <w:rsid w:val="00CB3DC5"/>
    <w:rsid w:val="00CB77A0"/>
    <w:rsid w:val="00CF50F8"/>
    <w:rsid w:val="00D33D28"/>
    <w:rsid w:val="00D83AA9"/>
    <w:rsid w:val="00DC3C38"/>
    <w:rsid w:val="00E06EAF"/>
    <w:rsid w:val="00E424EB"/>
    <w:rsid w:val="00E44C14"/>
    <w:rsid w:val="00EB62D8"/>
    <w:rsid w:val="00F4710C"/>
    <w:rsid w:val="00F51F97"/>
    <w:rsid w:val="00F64F38"/>
    <w:rsid w:val="00F8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35ADB0"/>
  <w15:docId w15:val="{0CC8B0CE-F858-45E7-BEFC-8AC72E08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39EE"/>
    <w:pPr>
      <w:spacing w:after="60"/>
      <w:ind w:left="720"/>
      <w:jc w:val="both"/>
    </w:pPr>
    <w:rPr>
      <w:sz w:val="22"/>
      <w:szCs w:val="22"/>
    </w:rPr>
  </w:style>
  <w:style w:type="paragraph" w:styleId="Heading1">
    <w:name w:val="heading 1"/>
    <w:basedOn w:val="Normal"/>
    <w:next w:val="Normal"/>
    <w:link w:val="Heading1Char"/>
    <w:qFormat/>
    <w:rsid w:val="00A748E4"/>
    <w:pPr>
      <w:keepNext/>
      <w:autoSpaceDE w:val="0"/>
      <w:autoSpaceDN w:val="0"/>
      <w:adjustRightInd w:val="0"/>
      <w:spacing w:after="0"/>
      <w:ind w:left="0"/>
      <w:jc w:val="left"/>
      <w:outlineLvl w:val="0"/>
    </w:pPr>
    <w:rPr>
      <w:rFonts w:ascii="Arial" w:eastAsia="Times New Roman" w:hAnsi="Arial" w:cs="Arial"/>
      <w:b/>
      <w:bCs/>
      <w:color w:val="000000"/>
      <w:sz w:val="20"/>
      <w:szCs w:val="20"/>
      <w:u w:val="single"/>
    </w:rPr>
  </w:style>
  <w:style w:type="paragraph" w:styleId="Heading2">
    <w:name w:val="heading 2"/>
    <w:basedOn w:val="Normal"/>
    <w:next w:val="Normal"/>
    <w:link w:val="Heading2Char"/>
    <w:qFormat/>
    <w:rsid w:val="00A748E4"/>
    <w:pPr>
      <w:keepNext/>
      <w:spacing w:after="0"/>
      <w:ind w:left="0"/>
      <w:jc w:val="center"/>
      <w:outlineLvl w:val="1"/>
    </w:pPr>
    <w:rPr>
      <w:rFonts w:ascii="Arial" w:eastAsia="Times New Roman" w:hAnsi="Arial" w:cs="Arial"/>
      <w:b/>
      <w:bCs/>
      <w:sz w:val="24"/>
      <w:szCs w:val="24"/>
    </w:rPr>
  </w:style>
  <w:style w:type="paragraph" w:styleId="Heading3">
    <w:name w:val="heading 3"/>
    <w:basedOn w:val="Normal"/>
    <w:next w:val="Normal"/>
    <w:link w:val="Heading3Char"/>
    <w:qFormat/>
    <w:rsid w:val="00A748E4"/>
    <w:pPr>
      <w:keepNext/>
      <w:spacing w:after="0"/>
      <w:ind w:left="0"/>
      <w:jc w:val="left"/>
      <w:outlineLvl w:val="2"/>
    </w:pPr>
    <w:rPr>
      <w:rFonts w:ascii="Arial" w:eastAsia="Times New Roman" w:hAnsi="Arial" w:cs="Arial"/>
      <w:b/>
      <w:bCs/>
      <w:sz w:val="24"/>
      <w:szCs w:val="24"/>
    </w:rPr>
  </w:style>
  <w:style w:type="paragraph" w:styleId="Heading4">
    <w:name w:val="heading 4"/>
    <w:basedOn w:val="Normal"/>
    <w:next w:val="Normal"/>
    <w:link w:val="Heading4Char"/>
    <w:qFormat/>
    <w:rsid w:val="00A748E4"/>
    <w:pPr>
      <w:keepNext/>
      <w:spacing w:after="0" w:line="480" w:lineRule="auto"/>
      <w:ind w:left="0"/>
      <w:jc w:val="left"/>
      <w:outlineLvl w:val="3"/>
    </w:pPr>
    <w:rPr>
      <w:rFonts w:ascii="Arial" w:eastAsia="Times New Roman" w:hAnsi="Arial" w:cs="Arial"/>
      <w:b/>
      <w:bCs/>
      <w:sz w:val="20"/>
      <w:szCs w:val="24"/>
    </w:rPr>
  </w:style>
  <w:style w:type="paragraph" w:styleId="Heading5">
    <w:name w:val="heading 5"/>
    <w:basedOn w:val="Normal"/>
    <w:next w:val="Normal"/>
    <w:link w:val="Heading5Char"/>
    <w:qFormat/>
    <w:rsid w:val="00A748E4"/>
    <w:pPr>
      <w:keepNext/>
      <w:spacing w:after="100" w:afterAutospacing="1" w:line="360" w:lineRule="auto"/>
      <w:ind w:left="0"/>
      <w:jc w:val="left"/>
      <w:outlineLvl w:val="4"/>
    </w:pPr>
    <w:rPr>
      <w:rFonts w:ascii="Arial" w:eastAsia="Times New Roman" w:hAnsi="Arial" w:cs="Arial"/>
      <w:b/>
      <w:color w:val="000000"/>
      <w:sz w:val="20"/>
      <w:szCs w:val="20"/>
    </w:rPr>
  </w:style>
  <w:style w:type="paragraph" w:styleId="Heading6">
    <w:name w:val="heading 6"/>
    <w:basedOn w:val="Normal"/>
    <w:next w:val="Normal"/>
    <w:link w:val="Heading6Char"/>
    <w:qFormat/>
    <w:rsid w:val="00A748E4"/>
    <w:pPr>
      <w:keepNext/>
      <w:spacing w:after="0" w:line="360" w:lineRule="auto"/>
      <w:ind w:left="374"/>
      <w:jc w:val="left"/>
      <w:outlineLvl w:val="5"/>
    </w:pPr>
    <w:rPr>
      <w:rFonts w:ascii="Arial" w:eastAsia="Times New Roman" w:hAnsi="Arial" w:cs="Arial"/>
      <w:b/>
      <w:color w:val="000000"/>
      <w:sz w:val="20"/>
      <w:szCs w:val="24"/>
    </w:rPr>
  </w:style>
  <w:style w:type="paragraph" w:styleId="Heading7">
    <w:name w:val="heading 7"/>
    <w:basedOn w:val="Normal"/>
    <w:next w:val="Normal"/>
    <w:link w:val="Heading7Char"/>
    <w:qFormat/>
    <w:rsid w:val="00A748E4"/>
    <w:pPr>
      <w:keepNext/>
      <w:autoSpaceDE w:val="0"/>
      <w:autoSpaceDN w:val="0"/>
      <w:adjustRightInd w:val="0"/>
      <w:spacing w:after="0"/>
      <w:ind w:left="0"/>
      <w:jc w:val="left"/>
      <w:outlineLvl w:val="6"/>
    </w:pPr>
    <w:rPr>
      <w:rFonts w:ascii="Arial" w:eastAsia="Times New Roman" w:hAnsi="Arial" w:cs="Arial"/>
      <w:b/>
      <w:bCs/>
      <w:color w:val="000000"/>
      <w:sz w:val="32"/>
      <w:szCs w:val="20"/>
    </w:rPr>
  </w:style>
  <w:style w:type="paragraph" w:styleId="Heading8">
    <w:name w:val="heading 8"/>
    <w:basedOn w:val="Normal"/>
    <w:next w:val="Normal"/>
    <w:link w:val="Heading8Char"/>
    <w:qFormat/>
    <w:rsid w:val="00A748E4"/>
    <w:pPr>
      <w:keepNext/>
      <w:autoSpaceDE w:val="0"/>
      <w:autoSpaceDN w:val="0"/>
      <w:adjustRightInd w:val="0"/>
      <w:spacing w:after="0"/>
      <w:ind w:left="2160" w:firstLine="720"/>
      <w:jc w:val="left"/>
      <w:outlineLvl w:val="7"/>
    </w:pPr>
    <w:rPr>
      <w:rFonts w:ascii="Arial" w:eastAsia="Times New Roman" w:hAnsi="Arial" w:cs="Arial"/>
      <w:b/>
      <w:bCs/>
      <w:color w:val="000000"/>
      <w:sz w:val="20"/>
      <w:szCs w:val="20"/>
    </w:rPr>
  </w:style>
  <w:style w:type="paragraph" w:styleId="Heading9">
    <w:name w:val="heading 9"/>
    <w:basedOn w:val="Normal"/>
    <w:next w:val="Normal"/>
    <w:link w:val="Heading9Char"/>
    <w:qFormat/>
    <w:rsid w:val="00A748E4"/>
    <w:pPr>
      <w:keepNext/>
      <w:tabs>
        <w:tab w:val="left" w:pos="6840"/>
      </w:tabs>
      <w:spacing w:after="0"/>
      <w:ind w:left="1080"/>
      <w:jc w:val="left"/>
      <w:outlineLvl w:val="8"/>
    </w:pPr>
    <w:rPr>
      <w:rFonts w:ascii="Arial" w:eastAsia="Times New Roman" w:hAnsi="Arial" w:cs="Arial"/>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055BE5"/>
    <w:pPr>
      <w:tabs>
        <w:tab w:val="left" w:pos="720"/>
      </w:tabs>
    </w:pPr>
    <w:rPr>
      <w:rFonts w:ascii="Arial" w:eastAsia="Times New Roman" w:hAnsi="Arial"/>
      <w:sz w:val="20"/>
      <w:szCs w:val="20"/>
      <w:lang w:val="en-GB"/>
    </w:rPr>
  </w:style>
  <w:style w:type="paragraph" w:styleId="TOC3">
    <w:name w:val="toc 3"/>
    <w:basedOn w:val="Normal"/>
    <w:next w:val="Normal"/>
    <w:autoRedefine/>
    <w:uiPriority w:val="39"/>
    <w:unhideWhenUsed/>
    <w:rsid w:val="00055BE5"/>
    <w:pPr>
      <w:tabs>
        <w:tab w:val="left" w:pos="450"/>
        <w:tab w:val="left" w:pos="1620"/>
        <w:tab w:val="right" w:leader="dot" w:pos="9619"/>
      </w:tabs>
      <w:ind w:left="900"/>
    </w:pPr>
    <w:rPr>
      <w:rFonts w:ascii="Arial" w:eastAsia="Times New Roman" w:hAnsi="Arial"/>
      <w:sz w:val="20"/>
      <w:szCs w:val="20"/>
      <w:lang w:val="en-GB"/>
    </w:rPr>
  </w:style>
  <w:style w:type="character" w:customStyle="1" w:styleId="Heading1Char">
    <w:name w:val="Heading 1 Char"/>
    <w:basedOn w:val="DefaultParagraphFont"/>
    <w:link w:val="Heading1"/>
    <w:rsid w:val="00A748E4"/>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A748E4"/>
    <w:rPr>
      <w:rFonts w:ascii="Arial" w:eastAsia="Times New Roman" w:hAnsi="Arial" w:cs="Arial"/>
      <w:b/>
      <w:bCs/>
      <w:sz w:val="24"/>
      <w:szCs w:val="24"/>
    </w:rPr>
  </w:style>
  <w:style w:type="character" w:customStyle="1" w:styleId="Heading3Char">
    <w:name w:val="Heading 3 Char"/>
    <w:basedOn w:val="DefaultParagraphFont"/>
    <w:link w:val="Heading3"/>
    <w:rsid w:val="00A748E4"/>
    <w:rPr>
      <w:rFonts w:ascii="Arial" w:eastAsia="Times New Roman" w:hAnsi="Arial" w:cs="Arial"/>
      <w:b/>
      <w:bCs/>
      <w:sz w:val="24"/>
      <w:szCs w:val="24"/>
    </w:rPr>
  </w:style>
  <w:style w:type="character" w:customStyle="1" w:styleId="Heading4Char">
    <w:name w:val="Heading 4 Char"/>
    <w:basedOn w:val="DefaultParagraphFont"/>
    <w:link w:val="Heading4"/>
    <w:rsid w:val="00A748E4"/>
    <w:rPr>
      <w:rFonts w:ascii="Arial" w:eastAsia="Times New Roman" w:hAnsi="Arial" w:cs="Arial"/>
      <w:b/>
      <w:bCs/>
      <w:sz w:val="20"/>
      <w:szCs w:val="24"/>
    </w:rPr>
  </w:style>
  <w:style w:type="character" w:customStyle="1" w:styleId="Heading5Char">
    <w:name w:val="Heading 5 Char"/>
    <w:basedOn w:val="DefaultParagraphFont"/>
    <w:link w:val="Heading5"/>
    <w:rsid w:val="00A748E4"/>
    <w:rPr>
      <w:rFonts w:ascii="Arial" w:eastAsia="Times New Roman" w:hAnsi="Arial" w:cs="Arial"/>
      <w:b/>
      <w:color w:val="000000"/>
      <w:sz w:val="20"/>
      <w:szCs w:val="20"/>
    </w:rPr>
  </w:style>
  <w:style w:type="character" w:customStyle="1" w:styleId="Heading6Char">
    <w:name w:val="Heading 6 Char"/>
    <w:basedOn w:val="DefaultParagraphFont"/>
    <w:link w:val="Heading6"/>
    <w:rsid w:val="00A748E4"/>
    <w:rPr>
      <w:rFonts w:ascii="Arial" w:eastAsia="Times New Roman" w:hAnsi="Arial" w:cs="Arial"/>
      <w:b/>
      <w:color w:val="000000"/>
      <w:sz w:val="20"/>
      <w:szCs w:val="24"/>
    </w:rPr>
  </w:style>
  <w:style w:type="character" w:customStyle="1" w:styleId="Heading7Char">
    <w:name w:val="Heading 7 Char"/>
    <w:basedOn w:val="DefaultParagraphFont"/>
    <w:link w:val="Heading7"/>
    <w:rsid w:val="00A748E4"/>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A748E4"/>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A748E4"/>
    <w:rPr>
      <w:rFonts w:ascii="Arial" w:eastAsia="Times New Roman" w:hAnsi="Arial" w:cs="Arial"/>
      <w:b/>
      <w:bCs/>
      <w:sz w:val="20"/>
      <w:szCs w:val="24"/>
      <w:u w:val="single"/>
    </w:rPr>
  </w:style>
  <w:style w:type="paragraph" w:styleId="Header">
    <w:name w:val="header"/>
    <w:basedOn w:val="Normal"/>
    <w:link w:val="Head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HeaderChar">
    <w:name w:val="Header Char"/>
    <w:basedOn w:val="DefaultParagraphFont"/>
    <w:link w:val="Header"/>
    <w:rsid w:val="00A748E4"/>
    <w:rPr>
      <w:rFonts w:ascii="Times New Roman" w:eastAsia="Times New Roman" w:hAnsi="Times New Roman" w:cs="Times New Roman"/>
      <w:sz w:val="24"/>
      <w:szCs w:val="24"/>
    </w:rPr>
  </w:style>
  <w:style w:type="paragraph" w:styleId="Footer">
    <w:name w:val="footer"/>
    <w:basedOn w:val="Normal"/>
    <w:link w:val="FooterChar"/>
    <w:rsid w:val="00A748E4"/>
    <w:pPr>
      <w:tabs>
        <w:tab w:val="center" w:pos="4320"/>
        <w:tab w:val="right" w:pos="8640"/>
      </w:tabs>
      <w:spacing w:after="0"/>
      <w:ind w:left="0"/>
      <w:jc w:val="left"/>
    </w:pPr>
    <w:rPr>
      <w:rFonts w:ascii="Times New Roman" w:eastAsia="Times New Roman" w:hAnsi="Times New Roman"/>
      <w:sz w:val="24"/>
      <w:szCs w:val="24"/>
    </w:rPr>
  </w:style>
  <w:style w:type="character" w:customStyle="1" w:styleId="FooterChar">
    <w:name w:val="Footer Char"/>
    <w:basedOn w:val="DefaultParagraphFont"/>
    <w:link w:val="Footer"/>
    <w:rsid w:val="00A748E4"/>
    <w:rPr>
      <w:rFonts w:ascii="Times New Roman" w:eastAsia="Times New Roman" w:hAnsi="Times New Roman" w:cs="Times New Roman"/>
      <w:sz w:val="24"/>
      <w:szCs w:val="24"/>
    </w:rPr>
  </w:style>
  <w:style w:type="character" w:styleId="PageNumber">
    <w:name w:val="page number"/>
    <w:basedOn w:val="DefaultParagraphFont"/>
    <w:rsid w:val="00A748E4"/>
  </w:style>
  <w:style w:type="paragraph" w:styleId="BodyTextIndent2">
    <w:name w:val="Body Text Indent 2"/>
    <w:basedOn w:val="Normal"/>
    <w:link w:val="BodyTextIndent2Char"/>
    <w:rsid w:val="00A748E4"/>
    <w:pPr>
      <w:tabs>
        <w:tab w:val="left" w:pos="1080"/>
      </w:tabs>
      <w:autoSpaceDE w:val="0"/>
      <w:autoSpaceDN w:val="0"/>
      <w:adjustRightInd w:val="0"/>
      <w:spacing w:after="0"/>
      <w:ind w:left="1080" w:hanging="1080"/>
      <w:jc w:val="left"/>
    </w:pPr>
    <w:rPr>
      <w:rFonts w:ascii="Arial" w:eastAsia="Times New Roman" w:hAnsi="Arial" w:cs="Arial"/>
    </w:rPr>
  </w:style>
  <w:style w:type="character" w:customStyle="1" w:styleId="BodyTextIndent2Char">
    <w:name w:val="Body Text Indent 2 Char"/>
    <w:basedOn w:val="DefaultParagraphFont"/>
    <w:link w:val="BodyTextIndent2"/>
    <w:rsid w:val="00A748E4"/>
    <w:rPr>
      <w:rFonts w:ascii="Arial" w:eastAsia="Times New Roman" w:hAnsi="Arial" w:cs="Arial"/>
    </w:rPr>
  </w:style>
  <w:style w:type="paragraph" w:styleId="BodyTextIndent">
    <w:name w:val="Body Text Indent"/>
    <w:basedOn w:val="Normal"/>
    <w:link w:val="BodyTextIndentChar"/>
    <w:rsid w:val="00A748E4"/>
    <w:pPr>
      <w:autoSpaceDE w:val="0"/>
      <w:autoSpaceDN w:val="0"/>
      <w:adjustRightInd w:val="0"/>
      <w:spacing w:after="0"/>
      <w:ind w:left="1080"/>
      <w:jc w:val="left"/>
    </w:pPr>
    <w:rPr>
      <w:rFonts w:ascii="Arial" w:eastAsia="Times New Roman" w:hAnsi="Arial" w:cs="Arial"/>
    </w:rPr>
  </w:style>
  <w:style w:type="character" w:customStyle="1" w:styleId="BodyTextIndentChar">
    <w:name w:val="Body Text Indent Char"/>
    <w:basedOn w:val="DefaultParagraphFont"/>
    <w:link w:val="BodyTextIndent"/>
    <w:rsid w:val="00A748E4"/>
    <w:rPr>
      <w:rFonts w:ascii="Arial" w:eastAsia="Times New Roman" w:hAnsi="Arial" w:cs="Arial"/>
    </w:rPr>
  </w:style>
  <w:style w:type="paragraph" w:styleId="BodyTextIndent3">
    <w:name w:val="Body Text Indent 3"/>
    <w:basedOn w:val="Normal"/>
    <w:link w:val="BodyTextIndent3Char"/>
    <w:rsid w:val="00A748E4"/>
    <w:pPr>
      <w:autoSpaceDE w:val="0"/>
      <w:autoSpaceDN w:val="0"/>
      <w:adjustRightInd w:val="0"/>
      <w:spacing w:after="0"/>
      <w:ind w:hanging="720"/>
      <w:jc w:val="left"/>
    </w:pPr>
    <w:rPr>
      <w:rFonts w:ascii="Arial" w:eastAsia="Times New Roman" w:hAnsi="Arial" w:cs="Arial"/>
    </w:rPr>
  </w:style>
  <w:style w:type="character" w:customStyle="1" w:styleId="BodyTextIndent3Char">
    <w:name w:val="Body Text Indent 3 Char"/>
    <w:basedOn w:val="DefaultParagraphFont"/>
    <w:link w:val="BodyTextIndent3"/>
    <w:rsid w:val="00A748E4"/>
    <w:rPr>
      <w:rFonts w:ascii="Arial" w:eastAsia="Times New Roman" w:hAnsi="Arial" w:cs="Arial"/>
    </w:rPr>
  </w:style>
  <w:style w:type="paragraph" w:styleId="BodyText">
    <w:name w:val="Body Text"/>
    <w:basedOn w:val="Normal"/>
    <w:link w:val="BodyTextChar"/>
    <w:rsid w:val="00A748E4"/>
    <w:pPr>
      <w:autoSpaceDE w:val="0"/>
      <w:autoSpaceDN w:val="0"/>
      <w:adjustRightInd w:val="0"/>
      <w:spacing w:after="0"/>
      <w:ind w:left="0"/>
      <w:jc w:val="left"/>
    </w:pPr>
    <w:rPr>
      <w:rFonts w:ascii="Arial" w:eastAsia="Times New Roman" w:hAnsi="Arial" w:cs="Arial"/>
    </w:rPr>
  </w:style>
  <w:style w:type="character" w:customStyle="1" w:styleId="BodyTextChar">
    <w:name w:val="Body Text Char"/>
    <w:basedOn w:val="DefaultParagraphFont"/>
    <w:link w:val="BodyText"/>
    <w:rsid w:val="00A748E4"/>
    <w:rPr>
      <w:rFonts w:ascii="Arial" w:eastAsia="Times New Roman" w:hAnsi="Arial" w:cs="Arial"/>
    </w:rPr>
  </w:style>
  <w:style w:type="paragraph" w:styleId="BlockText">
    <w:name w:val="Block Text"/>
    <w:basedOn w:val="Normal"/>
    <w:rsid w:val="00A748E4"/>
    <w:pPr>
      <w:autoSpaceDE w:val="0"/>
      <w:autoSpaceDN w:val="0"/>
      <w:adjustRightInd w:val="0"/>
      <w:spacing w:after="0"/>
      <w:ind w:left="2160" w:hanging="2160"/>
      <w:jc w:val="left"/>
    </w:pPr>
    <w:rPr>
      <w:rFonts w:ascii="Arial" w:eastAsia="Times New Roman" w:hAnsi="Arial" w:cs="Arial"/>
    </w:rPr>
  </w:style>
  <w:style w:type="paragraph" w:styleId="BodyText2">
    <w:name w:val="Body Text 2"/>
    <w:basedOn w:val="Normal"/>
    <w:link w:val="BodyText2Char"/>
    <w:rsid w:val="00A748E4"/>
    <w:pPr>
      <w:autoSpaceDE w:val="0"/>
      <w:autoSpaceDN w:val="0"/>
      <w:adjustRightInd w:val="0"/>
      <w:spacing w:after="0" w:line="180" w:lineRule="atLeast"/>
      <w:ind w:left="0"/>
      <w:jc w:val="left"/>
    </w:pPr>
    <w:rPr>
      <w:rFonts w:ascii="Arial" w:eastAsia="Times New Roman" w:hAnsi="Arial" w:cs="Arial"/>
      <w:sz w:val="20"/>
      <w:szCs w:val="20"/>
    </w:rPr>
  </w:style>
  <w:style w:type="character" w:customStyle="1" w:styleId="BodyText2Char">
    <w:name w:val="Body Text 2 Char"/>
    <w:basedOn w:val="DefaultParagraphFont"/>
    <w:link w:val="BodyText2"/>
    <w:rsid w:val="00A748E4"/>
    <w:rPr>
      <w:rFonts w:ascii="Arial" w:eastAsia="Times New Roman" w:hAnsi="Arial" w:cs="Arial"/>
      <w:sz w:val="20"/>
      <w:szCs w:val="20"/>
    </w:rPr>
  </w:style>
  <w:style w:type="paragraph" w:styleId="BodyText3">
    <w:name w:val="Body Text 3"/>
    <w:basedOn w:val="Normal"/>
    <w:link w:val="BodyText3Char"/>
    <w:rsid w:val="00A748E4"/>
    <w:pPr>
      <w:autoSpaceDE w:val="0"/>
      <w:autoSpaceDN w:val="0"/>
      <w:adjustRightInd w:val="0"/>
      <w:spacing w:after="0"/>
      <w:ind w:left="0"/>
      <w:jc w:val="left"/>
    </w:pPr>
    <w:rPr>
      <w:rFonts w:ascii="Arial" w:eastAsia="Times New Roman" w:hAnsi="Arial" w:cs="Arial"/>
      <w:b/>
      <w:bCs/>
      <w:color w:val="000000"/>
      <w:sz w:val="20"/>
      <w:szCs w:val="20"/>
    </w:rPr>
  </w:style>
  <w:style w:type="character" w:customStyle="1" w:styleId="BodyText3Char">
    <w:name w:val="Body Text 3 Char"/>
    <w:basedOn w:val="DefaultParagraphFont"/>
    <w:link w:val="BodyText3"/>
    <w:rsid w:val="00A748E4"/>
    <w:rPr>
      <w:rFonts w:ascii="Arial" w:eastAsia="Times New Roman" w:hAnsi="Arial" w:cs="Arial"/>
      <w:b/>
      <w:bCs/>
      <w:color w:val="000000"/>
      <w:sz w:val="20"/>
      <w:szCs w:val="20"/>
    </w:rPr>
  </w:style>
  <w:style w:type="paragraph" w:customStyle="1" w:styleId="364-1">
    <w:name w:val="364-1"/>
    <w:basedOn w:val="Heading5"/>
    <w:rsid w:val="00A748E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A748E4"/>
    <w:pPr>
      <w:spacing w:after="0"/>
      <w:ind w:left="0"/>
      <w:jc w:val="center"/>
    </w:pPr>
    <w:rPr>
      <w:rFonts w:ascii="Arial" w:eastAsia="Times New Roman" w:hAnsi="Arial" w:cs="Arial"/>
      <w:b/>
      <w:bCs/>
      <w:sz w:val="24"/>
      <w:szCs w:val="24"/>
    </w:rPr>
  </w:style>
  <w:style w:type="character" w:customStyle="1" w:styleId="TitleChar">
    <w:name w:val="Title Char"/>
    <w:basedOn w:val="DefaultParagraphFont"/>
    <w:link w:val="Title"/>
    <w:rsid w:val="00A748E4"/>
    <w:rPr>
      <w:rFonts w:ascii="Arial" w:eastAsia="Times New Roman" w:hAnsi="Arial" w:cs="Arial"/>
      <w:b/>
      <w:bCs/>
      <w:sz w:val="24"/>
      <w:szCs w:val="24"/>
    </w:rPr>
  </w:style>
  <w:style w:type="paragraph" w:styleId="Subtitle">
    <w:name w:val="Subtitle"/>
    <w:basedOn w:val="Normal"/>
    <w:link w:val="SubtitleChar"/>
    <w:qFormat/>
    <w:rsid w:val="00A748E4"/>
    <w:pPr>
      <w:spacing w:after="0"/>
      <w:ind w:left="0"/>
      <w:jc w:val="center"/>
    </w:pPr>
    <w:rPr>
      <w:rFonts w:ascii="Arial" w:eastAsia="Times New Roman" w:hAnsi="Arial" w:cs="Arial"/>
      <w:b/>
      <w:bCs/>
      <w:sz w:val="24"/>
      <w:szCs w:val="24"/>
    </w:rPr>
  </w:style>
  <w:style w:type="character" w:customStyle="1" w:styleId="SubtitleChar">
    <w:name w:val="Subtitle Char"/>
    <w:basedOn w:val="DefaultParagraphFont"/>
    <w:link w:val="Subtitle"/>
    <w:rsid w:val="00A748E4"/>
    <w:rPr>
      <w:rFonts w:ascii="Arial" w:eastAsia="Times New Roman" w:hAnsi="Arial" w:cs="Arial"/>
      <w:b/>
      <w:bCs/>
      <w:sz w:val="24"/>
      <w:szCs w:val="24"/>
    </w:rPr>
  </w:style>
  <w:style w:type="paragraph" w:customStyle="1" w:styleId="QMSHeading2">
    <w:name w:val="QMS Heading 2"/>
    <w:basedOn w:val="Heading2"/>
    <w:next w:val="Normal"/>
    <w:autoRedefine/>
    <w:rsid w:val="00A748E4"/>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A748E4"/>
    <w:rPr>
      <w:b/>
      <w:caps/>
    </w:rPr>
  </w:style>
  <w:style w:type="paragraph" w:customStyle="1" w:styleId="QMSHeading1">
    <w:name w:val="QMS Heading 1"/>
    <w:basedOn w:val="Heading1"/>
    <w:rsid w:val="00A748E4"/>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A748E4"/>
  </w:style>
  <w:style w:type="paragraph" w:customStyle="1" w:styleId="QMSHeading3">
    <w:name w:val="QMS Heading 3"/>
    <w:basedOn w:val="Normal"/>
    <w:next w:val="Normal"/>
    <w:autoRedefine/>
    <w:rsid w:val="00A748E4"/>
    <w:pPr>
      <w:overflowPunct w:val="0"/>
      <w:autoSpaceDE w:val="0"/>
      <w:autoSpaceDN w:val="0"/>
      <w:adjustRightInd w:val="0"/>
      <w:spacing w:after="0"/>
      <w:ind w:left="0"/>
      <w:textAlignment w:val="baseline"/>
    </w:pPr>
    <w:rPr>
      <w:rFonts w:ascii="Arial" w:eastAsia="Times New Roman" w:hAnsi="Arial"/>
      <w:szCs w:val="20"/>
      <w:lang w:eastAsia="en-GB"/>
    </w:rPr>
  </w:style>
  <w:style w:type="character" w:customStyle="1" w:styleId="StyleArial11ptBold">
    <w:name w:val="Style Arial 11 pt Bold"/>
    <w:basedOn w:val="DefaultParagraphFont"/>
    <w:rsid w:val="00A748E4"/>
    <w:rPr>
      <w:rFonts w:ascii="Times New Roman" w:hAnsi="Times New Roman"/>
      <w:b/>
      <w:bCs/>
      <w:sz w:val="22"/>
      <w:szCs w:val="22"/>
    </w:rPr>
  </w:style>
  <w:style w:type="character" w:styleId="Hyperlink">
    <w:name w:val="Hyperlink"/>
    <w:basedOn w:val="DefaultParagraphFont"/>
    <w:uiPriority w:val="99"/>
    <w:rsid w:val="00A748E4"/>
    <w:rPr>
      <w:color w:val="0000FF"/>
      <w:u w:val="single"/>
    </w:rPr>
  </w:style>
  <w:style w:type="character" w:styleId="FollowedHyperlink">
    <w:name w:val="FollowedHyperlink"/>
    <w:basedOn w:val="DefaultParagraphFont"/>
    <w:rsid w:val="00A748E4"/>
    <w:rPr>
      <w:color w:val="800080"/>
      <w:u w:val="single"/>
    </w:rPr>
  </w:style>
  <w:style w:type="paragraph" w:customStyle="1" w:styleId="ISOChange">
    <w:name w:val="ISO_Change"/>
    <w:basedOn w:val="Normal"/>
    <w:rsid w:val="00A748E4"/>
    <w:pPr>
      <w:spacing w:before="210" w:after="0" w:line="210" w:lineRule="exact"/>
      <w:ind w:left="0"/>
      <w:jc w:val="left"/>
    </w:pPr>
    <w:rPr>
      <w:rFonts w:ascii="Arial" w:eastAsia="Times New Roman" w:hAnsi="Arial"/>
      <w:sz w:val="18"/>
      <w:szCs w:val="20"/>
      <w:lang w:val="en-GB"/>
    </w:rPr>
  </w:style>
  <w:style w:type="paragraph" w:customStyle="1" w:styleId="Default">
    <w:name w:val="Default"/>
    <w:rsid w:val="00A748E4"/>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semiHidden/>
    <w:rsid w:val="00A748E4"/>
    <w:pPr>
      <w:spacing w:after="0"/>
      <w:ind w:left="0"/>
      <w:jc w:val="left"/>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A748E4"/>
    <w:rPr>
      <w:rFonts w:ascii="Times New Roman" w:eastAsia="Times New Roman" w:hAnsi="Times New Roman" w:cs="Times New Roman"/>
      <w:sz w:val="20"/>
      <w:szCs w:val="20"/>
    </w:rPr>
  </w:style>
  <w:style w:type="paragraph" w:styleId="BalloonText">
    <w:name w:val="Balloon Text"/>
    <w:basedOn w:val="Normal"/>
    <w:link w:val="BalloonTextChar"/>
    <w:semiHidden/>
    <w:rsid w:val="00A748E4"/>
    <w:pPr>
      <w:spacing w:after="0"/>
      <w:ind w:left="0"/>
      <w:jc w:val="lef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748E4"/>
    <w:rPr>
      <w:rFonts w:ascii="Tahoma" w:eastAsia="Times New Roman" w:hAnsi="Tahoma" w:cs="Tahoma"/>
      <w:sz w:val="16"/>
      <w:szCs w:val="16"/>
    </w:rPr>
  </w:style>
  <w:style w:type="character" w:styleId="FootnoteReference">
    <w:name w:val="footnote reference"/>
    <w:basedOn w:val="DefaultParagraphFont"/>
    <w:semiHidden/>
    <w:rsid w:val="00A748E4"/>
    <w:rPr>
      <w:vertAlign w:val="superscript"/>
    </w:rPr>
  </w:style>
  <w:style w:type="paragraph" w:customStyle="1" w:styleId="Definition">
    <w:name w:val="Definition"/>
    <w:basedOn w:val="Normal"/>
    <w:next w:val="Normal"/>
    <w:rsid w:val="00A748E4"/>
    <w:pPr>
      <w:spacing w:after="240" w:line="230" w:lineRule="atLeast"/>
      <w:ind w:left="0"/>
    </w:pPr>
    <w:rPr>
      <w:rFonts w:ascii="Arial" w:eastAsia="MS Mincho" w:hAnsi="Arial"/>
      <w:sz w:val="20"/>
      <w:szCs w:val="20"/>
      <w:lang w:val="de-DE" w:eastAsia="ja-JP"/>
    </w:rPr>
  </w:style>
  <w:style w:type="table" w:styleId="TableGrid">
    <w:name w:val="Table Grid"/>
    <w:basedOn w:val="TableNormal"/>
    <w:rsid w:val="00A748E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A748E4"/>
    <w:pPr>
      <w:spacing w:after="160" w:line="240" w:lineRule="exact"/>
      <w:ind w:left="0"/>
      <w:jc w:val="left"/>
    </w:pPr>
    <w:rPr>
      <w:rFonts w:ascii="Arial" w:eastAsia="Times New Roman" w:hAnsi="Arial"/>
      <w:szCs w:val="24"/>
      <w:lang w:val="en-ZA"/>
    </w:rPr>
  </w:style>
  <w:style w:type="paragraph" w:styleId="CommentText">
    <w:name w:val="annotation text"/>
    <w:basedOn w:val="Normal"/>
    <w:link w:val="CommentTextChar"/>
    <w:semiHidden/>
    <w:rsid w:val="00A748E4"/>
    <w:pPr>
      <w:spacing w:after="0"/>
      <w:ind w:left="0"/>
      <w:jc w:val="left"/>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A748E4"/>
    <w:rPr>
      <w:rFonts w:ascii="Times New Roman" w:eastAsia="Times New Roman" w:hAnsi="Times New Roman" w:cs="Times New Roman"/>
      <w:sz w:val="20"/>
      <w:szCs w:val="20"/>
    </w:rPr>
  </w:style>
  <w:style w:type="paragraph" w:styleId="Caption">
    <w:name w:val="caption"/>
    <w:basedOn w:val="Normal"/>
    <w:next w:val="Normal"/>
    <w:qFormat/>
    <w:rsid w:val="00A748E4"/>
    <w:pPr>
      <w:spacing w:after="0"/>
      <w:ind w:left="0"/>
      <w:jc w:val="left"/>
    </w:pPr>
    <w:rPr>
      <w:rFonts w:ascii="Times New Roman" w:eastAsia="Times New Roman" w:hAnsi="Times New Roman"/>
      <w:b/>
      <w:bCs/>
      <w:sz w:val="20"/>
      <w:szCs w:val="20"/>
    </w:rPr>
  </w:style>
  <w:style w:type="paragraph" w:customStyle="1" w:styleId="Captions">
    <w:name w:val="Captions"/>
    <w:basedOn w:val="Caption"/>
    <w:rsid w:val="00A748E4"/>
    <w:pPr>
      <w:jc w:val="center"/>
    </w:pPr>
    <w:rPr>
      <w:rFonts w:ascii="Arial" w:hAnsi="Arial" w:cs="Arial"/>
      <w:sz w:val="24"/>
      <w:szCs w:val="24"/>
    </w:rPr>
  </w:style>
  <w:style w:type="paragraph" w:styleId="ListParagraph">
    <w:name w:val="List Paragraph"/>
    <w:basedOn w:val="Normal"/>
    <w:uiPriority w:val="34"/>
    <w:qFormat/>
    <w:rsid w:val="00A748E4"/>
    <w:pPr>
      <w:spacing w:after="0"/>
      <w:ind w:left="708"/>
      <w:jc w:val="left"/>
    </w:pPr>
    <w:rPr>
      <w:rFonts w:ascii="Times New Roman" w:eastAsia="Times New Roman" w:hAnsi="Times New Roman"/>
      <w:sz w:val="24"/>
      <w:szCs w:val="24"/>
    </w:rPr>
  </w:style>
  <w:style w:type="paragraph" w:customStyle="1" w:styleId="Proc">
    <w:name w:val="Proc"/>
    <w:basedOn w:val="Normal"/>
    <w:link w:val="ProcChar"/>
    <w:qFormat/>
    <w:rsid w:val="00A748E4"/>
    <w:pPr>
      <w:numPr>
        <w:numId w:val="2"/>
      </w:numPr>
      <w:tabs>
        <w:tab w:val="clear" w:pos="1080"/>
      </w:tabs>
      <w:autoSpaceDE w:val="0"/>
      <w:autoSpaceDN w:val="0"/>
      <w:adjustRightInd w:val="0"/>
      <w:spacing w:after="0"/>
    </w:pPr>
    <w:rPr>
      <w:rFonts w:ascii="Arial" w:eastAsia="Times New Roman" w:hAnsi="Arial" w:cs="Arial"/>
      <w:b/>
      <w:bCs/>
    </w:rPr>
  </w:style>
  <w:style w:type="paragraph" w:customStyle="1" w:styleId="Proc2">
    <w:name w:val="Proc2"/>
    <w:basedOn w:val="Normal"/>
    <w:link w:val="Proc2Char"/>
    <w:qFormat/>
    <w:rsid w:val="00A748E4"/>
    <w:pPr>
      <w:numPr>
        <w:ilvl w:val="1"/>
        <w:numId w:val="1"/>
      </w:numPr>
      <w:autoSpaceDE w:val="0"/>
      <w:autoSpaceDN w:val="0"/>
      <w:adjustRightInd w:val="0"/>
      <w:spacing w:after="0"/>
    </w:pPr>
    <w:rPr>
      <w:rFonts w:ascii="Arial" w:eastAsia="Times New Roman" w:hAnsi="Arial" w:cs="Arial"/>
      <w:b/>
      <w:bCs/>
    </w:rPr>
  </w:style>
  <w:style w:type="character" w:customStyle="1" w:styleId="ProcChar">
    <w:name w:val="Proc Char"/>
    <w:basedOn w:val="DefaultParagraphFont"/>
    <w:link w:val="Proc"/>
    <w:rsid w:val="00A748E4"/>
    <w:rPr>
      <w:rFonts w:ascii="Arial" w:eastAsia="Times New Roman" w:hAnsi="Arial" w:cs="Arial"/>
      <w:b/>
      <w:bCs/>
    </w:rPr>
  </w:style>
  <w:style w:type="paragraph" w:styleId="TOC2">
    <w:name w:val="toc 2"/>
    <w:basedOn w:val="Normal"/>
    <w:next w:val="Normal"/>
    <w:autoRedefine/>
    <w:uiPriority w:val="39"/>
    <w:rsid w:val="00A748E4"/>
    <w:pPr>
      <w:spacing w:after="0"/>
      <w:ind w:left="240"/>
      <w:jc w:val="left"/>
    </w:pPr>
    <w:rPr>
      <w:rFonts w:ascii="Times New Roman" w:eastAsia="Times New Roman" w:hAnsi="Times New Roman"/>
      <w:sz w:val="24"/>
      <w:szCs w:val="24"/>
    </w:rPr>
  </w:style>
  <w:style w:type="character" w:customStyle="1" w:styleId="Proc2Char">
    <w:name w:val="Proc2 Char"/>
    <w:basedOn w:val="DefaultParagraphFont"/>
    <w:link w:val="Proc2"/>
    <w:rsid w:val="00A748E4"/>
    <w:rPr>
      <w:rFonts w:ascii="Arial" w:eastAsia="Times New Roman" w:hAnsi="Arial" w:cs="Arial"/>
      <w:b/>
      <w:bCs/>
    </w:rPr>
  </w:style>
  <w:style w:type="character" w:styleId="Strong">
    <w:name w:val="Strong"/>
    <w:basedOn w:val="DefaultParagraphFont"/>
    <w:uiPriority w:val="22"/>
    <w:qFormat/>
    <w:rsid w:val="00E44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50337">
      <w:bodyDiv w:val="1"/>
      <w:marLeft w:val="0"/>
      <w:marRight w:val="0"/>
      <w:marTop w:val="0"/>
      <w:marBottom w:val="0"/>
      <w:divBdr>
        <w:top w:val="none" w:sz="0" w:space="0" w:color="auto"/>
        <w:left w:val="none" w:sz="0" w:space="0" w:color="auto"/>
        <w:bottom w:val="none" w:sz="0" w:space="0" w:color="auto"/>
        <w:right w:val="none" w:sz="0" w:space="0" w:color="auto"/>
      </w:divBdr>
    </w:div>
    <w:div w:id="445348785">
      <w:bodyDiv w:val="1"/>
      <w:marLeft w:val="0"/>
      <w:marRight w:val="0"/>
      <w:marTop w:val="0"/>
      <w:marBottom w:val="0"/>
      <w:divBdr>
        <w:top w:val="none" w:sz="0" w:space="0" w:color="auto"/>
        <w:left w:val="none" w:sz="0" w:space="0" w:color="auto"/>
        <w:bottom w:val="none" w:sz="0" w:space="0" w:color="auto"/>
        <w:right w:val="none" w:sz="0" w:space="0" w:color="auto"/>
      </w:divBdr>
    </w:div>
    <w:div w:id="616916281">
      <w:bodyDiv w:val="1"/>
      <w:marLeft w:val="0"/>
      <w:marRight w:val="0"/>
      <w:marTop w:val="0"/>
      <w:marBottom w:val="0"/>
      <w:divBdr>
        <w:top w:val="none" w:sz="0" w:space="0" w:color="auto"/>
        <w:left w:val="none" w:sz="0" w:space="0" w:color="auto"/>
        <w:bottom w:val="none" w:sz="0" w:space="0" w:color="auto"/>
        <w:right w:val="none" w:sz="0" w:space="0" w:color="auto"/>
      </w:divBdr>
    </w:div>
    <w:div w:id="639111799">
      <w:bodyDiv w:val="1"/>
      <w:marLeft w:val="0"/>
      <w:marRight w:val="0"/>
      <w:marTop w:val="0"/>
      <w:marBottom w:val="0"/>
      <w:divBdr>
        <w:top w:val="none" w:sz="0" w:space="0" w:color="auto"/>
        <w:left w:val="none" w:sz="0" w:space="0" w:color="auto"/>
        <w:bottom w:val="none" w:sz="0" w:space="0" w:color="auto"/>
        <w:right w:val="none" w:sz="0" w:space="0" w:color="auto"/>
      </w:divBdr>
    </w:div>
    <w:div w:id="785076624">
      <w:bodyDiv w:val="1"/>
      <w:marLeft w:val="0"/>
      <w:marRight w:val="0"/>
      <w:marTop w:val="0"/>
      <w:marBottom w:val="0"/>
      <w:divBdr>
        <w:top w:val="none" w:sz="0" w:space="0" w:color="auto"/>
        <w:left w:val="none" w:sz="0" w:space="0" w:color="auto"/>
        <w:bottom w:val="none" w:sz="0" w:space="0" w:color="auto"/>
        <w:right w:val="none" w:sz="0" w:space="0" w:color="auto"/>
      </w:divBdr>
    </w:div>
    <w:div w:id="821652911">
      <w:bodyDiv w:val="1"/>
      <w:marLeft w:val="0"/>
      <w:marRight w:val="0"/>
      <w:marTop w:val="0"/>
      <w:marBottom w:val="0"/>
      <w:divBdr>
        <w:top w:val="none" w:sz="0" w:space="0" w:color="auto"/>
        <w:left w:val="none" w:sz="0" w:space="0" w:color="auto"/>
        <w:bottom w:val="none" w:sz="0" w:space="0" w:color="auto"/>
        <w:right w:val="none" w:sz="0" w:space="0" w:color="auto"/>
      </w:divBdr>
    </w:div>
    <w:div w:id="857308425">
      <w:bodyDiv w:val="1"/>
      <w:marLeft w:val="0"/>
      <w:marRight w:val="0"/>
      <w:marTop w:val="0"/>
      <w:marBottom w:val="0"/>
      <w:divBdr>
        <w:top w:val="none" w:sz="0" w:space="0" w:color="auto"/>
        <w:left w:val="none" w:sz="0" w:space="0" w:color="auto"/>
        <w:bottom w:val="none" w:sz="0" w:space="0" w:color="auto"/>
        <w:right w:val="none" w:sz="0" w:space="0" w:color="auto"/>
      </w:divBdr>
    </w:div>
    <w:div w:id="922882403">
      <w:bodyDiv w:val="1"/>
      <w:marLeft w:val="0"/>
      <w:marRight w:val="0"/>
      <w:marTop w:val="0"/>
      <w:marBottom w:val="0"/>
      <w:divBdr>
        <w:top w:val="none" w:sz="0" w:space="0" w:color="auto"/>
        <w:left w:val="none" w:sz="0" w:space="0" w:color="auto"/>
        <w:bottom w:val="none" w:sz="0" w:space="0" w:color="auto"/>
        <w:right w:val="none" w:sz="0" w:space="0" w:color="auto"/>
      </w:divBdr>
    </w:div>
    <w:div w:id="1112476625">
      <w:bodyDiv w:val="1"/>
      <w:marLeft w:val="0"/>
      <w:marRight w:val="0"/>
      <w:marTop w:val="0"/>
      <w:marBottom w:val="0"/>
      <w:divBdr>
        <w:top w:val="none" w:sz="0" w:space="0" w:color="auto"/>
        <w:left w:val="none" w:sz="0" w:space="0" w:color="auto"/>
        <w:bottom w:val="none" w:sz="0" w:space="0" w:color="auto"/>
        <w:right w:val="none" w:sz="0" w:space="0" w:color="auto"/>
      </w:divBdr>
    </w:div>
    <w:div w:id="1120689635">
      <w:bodyDiv w:val="1"/>
      <w:marLeft w:val="0"/>
      <w:marRight w:val="0"/>
      <w:marTop w:val="0"/>
      <w:marBottom w:val="0"/>
      <w:divBdr>
        <w:top w:val="none" w:sz="0" w:space="0" w:color="auto"/>
        <w:left w:val="none" w:sz="0" w:space="0" w:color="auto"/>
        <w:bottom w:val="none" w:sz="0" w:space="0" w:color="auto"/>
        <w:right w:val="none" w:sz="0" w:space="0" w:color="auto"/>
      </w:divBdr>
    </w:div>
    <w:div w:id="1164468160">
      <w:bodyDiv w:val="1"/>
      <w:marLeft w:val="0"/>
      <w:marRight w:val="0"/>
      <w:marTop w:val="0"/>
      <w:marBottom w:val="0"/>
      <w:divBdr>
        <w:top w:val="none" w:sz="0" w:space="0" w:color="auto"/>
        <w:left w:val="none" w:sz="0" w:space="0" w:color="auto"/>
        <w:bottom w:val="none" w:sz="0" w:space="0" w:color="auto"/>
        <w:right w:val="none" w:sz="0" w:space="0" w:color="auto"/>
      </w:divBdr>
    </w:div>
    <w:div w:id="1200438156">
      <w:bodyDiv w:val="1"/>
      <w:marLeft w:val="0"/>
      <w:marRight w:val="0"/>
      <w:marTop w:val="0"/>
      <w:marBottom w:val="0"/>
      <w:divBdr>
        <w:top w:val="none" w:sz="0" w:space="0" w:color="auto"/>
        <w:left w:val="none" w:sz="0" w:space="0" w:color="auto"/>
        <w:bottom w:val="none" w:sz="0" w:space="0" w:color="auto"/>
        <w:right w:val="none" w:sz="0" w:space="0" w:color="auto"/>
      </w:divBdr>
    </w:div>
    <w:div w:id="1414619012">
      <w:bodyDiv w:val="1"/>
      <w:marLeft w:val="0"/>
      <w:marRight w:val="0"/>
      <w:marTop w:val="0"/>
      <w:marBottom w:val="0"/>
      <w:divBdr>
        <w:top w:val="none" w:sz="0" w:space="0" w:color="auto"/>
        <w:left w:val="none" w:sz="0" w:space="0" w:color="auto"/>
        <w:bottom w:val="none" w:sz="0" w:space="0" w:color="auto"/>
        <w:right w:val="none" w:sz="0" w:space="0" w:color="auto"/>
      </w:divBdr>
    </w:div>
    <w:div w:id="1444105372">
      <w:bodyDiv w:val="1"/>
      <w:marLeft w:val="0"/>
      <w:marRight w:val="0"/>
      <w:marTop w:val="0"/>
      <w:marBottom w:val="0"/>
      <w:divBdr>
        <w:top w:val="none" w:sz="0" w:space="0" w:color="auto"/>
        <w:left w:val="none" w:sz="0" w:space="0" w:color="auto"/>
        <w:bottom w:val="none" w:sz="0" w:space="0" w:color="auto"/>
        <w:right w:val="none" w:sz="0" w:space="0" w:color="auto"/>
      </w:divBdr>
    </w:div>
    <w:div w:id="1617365770">
      <w:bodyDiv w:val="1"/>
      <w:marLeft w:val="0"/>
      <w:marRight w:val="0"/>
      <w:marTop w:val="0"/>
      <w:marBottom w:val="0"/>
      <w:divBdr>
        <w:top w:val="none" w:sz="0" w:space="0" w:color="auto"/>
        <w:left w:val="none" w:sz="0" w:space="0" w:color="auto"/>
        <w:bottom w:val="none" w:sz="0" w:space="0" w:color="auto"/>
        <w:right w:val="none" w:sz="0" w:space="0" w:color="auto"/>
      </w:divBdr>
    </w:div>
    <w:div w:id="1619410673">
      <w:bodyDiv w:val="1"/>
      <w:marLeft w:val="0"/>
      <w:marRight w:val="0"/>
      <w:marTop w:val="0"/>
      <w:marBottom w:val="0"/>
      <w:divBdr>
        <w:top w:val="none" w:sz="0" w:space="0" w:color="auto"/>
        <w:left w:val="none" w:sz="0" w:space="0" w:color="auto"/>
        <w:bottom w:val="none" w:sz="0" w:space="0" w:color="auto"/>
        <w:right w:val="none" w:sz="0" w:space="0" w:color="auto"/>
      </w:divBdr>
    </w:div>
    <w:div w:id="1622302051">
      <w:bodyDiv w:val="1"/>
      <w:marLeft w:val="0"/>
      <w:marRight w:val="0"/>
      <w:marTop w:val="0"/>
      <w:marBottom w:val="0"/>
      <w:divBdr>
        <w:top w:val="none" w:sz="0" w:space="0" w:color="auto"/>
        <w:left w:val="none" w:sz="0" w:space="0" w:color="auto"/>
        <w:bottom w:val="none" w:sz="0" w:space="0" w:color="auto"/>
        <w:right w:val="none" w:sz="0" w:space="0" w:color="auto"/>
      </w:divBdr>
    </w:div>
    <w:div w:id="1624531246">
      <w:bodyDiv w:val="1"/>
      <w:marLeft w:val="0"/>
      <w:marRight w:val="0"/>
      <w:marTop w:val="0"/>
      <w:marBottom w:val="0"/>
      <w:divBdr>
        <w:top w:val="none" w:sz="0" w:space="0" w:color="auto"/>
        <w:left w:val="none" w:sz="0" w:space="0" w:color="auto"/>
        <w:bottom w:val="none" w:sz="0" w:space="0" w:color="auto"/>
        <w:right w:val="none" w:sz="0" w:space="0" w:color="auto"/>
      </w:divBdr>
    </w:div>
    <w:div w:id="1634411286">
      <w:bodyDiv w:val="1"/>
      <w:marLeft w:val="0"/>
      <w:marRight w:val="0"/>
      <w:marTop w:val="0"/>
      <w:marBottom w:val="0"/>
      <w:divBdr>
        <w:top w:val="none" w:sz="0" w:space="0" w:color="auto"/>
        <w:left w:val="none" w:sz="0" w:space="0" w:color="auto"/>
        <w:bottom w:val="none" w:sz="0" w:space="0" w:color="auto"/>
        <w:right w:val="none" w:sz="0" w:space="0" w:color="auto"/>
      </w:divBdr>
    </w:div>
    <w:div w:id="1695883315">
      <w:bodyDiv w:val="1"/>
      <w:marLeft w:val="0"/>
      <w:marRight w:val="0"/>
      <w:marTop w:val="0"/>
      <w:marBottom w:val="0"/>
      <w:divBdr>
        <w:top w:val="none" w:sz="0" w:space="0" w:color="auto"/>
        <w:left w:val="none" w:sz="0" w:space="0" w:color="auto"/>
        <w:bottom w:val="none" w:sz="0" w:space="0" w:color="auto"/>
        <w:right w:val="none" w:sz="0" w:space="0" w:color="auto"/>
      </w:divBdr>
    </w:div>
    <w:div w:id="1756173392">
      <w:bodyDiv w:val="1"/>
      <w:marLeft w:val="0"/>
      <w:marRight w:val="0"/>
      <w:marTop w:val="0"/>
      <w:marBottom w:val="0"/>
      <w:divBdr>
        <w:top w:val="none" w:sz="0" w:space="0" w:color="auto"/>
        <w:left w:val="none" w:sz="0" w:space="0" w:color="auto"/>
        <w:bottom w:val="none" w:sz="0" w:space="0" w:color="auto"/>
        <w:right w:val="none" w:sz="0" w:space="0" w:color="auto"/>
      </w:divBdr>
    </w:div>
    <w:div w:id="1771512685">
      <w:bodyDiv w:val="1"/>
      <w:marLeft w:val="0"/>
      <w:marRight w:val="0"/>
      <w:marTop w:val="0"/>
      <w:marBottom w:val="0"/>
      <w:divBdr>
        <w:top w:val="none" w:sz="0" w:space="0" w:color="auto"/>
        <w:left w:val="none" w:sz="0" w:space="0" w:color="auto"/>
        <w:bottom w:val="none" w:sz="0" w:space="0" w:color="auto"/>
        <w:right w:val="none" w:sz="0" w:space="0" w:color="auto"/>
      </w:divBdr>
    </w:div>
    <w:div w:id="1867057849">
      <w:bodyDiv w:val="1"/>
      <w:marLeft w:val="0"/>
      <w:marRight w:val="0"/>
      <w:marTop w:val="0"/>
      <w:marBottom w:val="0"/>
      <w:divBdr>
        <w:top w:val="none" w:sz="0" w:space="0" w:color="auto"/>
        <w:left w:val="none" w:sz="0" w:space="0" w:color="auto"/>
        <w:bottom w:val="none" w:sz="0" w:space="0" w:color="auto"/>
        <w:right w:val="none" w:sz="0" w:space="0" w:color="auto"/>
      </w:divBdr>
    </w:div>
    <w:div w:id="1935160937">
      <w:bodyDiv w:val="1"/>
      <w:marLeft w:val="0"/>
      <w:marRight w:val="0"/>
      <w:marTop w:val="0"/>
      <w:marBottom w:val="0"/>
      <w:divBdr>
        <w:top w:val="none" w:sz="0" w:space="0" w:color="auto"/>
        <w:left w:val="none" w:sz="0" w:space="0" w:color="auto"/>
        <w:bottom w:val="none" w:sz="0" w:space="0" w:color="auto"/>
        <w:right w:val="none" w:sz="0" w:space="0" w:color="auto"/>
      </w:divBdr>
    </w:div>
    <w:div w:id="2043750121">
      <w:bodyDiv w:val="1"/>
      <w:marLeft w:val="0"/>
      <w:marRight w:val="0"/>
      <w:marTop w:val="0"/>
      <w:marBottom w:val="0"/>
      <w:divBdr>
        <w:top w:val="none" w:sz="0" w:space="0" w:color="auto"/>
        <w:left w:val="none" w:sz="0" w:space="0" w:color="auto"/>
        <w:bottom w:val="none" w:sz="0" w:space="0" w:color="auto"/>
        <w:right w:val="none" w:sz="0" w:space="0" w:color="auto"/>
      </w:divBdr>
    </w:div>
    <w:div w:id="2044623531">
      <w:bodyDiv w:val="1"/>
      <w:marLeft w:val="0"/>
      <w:marRight w:val="0"/>
      <w:marTop w:val="0"/>
      <w:marBottom w:val="0"/>
      <w:divBdr>
        <w:top w:val="none" w:sz="0" w:space="0" w:color="auto"/>
        <w:left w:val="none" w:sz="0" w:space="0" w:color="auto"/>
        <w:bottom w:val="none" w:sz="0" w:space="0" w:color="auto"/>
        <w:right w:val="none" w:sz="0" w:space="0" w:color="auto"/>
      </w:divBdr>
    </w:div>
    <w:div w:id="2087217861">
      <w:bodyDiv w:val="1"/>
      <w:marLeft w:val="0"/>
      <w:marRight w:val="0"/>
      <w:marTop w:val="0"/>
      <w:marBottom w:val="0"/>
      <w:divBdr>
        <w:top w:val="none" w:sz="0" w:space="0" w:color="auto"/>
        <w:left w:val="none" w:sz="0" w:space="0" w:color="auto"/>
        <w:bottom w:val="none" w:sz="0" w:space="0" w:color="auto"/>
        <w:right w:val="none" w:sz="0" w:space="0" w:color="auto"/>
      </w:divBdr>
    </w:div>
    <w:div w:id="213000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655</Words>
  <Characters>3735</Characters>
  <Application>Microsoft Office Word</Application>
  <DocSecurity>2</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njoroger</dc:creator>
  <cp:lastModifiedBy>Tania Monica</cp:lastModifiedBy>
  <cp:revision>3</cp:revision>
  <dcterms:created xsi:type="dcterms:W3CDTF">2019-09-03T12:57:00Z</dcterms:created>
  <dcterms:modified xsi:type="dcterms:W3CDTF">2019-09-03T13:21:00Z</dcterms:modified>
</cp:coreProperties>
</file>