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164" w:rsidRPr="00F9645B" w:rsidRDefault="00020164" w:rsidP="00020164">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020164" w:rsidRDefault="00020164" w:rsidP="00020164">
      <w:pPr>
        <w:pStyle w:val="ListParagraph"/>
        <w:rPr>
          <w:rFonts w:ascii="Arial" w:hAnsi="Arial" w:cs="Arial"/>
          <w:sz w:val="22"/>
          <w:szCs w:val="22"/>
        </w:rPr>
      </w:pPr>
    </w:p>
    <w:p w:rsidR="00020164" w:rsidRDefault="00020164" w:rsidP="00020164">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pPr w:leftFromText="180" w:rightFromText="180" w:vertAnchor="text" w:horzAnchor="page" w:tblpX="2851" w:tblpY="1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60E19" w:rsidRPr="00A748E4" w:rsidTr="00B60E19">
        <w:tc>
          <w:tcPr>
            <w:tcW w:w="2178"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60E19" w:rsidRPr="00A748E4" w:rsidRDefault="00B60E19" w:rsidP="00B60E19">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B60E19" w:rsidRPr="00A748E4" w:rsidTr="00B60E19">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B60E19" w:rsidRPr="00A748E4" w:rsidTr="00B60E19">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B60E19" w:rsidRPr="00A748E4" w:rsidRDefault="00B60E19" w:rsidP="00B60E19">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r>
              <w:rPr>
                <w:rFonts w:ascii="Arial" w:hAnsi="Arial" w:cs="Arial"/>
                <w:sz w:val="20"/>
                <w:szCs w:val="20"/>
              </w:rPr>
              <w:t>24/10/2019</w:t>
            </w:r>
          </w:p>
        </w:tc>
        <w:tc>
          <w:tcPr>
            <w:tcW w:w="2970"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r>
              <w:rPr>
                <w:rFonts w:ascii="Arial" w:hAnsi="Arial" w:cs="Arial"/>
                <w:sz w:val="20"/>
                <w:szCs w:val="20"/>
              </w:rPr>
              <w:t>24/11/2019</w:t>
            </w:r>
          </w:p>
        </w:tc>
      </w:tr>
      <w:tr w:rsidR="00B60E19" w:rsidRPr="00A748E4" w:rsidTr="00B60E19">
        <w:tc>
          <w:tcPr>
            <w:tcW w:w="2178" w:type="dxa"/>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60E19" w:rsidRPr="00A748E4" w:rsidRDefault="00B60E19" w:rsidP="00B60E19">
            <w:pPr>
              <w:tabs>
                <w:tab w:val="center" w:pos="4320"/>
                <w:tab w:val="right" w:pos="8640"/>
              </w:tabs>
              <w:rPr>
                <w:rFonts w:ascii="Arial" w:hAnsi="Arial" w:cs="Arial"/>
                <w:sz w:val="20"/>
                <w:szCs w:val="20"/>
              </w:rPr>
            </w:pPr>
            <w:bookmarkStart w:id="0" w:name="_GoBack"/>
            <w:r w:rsidRPr="00A748E4">
              <w:rPr>
                <w:rFonts w:ascii="Arial" w:hAnsi="Arial" w:cs="Arial"/>
                <w:b/>
                <w:bCs/>
                <w:sz w:val="20"/>
                <w:szCs w:val="20"/>
              </w:rPr>
              <w:t>This form shall be filled, signed and returned to Kenya Bureau of Standards for the attention of</w:t>
            </w:r>
            <w:r>
              <w:rPr>
                <w:rFonts w:ascii="Arial" w:hAnsi="Arial" w:cs="Arial"/>
                <w:b/>
                <w:bCs/>
                <w:sz w:val="20"/>
                <w:szCs w:val="20"/>
              </w:rPr>
              <w:t xml:space="preserve"> Kiminza George </w:t>
            </w:r>
            <w:hyperlink r:id="rId7" w:history="1">
              <w:r w:rsidRPr="00254F86">
                <w:rPr>
                  <w:rStyle w:val="Hyperlink"/>
                  <w:rFonts w:ascii="Arial" w:hAnsi="Arial" w:cs="Arial"/>
                  <w:b/>
                  <w:bCs/>
                  <w:sz w:val="20"/>
                  <w:szCs w:val="20"/>
                </w:rPr>
                <w:t>kiminzag@kebs.org</w:t>
              </w:r>
            </w:hyperlink>
            <w:r>
              <w:rPr>
                <w:rFonts w:ascii="Arial" w:hAnsi="Arial" w:cs="Arial"/>
                <w:b/>
                <w:bCs/>
                <w:sz w:val="20"/>
                <w:szCs w:val="20"/>
              </w:rPr>
              <w:t xml:space="preserve"> </w:t>
            </w:r>
            <w:bookmarkEnd w:id="0"/>
          </w:p>
        </w:tc>
      </w:tr>
    </w:tbl>
    <w:p w:rsidR="007856B1" w:rsidRDefault="007856B1" w:rsidP="00020164">
      <w:pPr>
        <w:autoSpaceDE w:val="0"/>
        <w:autoSpaceDN w:val="0"/>
        <w:adjustRightInd w:val="0"/>
        <w:jc w:val="center"/>
        <w:rPr>
          <w:rFonts w:ascii="Arial" w:hAnsi="Arial" w:cs="Arial"/>
          <w:b/>
          <w:bCs/>
          <w:color w:val="000000"/>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7856B1" w:rsidRDefault="007856B1" w:rsidP="00020164">
      <w:pPr>
        <w:autoSpaceDE w:val="0"/>
        <w:autoSpaceDN w:val="0"/>
        <w:adjustRightInd w:val="0"/>
        <w:jc w:val="left"/>
        <w:rPr>
          <w:rFonts w:ascii="Arial" w:hAnsi="Arial" w:cs="Arial"/>
          <w:sz w:val="20"/>
          <w:szCs w:val="20"/>
        </w:rPr>
      </w:pPr>
    </w:p>
    <w:p w:rsidR="0068589C" w:rsidRDefault="0068589C"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jc w:val="left"/>
        <w:rPr>
          <w:rFonts w:ascii="Arial" w:hAnsi="Arial" w:cs="Arial"/>
          <w:sz w:val="20"/>
          <w:szCs w:val="20"/>
        </w:rPr>
      </w:pPr>
      <w:r w:rsidRPr="00DA624E">
        <w:rPr>
          <w:rFonts w:ascii="Arial" w:hAnsi="Arial" w:cs="Arial"/>
          <w:b/>
          <w:sz w:val="20"/>
          <w:szCs w:val="20"/>
        </w:rPr>
        <w:t>The Standards are available at the Kenya Bureau of Standards Information Resource Centre.  Please tick (mark) and fill your preference of the listed option.  (If the spaces provided are not enough, please attach a separate sheet of paper)</w:t>
      </w:r>
      <w:r>
        <w:rPr>
          <w:rFonts w:ascii="Arial" w:hAnsi="Arial" w:cs="Arial"/>
          <w:sz w:val="20"/>
          <w:szCs w:val="20"/>
        </w:rPr>
        <w:t>.</w:t>
      </w:r>
    </w:p>
    <w:p w:rsidR="00020164" w:rsidRDefault="00020164" w:rsidP="00020164">
      <w:pPr>
        <w:autoSpaceDE w:val="0"/>
        <w:autoSpaceDN w:val="0"/>
        <w:adjustRightInd w:val="0"/>
        <w:jc w:val="left"/>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KS Number(s) of Standard(s) </w:t>
      </w:r>
    </w:p>
    <w:p w:rsidR="00020164" w:rsidRDefault="00020164" w:rsidP="00020164">
      <w:pPr>
        <w:autoSpaceDE w:val="0"/>
        <w:autoSpaceDN w:val="0"/>
        <w:adjustRightInd w:val="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accept the proposal to confirm the Kenya Standard(s)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8254AE">
        <w:rPr>
          <w:rFonts w:ascii="Arial" w:hAnsi="Arial" w:cs="Arial"/>
          <w:color w:val="000000"/>
          <w:sz w:val="20"/>
          <w:szCs w:val="20"/>
        </w:rPr>
      </w:r>
      <w:r w:rsidR="008254AE">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Pr>
          <w:rFonts w:ascii="Arial" w:hAnsi="Arial" w:cs="Arial"/>
          <w:sz w:val="20"/>
          <w:szCs w:val="20"/>
        </w:rPr>
        <w:t xml:space="preserve">I object to the proposal to confirm the Kenya Standard as current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8254AE">
        <w:rPr>
          <w:rFonts w:ascii="Arial" w:hAnsi="Arial" w:cs="Arial"/>
          <w:color w:val="000000"/>
          <w:sz w:val="20"/>
          <w:szCs w:val="20"/>
        </w:rPr>
      </w:r>
      <w:r w:rsidR="008254AE">
        <w:rPr>
          <w:rFonts w:ascii="Arial" w:hAnsi="Arial" w:cs="Arial"/>
          <w:color w:val="000000"/>
          <w:sz w:val="20"/>
          <w:szCs w:val="20"/>
        </w:rPr>
        <w:fldChar w:fldCharType="separate"/>
      </w:r>
      <w:r w:rsidR="001777DF">
        <w:rPr>
          <w:rFonts w:ascii="Arial" w:hAnsi="Arial" w:cs="Arial"/>
          <w:color w:val="000000"/>
          <w:sz w:val="20"/>
          <w:szCs w:val="20"/>
        </w:rPr>
        <w:fldChar w:fldCharType="end"/>
      </w:r>
    </w:p>
    <w:p w:rsidR="00020164" w:rsidRDefault="00020164" w:rsidP="00020164">
      <w:pPr>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sz w:val="20"/>
          <w:szCs w:val="20"/>
        </w:rPr>
        <w:t>Our proposed action</w:t>
      </w:r>
      <w:r w:rsidR="00B60E19">
        <w:rPr>
          <w:rFonts w:ascii="Arial" w:hAnsi="Arial" w:cs="Arial"/>
          <w:sz w:val="20"/>
          <w:szCs w:val="20"/>
        </w:rPr>
        <w:t xml:space="preserve"> </w:t>
      </w:r>
      <w:r>
        <w:rPr>
          <w:rFonts w:ascii="Arial" w:hAnsi="Arial" w:cs="Arial"/>
          <w:sz w:val="20"/>
          <w:szCs w:val="20"/>
        </w:rPr>
        <w:t>is</w:t>
      </w:r>
      <w:r w:rsidR="00B60E19">
        <w:rPr>
          <w:rFonts w:ascii="Arial" w:hAnsi="Arial" w:cs="Arial"/>
          <w:sz w:val="20"/>
          <w:szCs w:val="20"/>
        </w:rPr>
        <w:t xml:space="preserve">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8254AE">
        <w:rPr>
          <w:rFonts w:ascii="Arial" w:hAnsi="Arial" w:cs="Arial"/>
          <w:color w:val="000000"/>
          <w:sz w:val="20"/>
          <w:szCs w:val="20"/>
        </w:rPr>
      </w:r>
      <w:r w:rsidR="008254AE">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REVISION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8254AE">
        <w:rPr>
          <w:rFonts w:ascii="Arial" w:hAnsi="Arial" w:cs="Arial"/>
          <w:color w:val="000000"/>
          <w:sz w:val="20"/>
          <w:szCs w:val="20"/>
        </w:rPr>
      </w:r>
      <w:r w:rsidR="008254AE">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AMMENDMENT  </w:t>
      </w:r>
      <w:r w:rsidR="001777D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8254AE">
        <w:rPr>
          <w:rFonts w:ascii="Arial" w:hAnsi="Arial" w:cs="Arial"/>
          <w:color w:val="000000"/>
          <w:sz w:val="20"/>
          <w:szCs w:val="20"/>
        </w:rPr>
      </w:r>
      <w:r w:rsidR="008254AE">
        <w:rPr>
          <w:rFonts w:ascii="Arial" w:hAnsi="Arial" w:cs="Arial"/>
          <w:color w:val="000000"/>
          <w:sz w:val="20"/>
          <w:szCs w:val="20"/>
        </w:rPr>
        <w:fldChar w:fldCharType="separate"/>
      </w:r>
      <w:r w:rsidR="001777DF">
        <w:rPr>
          <w:rFonts w:ascii="Arial" w:hAnsi="Arial" w:cs="Arial"/>
          <w:color w:val="000000"/>
          <w:sz w:val="20"/>
          <w:szCs w:val="20"/>
        </w:rPr>
        <w:fldChar w:fldCharType="end"/>
      </w:r>
      <w:r>
        <w:rPr>
          <w:rFonts w:ascii="Arial" w:hAnsi="Arial" w:cs="Arial"/>
          <w:color w:val="000000"/>
          <w:sz w:val="20"/>
          <w:szCs w:val="20"/>
        </w:rPr>
        <w:t xml:space="preserve"> WITHDRAWAL    </w:t>
      </w:r>
    </w:p>
    <w:p w:rsidR="00020164" w:rsidRDefault="00020164" w:rsidP="00020164">
      <w:pPr>
        <w:autoSpaceDE w:val="0"/>
        <w:autoSpaceDN w:val="0"/>
        <w:adjustRightInd w:val="0"/>
        <w:rPr>
          <w:rFonts w:ascii="Arial" w:hAnsi="Arial" w:cs="Arial"/>
          <w:color w:val="000000"/>
          <w:sz w:val="20"/>
          <w:szCs w:val="20"/>
        </w:rPr>
      </w:pP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020164" w:rsidRDefault="00020164" w:rsidP="00020164">
      <w:pPr>
        <w:autoSpaceDE w:val="0"/>
        <w:autoSpaceDN w:val="0"/>
        <w:adjustRightInd w:val="0"/>
        <w:rPr>
          <w:rFonts w:ascii="Arial" w:hAnsi="Arial" w:cs="Arial"/>
          <w:color w:val="000000"/>
          <w:sz w:val="20"/>
          <w:szCs w:val="20"/>
        </w:rPr>
      </w:pPr>
      <w:r>
        <w:rPr>
          <w:rFonts w:ascii="Arial" w:hAnsi="Arial" w:cs="Arial"/>
          <w:color w:val="000000"/>
          <w:sz w:val="20"/>
          <w:szCs w:val="20"/>
        </w:rPr>
        <w:t>………………………………………………………………………………………………………………………………………………………………………………………………………………………………………………………………………………………………………………………………………………………………………………………………………………………………</w:t>
      </w:r>
    </w:p>
    <w:p w:rsidR="00020164" w:rsidRPr="00596B33" w:rsidRDefault="00020164" w:rsidP="00020164">
      <w:pPr>
        <w:autoSpaceDE w:val="0"/>
        <w:autoSpaceDN w:val="0"/>
        <w:adjustRightInd w:val="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020164" w:rsidRDefault="00020164"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p>
    <w:p w:rsidR="00B60E19" w:rsidRDefault="00020164" w:rsidP="00020164">
      <w:pPr>
        <w:autoSpaceDE w:val="0"/>
        <w:autoSpaceDN w:val="0"/>
        <w:adjustRightInd w:val="0"/>
        <w:rPr>
          <w:rFonts w:ascii="Arial" w:hAnsi="Arial" w:cs="Arial"/>
          <w:sz w:val="20"/>
          <w:szCs w:val="20"/>
        </w:rPr>
      </w:pPr>
      <w:r w:rsidRPr="00652429">
        <w:rPr>
          <w:rFonts w:ascii="Arial" w:hAnsi="Arial" w:cs="Arial"/>
          <w:sz w:val="20"/>
          <w:szCs w:val="20"/>
        </w:rPr>
        <w:lastRenderedPageBreak/>
        <w:t>Name and (of respondent)</w:t>
      </w:r>
      <w:r w:rsidR="00B60E19">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r w:rsidR="00B60E19">
        <w:rPr>
          <w:rFonts w:ascii="Arial" w:hAnsi="Arial" w:cs="Arial"/>
          <w:sz w:val="20"/>
          <w:szCs w:val="20"/>
        </w:rPr>
        <w:t>……………………</w:t>
      </w:r>
      <w:r>
        <w:rPr>
          <w:rFonts w:ascii="Arial" w:hAnsi="Arial" w:cs="Arial"/>
          <w:sz w:val="20"/>
          <w:szCs w:val="20"/>
        </w:rPr>
        <w:t>…</w:t>
      </w:r>
    </w:p>
    <w:p w:rsidR="00B60E19" w:rsidRDefault="00B60E19" w:rsidP="00020164">
      <w:pPr>
        <w:autoSpaceDE w:val="0"/>
        <w:autoSpaceDN w:val="0"/>
        <w:adjustRightInd w:val="0"/>
        <w:rPr>
          <w:rFonts w:ascii="Arial" w:hAnsi="Arial" w:cs="Arial"/>
          <w:sz w:val="20"/>
          <w:szCs w:val="20"/>
        </w:rPr>
      </w:pPr>
    </w:p>
    <w:p w:rsidR="00020164" w:rsidRDefault="00020164" w:rsidP="00020164">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8E6155">
        <w:rPr>
          <w:rFonts w:ascii="Arial" w:hAnsi="Arial" w:cs="Arial"/>
          <w:sz w:val="20"/>
          <w:szCs w:val="20"/>
        </w:rPr>
        <w:t>……………………………………………</w:t>
      </w:r>
      <w:proofErr w:type="gramStart"/>
      <w:r w:rsidR="008E6155">
        <w:rPr>
          <w:rFonts w:ascii="Arial" w:hAnsi="Arial" w:cs="Arial"/>
          <w:sz w:val="20"/>
          <w:szCs w:val="20"/>
        </w:rPr>
        <w:t>….</w:t>
      </w:r>
      <w:r>
        <w:rPr>
          <w:rFonts w:ascii="Arial" w:hAnsi="Arial" w:cs="Arial"/>
          <w:sz w:val="20"/>
          <w:szCs w:val="20"/>
        </w:rPr>
        <w:t>(</w:t>
      </w:r>
      <w:proofErr w:type="gramEnd"/>
      <w:r>
        <w:rPr>
          <w:rFonts w:ascii="Arial" w:hAnsi="Arial" w:cs="Arial"/>
          <w:sz w:val="20"/>
          <w:szCs w:val="20"/>
        </w:rPr>
        <w:t>Name of organization)</w:t>
      </w:r>
    </w:p>
    <w:p w:rsidR="00020164" w:rsidRDefault="00020164" w:rsidP="00020164">
      <w:pPr>
        <w:tabs>
          <w:tab w:val="right" w:leader="dot" w:pos="9000"/>
        </w:tabs>
        <w:autoSpaceDE w:val="0"/>
        <w:autoSpaceDN w:val="0"/>
        <w:adjustRightInd w:val="0"/>
        <w:rPr>
          <w:rFonts w:ascii="Arial" w:hAnsi="Arial" w:cs="Arial"/>
          <w:sz w:val="20"/>
          <w:szCs w:val="20"/>
        </w:rPr>
      </w:pPr>
    </w:p>
    <w:p w:rsidR="00020164" w:rsidRDefault="00020164" w:rsidP="00020164">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0C15A6" w:rsidRDefault="000C15A6" w:rsidP="00020164"/>
    <w:p w:rsidR="00020164" w:rsidRDefault="00020164" w:rsidP="00020164">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p>
    <w:p w:rsidR="0068589C" w:rsidRDefault="0068589C" w:rsidP="00020164">
      <w:pPr>
        <w:tabs>
          <w:tab w:val="right" w:leader="dot" w:pos="3600"/>
        </w:tabs>
        <w:autoSpaceDE w:val="0"/>
        <w:autoSpaceDN w:val="0"/>
        <w:adjustRightInd w:val="0"/>
        <w:ind w:left="0"/>
        <w:rPr>
          <w:rFonts w:ascii="Arial" w:hAnsi="Arial" w:cs="Arial"/>
          <w:b/>
          <w:u w:val="single"/>
        </w:rPr>
      </w:pPr>
    </w:p>
    <w:p w:rsidR="00020164" w:rsidRPr="00F33FFB" w:rsidRDefault="00020164" w:rsidP="00020164">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w:t>
      </w:r>
      <w:r w:rsidR="009F7CE2" w:rsidRPr="00DD27E6">
        <w:rPr>
          <w:rFonts w:ascii="Arial" w:hAnsi="Arial" w:cs="Arial"/>
          <w:b/>
          <w:u w:val="single"/>
        </w:rPr>
        <w:t xml:space="preserve"> Kenya Standards </w:t>
      </w:r>
      <w:proofErr w:type="gramStart"/>
      <w:r w:rsidR="009F7CE2" w:rsidRPr="00DD27E6">
        <w:rPr>
          <w:rFonts w:ascii="Arial" w:hAnsi="Arial" w:cs="Arial"/>
          <w:b/>
          <w:u w:val="single"/>
        </w:rPr>
        <w:t>For</w:t>
      </w:r>
      <w:proofErr w:type="gramEnd"/>
      <w:r w:rsidR="009F7CE2" w:rsidRPr="00DD27E6">
        <w:rPr>
          <w:rFonts w:ascii="Arial" w:hAnsi="Arial" w:cs="Arial"/>
          <w:b/>
          <w:u w:val="single"/>
        </w:rPr>
        <w:t xml:space="preserve"> Systematic Review (</w:t>
      </w:r>
      <w:r w:rsidR="009F7CE2" w:rsidRPr="00F33FFB">
        <w:rPr>
          <w:rFonts w:ascii="Arial" w:hAnsi="Arial" w:cs="Arial"/>
          <w:b/>
          <w:bCs/>
          <w:u w:val="single"/>
        </w:rPr>
        <w:t>Meat</w:t>
      </w:r>
      <w:r w:rsidR="009F7CE2">
        <w:rPr>
          <w:rFonts w:ascii="Arial" w:hAnsi="Arial" w:cs="Arial"/>
          <w:b/>
          <w:bCs/>
          <w:u w:val="single"/>
        </w:rPr>
        <w:t xml:space="preserve"> And Meat Products)</w:t>
      </w:r>
    </w:p>
    <w:p w:rsidR="00020164" w:rsidRDefault="00020164" w:rsidP="00020164">
      <w:pPr>
        <w:tabs>
          <w:tab w:val="right" w:leader="dot" w:pos="3600"/>
        </w:tabs>
        <w:autoSpaceDE w:val="0"/>
        <w:autoSpaceDN w:val="0"/>
        <w:adjustRightInd w:val="0"/>
        <w:ind w:left="0"/>
        <w:rPr>
          <w:rFonts w:ascii="Arial" w:hAnsi="Arial" w:cs="Arial"/>
          <w:bCs/>
          <w:sz w:val="20"/>
          <w:szCs w:val="20"/>
        </w:rPr>
      </w:pPr>
    </w:p>
    <w:tbl>
      <w:tblPr>
        <w:tblStyle w:val="TableGrid"/>
        <w:tblW w:w="13050" w:type="dxa"/>
        <w:tblInd w:w="175" w:type="dxa"/>
        <w:tblLayout w:type="fixed"/>
        <w:tblLook w:val="04A0" w:firstRow="1" w:lastRow="0" w:firstColumn="1" w:lastColumn="0" w:noHBand="0" w:noVBand="1"/>
      </w:tblPr>
      <w:tblGrid>
        <w:gridCol w:w="900"/>
        <w:gridCol w:w="2070"/>
        <w:gridCol w:w="6660"/>
        <w:gridCol w:w="1451"/>
        <w:gridCol w:w="1969"/>
      </w:tblGrid>
      <w:tr w:rsidR="00055DC2" w:rsidRPr="00055DC2" w:rsidTr="00055DC2">
        <w:trPr>
          <w:trHeight w:val="525"/>
        </w:trPr>
        <w:tc>
          <w:tcPr>
            <w:tcW w:w="900" w:type="dxa"/>
          </w:tcPr>
          <w:p w:rsidR="00055DC2" w:rsidRPr="00055DC2" w:rsidRDefault="00055DC2" w:rsidP="00055DC2">
            <w:pPr>
              <w:spacing w:after="0"/>
              <w:ind w:left="0"/>
              <w:jc w:val="left"/>
              <w:rPr>
                <w:b/>
              </w:rPr>
            </w:pPr>
          </w:p>
        </w:tc>
        <w:tc>
          <w:tcPr>
            <w:tcW w:w="2070" w:type="dxa"/>
          </w:tcPr>
          <w:p w:rsidR="00055DC2" w:rsidRPr="00055DC2" w:rsidRDefault="00055DC2" w:rsidP="00055DC2">
            <w:pPr>
              <w:spacing w:after="0"/>
              <w:ind w:left="0"/>
              <w:jc w:val="left"/>
              <w:rPr>
                <w:b/>
              </w:rPr>
            </w:pPr>
            <w:r w:rsidRPr="00055DC2">
              <w:rPr>
                <w:b/>
              </w:rPr>
              <w:t>Reference</w:t>
            </w:r>
          </w:p>
        </w:tc>
        <w:tc>
          <w:tcPr>
            <w:tcW w:w="6660" w:type="dxa"/>
          </w:tcPr>
          <w:p w:rsidR="00055DC2" w:rsidRPr="00055DC2" w:rsidRDefault="00055DC2" w:rsidP="00055DC2">
            <w:pPr>
              <w:spacing w:after="0"/>
              <w:ind w:left="0"/>
              <w:jc w:val="left"/>
              <w:rPr>
                <w:b/>
              </w:rPr>
            </w:pPr>
            <w:r w:rsidRPr="00055DC2">
              <w:rPr>
                <w:b/>
              </w:rPr>
              <w:t>Title</w:t>
            </w:r>
          </w:p>
        </w:tc>
        <w:tc>
          <w:tcPr>
            <w:tcW w:w="1451" w:type="dxa"/>
          </w:tcPr>
          <w:p w:rsidR="00055DC2" w:rsidRPr="00055DC2" w:rsidRDefault="00055DC2" w:rsidP="00055DC2">
            <w:pPr>
              <w:spacing w:after="0"/>
              <w:ind w:left="0"/>
              <w:jc w:val="left"/>
              <w:rPr>
                <w:b/>
              </w:rPr>
            </w:pPr>
            <w:r w:rsidRPr="00055DC2">
              <w:rPr>
                <w:b/>
              </w:rPr>
              <w:t>Year (last year for Review/Publication)</w:t>
            </w:r>
          </w:p>
        </w:tc>
        <w:tc>
          <w:tcPr>
            <w:tcW w:w="1969" w:type="dxa"/>
            <w:noWrap/>
          </w:tcPr>
          <w:p w:rsidR="00055DC2" w:rsidRPr="00055DC2" w:rsidRDefault="00055DC2" w:rsidP="00055DC2">
            <w:pPr>
              <w:spacing w:after="0"/>
              <w:ind w:left="0"/>
              <w:jc w:val="left"/>
              <w:rPr>
                <w:b/>
              </w:rPr>
            </w:pPr>
            <w:r w:rsidRPr="00055DC2">
              <w:rPr>
                <w:b/>
              </w:rPr>
              <w:t>Type</w:t>
            </w:r>
          </w:p>
        </w:tc>
      </w:tr>
      <w:tr w:rsidR="00055DC2" w:rsidRPr="00055DC2" w:rsidTr="00055DC2">
        <w:trPr>
          <w:trHeight w:val="525"/>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2456: 2014 </w:t>
            </w:r>
          </w:p>
        </w:tc>
        <w:tc>
          <w:tcPr>
            <w:tcW w:w="6660" w:type="dxa"/>
            <w:hideMark/>
          </w:tcPr>
          <w:p w:rsidR="00055DC2" w:rsidRPr="00055DC2" w:rsidRDefault="00055DC2" w:rsidP="00055DC2">
            <w:pPr>
              <w:spacing w:after="0"/>
              <w:ind w:left="0"/>
              <w:jc w:val="left"/>
            </w:pPr>
            <w:r w:rsidRPr="00055DC2">
              <w:t xml:space="preserve">Cold storage of shell eggs Code of practice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Code of practice</w:t>
            </w:r>
          </w:p>
        </w:tc>
      </w:tr>
      <w:tr w:rsidR="00055DC2" w:rsidRPr="00055DC2" w:rsidTr="00055DC2">
        <w:trPr>
          <w:trHeight w:val="593"/>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CAC GL 15:1991 </w:t>
            </w:r>
          </w:p>
        </w:tc>
        <w:tc>
          <w:tcPr>
            <w:tcW w:w="6660" w:type="dxa"/>
            <w:hideMark/>
          </w:tcPr>
          <w:p w:rsidR="00055DC2" w:rsidRPr="00055DC2" w:rsidRDefault="00055DC2" w:rsidP="00055DC2">
            <w:pPr>
              <w:spacing w:after="0"/>
              <w:ind w:left="0"/>
              <w:jc w:val="left"/>
            </w:pPr>
            <w:r w:rsidRPr="00055DC2">
              <w:t xml:space="preserve">Guidelines for the use of </w:t>
            </w:r>
            <w:proofErr w:type="spellStart"/>
            <w:r w:rsidRPr="00055DC2">
              <w:t>non meat</w:t>
            </w:r>
            <w:proofErr w:type="spellEnd"/>
            <w:r w:rsidRPr="00055DC2">
              <w:t xml:space="preserve">-protein products in processed meat and poultry products.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Guideline</w:t>
            </w:r>
          </w:p>
        </w:tc>
      </w:tr>
      <w:tr w:rsidR="00055DC2" w:rsidRPr="00055DC2" w:rsidTr="00055DC2">
        <w:trPr>
          <w:trHeight w:val="602"/>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166:2000 </w:t>
            </w:r>
          </w:p>
        </w:tc>
        <w:tc>
          <w:tcPr>
            <w:tcW w:w="6660" w:type="dxa"/>
            <w:hideMark/>
          </w:tcPr>
          <w:p w:rsidR="00055DC2" w:rsidRPr="00055DC2" w:rsidRDefault="00055DC2" w:rsidP="00055DC2">
            <w:pPr>
              <w:spacing w:after="0"/>
              <w:ind w:left="0"/>
              <w:jc w:val="left"/>
            </w:pPr>
            <w:r w:rsidRPr="00055DC2">
              <w:t xml:space="preserve">Methods for the chemical analysis of meat and meat products (Third Edition).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458"/>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791:1990 </w:t>
            </w:r>
          </w:p>
        </w:tc>
        <w:tc>
          <w:tcPr>
            <w:tcW w:w="6660" w:type="dxa"/>
            <w:hideMark/>
          </w:tcPr>
          <w:p w:rsidR="00055DC2" w:rsidRPr="00055DC2" w:rsidRDefault="00055DC2" w:rsidP="00055DC2">
            <w:pPr>
              <w:spacing w:after="0"/>
              <w:ind w:left="0"/>
              <w:jc w:val="left"/>
            </w:pPr>
            <w:r w:rsidRPr="00055DC2">
              <w:t xml:space="preserve">Methods of detection of salmonellae in meat and meat products.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557"/>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792:1991 </w:t>
            </w:r>
          </w:p>
        </w:tc>
        <w:tc>
          <w:tcPr>
            <w:tcW w:w="6660" w:type="dxa"/>
            <w:hideMark/>
          </w:tcPr>
          <w:p w:rsidR="00055DC2" w:rsidRPr="00055DC2" w:rsidRDefault="00055DC2" w:rsidP="00055DC2">
            <w:pPr>
              <w:spacing w:after="0"/>
              <w:ind w:left="0"/>
              <w:jc w:val="left"/>
            </w:pPr>
            <w:r w:rsidRPr="00055DC2">
              <w:t xml:space="preserve">Method of detection and enumeration of </w:t>
            </w:r>
            <w:proofErr w:type="spellStart"/>
            <w:r w:rsidRPr="00055DC2">
              <w:t>enterobacteriaceae</w:t>
            </w:r>
            <w:proofErr w:type="spellEnd"/>
            <w:r w:rsidRPr="00055DC2">
              <w:t xml:space="preserve"> in meat and meat product.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665"/>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13493:1998 </w:t>
            </w:r>
          </w:p>
        </w:tc>
        <w:tc>
          <w:tcPr>
            <w:tcW w:w="6660" w:type="dxa"/>
            <w:hideMark/>
          </w:tcPr>
          <w:p w:rsidR="00055DC2" w:rsidRPr="00055DC2" w:rsidRDefault="00055DC2" w:rsidP="00055DC2">
            <w:pPr>
              <w:spacing w:after="0"/>
              <w:ind w:left="0"/>
              <w:jc w:val="left"/>
            </w:pPr>
            <w:r w:rsidRPr="00055DC2">
              <w:t xml:space="preserve">Meat and meat products - Determination of chloramphenicol content - Method using liquid chromatography.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6A4416">
        <w:trPr>
          <w:trHeight w:val="638"/>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13496:2000 </w:t>
            </w:r>
          </w:p>
        </w:tc>
        <w:tc>
          <w:tcPr>
            <w:tcW w:w="6660" w:type="dxa"/>
            <w:hideMark/>
          </w:tcPr>
          <w:p w:rsidR="00055DC2" w:rsidRPr="00055DC2" w:rsidRDefault="00055DC2" w:rsidP="00055DC2">
            <w:pPr>
              <w:spacing w:after="0"/>
              <w:ind w:left="0"/>
              <w:jc w:val="left"/>
            </w:pPr>
            <w:r w:rsidRPr="00055DC2">
              <w:t xml:space="preserve">Meat and meat products - Detection of </w:t>
            </w:r>
            <w:proofErr w:type="spellStart"/>
            <w:r w:rsidRPr="00055DC2">
              <w:t>colouring</w:t>
            </w:r>
            <w:proofErr w:type="spellEnd"/>
            <w:r w:rsidRPr="00055DC2">
              <w:t xml:space="preserve"> agents - Method using thin-layer chromatography.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6A4416">
        <w:trPr>
          <w:trHeight w:val="620"/>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13965:1998 </w:t>
            </w:r>
          </w:p>
        </w:tc>
        <w:tc>
          <w:tcPr>
            <w:tcW w:w="6660" w:type="dxa"/>
            <w:hideMark/>
          </w:tcPr>
          <w:p w:rsidR="00055DC2" w:rsidRPr="00055DC2" w:rsidRDefault="00055DC2" w:rsidP="00055DC2">
            <w:pPr>
              <w:spacing w:after="0"/>
              <w:ind w:left="0"/>
              <w:jc w:val="left"/>
            </w:pPr>
            <w:r w:rsidRPr="00055DC2">
              <w:t xml:space="preserve">Meat and meat products - Detection of starch and glucose content - Enzymatic method.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710"/>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1841-1:1996 </w:t>
            </w:r>
          </w:p>
        </w:tc>
        <w:tc>
          <w:tcPr>
            <w:tcW w:w="6660" w:type="dxa"/>
            <w:hideMark/>
          </w:tcPr>
          <w:p w:rsidR="00055DC2" w:rsidRPr="00055DC2" w:rsidRDefault="00055DC2" w:rsidP="00055DC2">
            <w:pPr>
              <w:spacing w:after="0"/>
              <w:ind w:left="0"/>
              <w:jc w:val="left"/>
            </w:pPr>
            <w:r w:rsidRPr="00055DC2">
              <w:t xml:space="preserve">Meat and meat products - Detection of chloride content - Part 1: Volhard method.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557"/>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1841-2:1996 </w:t>
            </w:r>
          </w:p>
        </w:tc>
        <w:tc>
          <w:tcPr>
            <w:tcW w:w="6660" w:type="dxa"/>
            <w:hideMark/>
          </w:tcPr>
          <w:p w:rsidR="00055DC2" w:rsidRPr="00055DC2" w:rsidRDefault="00055DC2" w:rsidP="00055DC2">
            <w:pPr>
              <w:spacing w:after="0"/>
              <w:ind w:left="0"/>
              <w:jc w:val="left"/>
            </w:pPr>
            <w:r w:rsidRPr="00055DC2">
              <w:t xml:space="preserve">Meat and meat products - Detection of chloride content - Part 2: Potentiometric method.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395"/>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2917:1974 </w:t>
            </w:r>
          </w:p>
        </w:tc>
        <w:tc>
          <w:tcPr>
            <w:tcW w:w="6660" w:type="dxa"/>
            <w:hideMark/>
          </w:tcPr>
          <w:p w:rsidR="00055DC2" w:rsidRPr="00055DC2" w:rsidRDefault="00055DC2" w:rsidP="00055DC2">
            <w:pPr>
              <w:spacing w:after="0"/>
              <w:ind w:left="0"/>
              <w:jc w:val="left"/>
            </w:pPr>
            <w:r w:rsidRPr="00055DC2">
              <w:t xml:space="preserve">Meat and meat products - Measurement of pH (Reference Method).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6A4416">
        <w:trPr>
          <w:trHeight w:val="647"/>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3496:1994 </w:t>
            </w:r>
          </w:p>
        </w:tc>
        <w:tc>
          <w:tcPr>
            <w:tcW w:w="6660" w:type="dxa"/>
            <w:hideMark/>
          </w:tcPr>
          <w:p w:rsidR="00055DC2" w:rsidRPr="00055DC2" w:rsidRDefault="00055DC2" w:rsidP="00055DC2">
            <w:pPr>
              <w:spacing w:after="0"/>
              <w:ind w:left="0"/>
              <w:jc w:val="left"/>
            </w:pPr>
            <w:r w:rsidRPr="00055DC2">
              <w:t xml:space="preserve">Specification for meat and meat products - Determination of hydroxyproline content.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575"/>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4133:1979 </w:t>
            </w:r>
          </w:p>
        </w:tc>
        <w:tc>
          <w:tcPr>
            <w:tcW w:w="6660" w:type="dxa"/>
            <w:hideMark/>
          </w:tcPr>
          <w:p w:rsidR="00055DC2" w:rsidRPr="00055DC2" w:rsidRDefault="00055DC2" w:rsidP="00055DC2">
            <w:pPr>
              <w:spacing w:after="0"/>
              <w:ind w:left="0"/>
              <w:jc w:val="left"/>
            </w:pPr>
            <w:r w:rsidRPr="00055DC2">
              <w:t xml:space="preserve">Specification for meat and meat products - Determination of </w:t>
            </w:r>
            <w:proofErr w:type="spellStart"/>
            <w:r w:rsidRPr="00055DC2">
              <w:t>glucono</w:t>
            </w:r>
            <w:proofErr w:type="spellEnd"/>
            <w:r w:rsidRPr="00055DC2">
              <w:t xml:space="preserve">-delta-lactone content (Reference Method).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620"/>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5553:1980 </w:t>
            </w:r>
          </w:p>
        </w:tc>
        <w:tc>
          <w:tcPr>
            <w:tcW w:w="6660" w:type="dxa"/>
            <w:hideMark/>
          </w:tcPr>
          <w:p w:rsidR="00055DC2" w:rsidRPr="00055DC2" w:rsidRDefault="00055DC2" w:rsidP="00055DC2">
            <w:pPr>
              <w:spacing w:after="0"/>
              <w:ind w:left="0"/>
              <w:jc w:val="left"/>
            </w:pPr>
            <w:r w:rsidRPr="00055DC2">
              <w:t xml:space="preserve">Specification for meat and meat products - Detection of polyphosphates.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620"/>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ISO 6391:1997 </w:t>
            </w:r>
          </w:p>
        </w:tc>
        <w:tc>
          <w:tcPr>
            <w:tcW w:w="6660" w:type="dxa"/>
            <w:hideMark/>
          </w:tcPr>
          <w:p w:rsidR="00055DC2" w:rsidRPr="00055DC2" w:rsidRDefault="00055DC2" w:rsidP="00055DC2">
            <w:pPr>
              <w:spacing w:after="0"/>
              <w:ind w:left="0"/>
              <w:jc w:val="left"/>
            </w:pPr>
            <w:r w:rsidRPr="00055DC2">
              <w:t xml:space="preserve">Meat and meat products - Enumeration of Escherichia Coli - Colony count technique at 44 using membranes.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Method of test</w:t>
            </w:r>
          </w:p>
        </w:tc>
      </w:tr>
      <w:tr w:rsidR="00055DC2" w:rsidRPr="00055DC2" w:rsidTr="00055DC2">
        <w:trPr>
          <w:trHeight w:val="525"/>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2544: 2014 </w:t>
            </w:r>
          </w:p>
        </w:tc>
        <w:tc>
          <w:tcPr>
            <w:tcW w:w="6660" w:type="dxa"/>
            <w:hideMark/>
          </w:tcPr>
          <w:p w:rsidR="00055DC2" w:rsidRPr="00055DC2" w:rsidRDefault="00055DC2" w:rsidP="00055DC2">
            <w:pPr>
              <w:spacing w:after="0"/>
              <w:ind w:left="0"/>
              <w:jc w:val="left"/>
            </w:pPr>
            <w:r w:rsidRPr="00055DC2">
              <w:t xml:space="preserve">Edible egg albumen powder Specification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Specification</w:t>
            </w:r>
          </w:p>
        </w:tc>
      </w:tr>
      <w:tr w:rsidR="00055DC2" w:rsidRPr="00055DC2" w:rsidTr="00055DC2">
        <w:trPr>
          <w:trHeight w:val="510"/>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2545:2014 </w:t>
            </w:r>
          </w:p>
        </w:tc>
        <w:tc>
          <w:tcPr>
            <w:tcW w:w="6660" w:type="dxa"/>
            <w:hideMark/>
          </w:tcPr>
          <w:p w:rsidR="00055DC2" w:rsidRPr="00055DC2" w:rsidRDefault="00055DC2" w:rsidP="00055DC2">
            <w:pPr>
              <w:spacing w:after="0"/>
              <w:ind w:left="0"/>
              <w:jc w:val="left"/>
            </w:pPr>
            <w:r w:rsidRPr="00055DC2">
              <w:t xml:space="preserve">Pickled quail eggs Specification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Specification</w:t>
            </w:r>
          </w:p>
        </w:tc>
      </w:tr>
      <w:tr w:rsidR="00055DC2" w:rsidRPr="00055DC2" w:rsidTr="00B60E19">
        <w:trPr>
          <w:trHeight w:val="422"/>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2546:2014 </w:t>
            </w:r>
          </w:p>
        </w:tc>
        <w:tc>
          <w:tcPr>
            <w:tcW w:w="6660" w:type="dxa"/>
            <w:hideMark/>
          </w:tcPr>
          <w:p w:rsidR="00055DC2" w:rsidRPr="00055DC2" w:rsidRDefault="00055DC2" w:rsidP="00055DC2">
            <w:pPr>
              <w:spacing w:after="0"/>
              <w:ind w:left="0"/>
              <w:jc w:val="left"/>
            </w:pPr>
            <w:r w:rsidRPr="00055DC2">
              <w:t xml:space="preserve">Albumen flakes of non-edible quality Specification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Specification</w:t>
            </w:r>
          </w:p>
        </w:tc>
      </w:tr>
      <w:tr w:rsidR="00055DC2" w:rsidRPr="00055DC2" w:rsidTr="00055DC2">
        <w:trPr>
          <w:trHeight w:val="510"/>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2576:2014 </w:t>
            </w:r>
          </w:p>
        </w:tc>
        <w:tc>
          <w:tcPr>
            <w:tcW w:w="6660" w:type="dxa"/>
            <w:hideMark/>
          </w:tcPr>
          <w:p w:rsidR="00055DC2" w:rsidRPr="00055DC2" w:rsidRDefault="00055DC2" w:rsidP="00055DC2">
            <w:pPr>
              <w:spacing w:after="0"/>
              <w:ind w:left="0"/>
              <w:jc w:val="left"/>
            </w:pPr>
            <w:r w:rsidRPr="00055DC2">
              <w:t xml:space="preserve">Egg powder - Specification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Specification</w:t>
            </w:r>
          </w:p>
        </w:tc>
      </w:tr>
      <w:tr w:rsidR="00055DC2" w:rsidRPr="00055DC2" w:rsidTr="00B60E19">
        <w:trPr>
          <w:trHeight w:val="368"/>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EAS 26:2000 </w:t>
            </w:r>
          </w:p>
        </w:tc>
        <w:tc>
          <w:tcPr>
            <w:tcW w:w="6660" w:type="dxa"/>
            <w:hideMark/>
          </w:tcPr>
          <w:p w:rsidR="00055DC2" w:rsidRPr="00055DC2" w:rsidRDefault="00055DC2" w:rsidP="00055DC2">
            <w:pPr>
              <w:spacing w:after="0"/>
              <w:ind w:left="0"/>
              <w:jc w:val="left"/>
            </w:pPr>
            <w:r w:rsidRPr="00055DC2">
              <w:t xml:space="preserve">Canned corned beef - Specification.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Specification</w:t>
            </w:r>
          </w:p>
        </w:tc>
      </w:tr>
      <w:tr w:rsidR="00055DC2" w:rsidRPr="00055DC2" w:rsidTr="00B60E19">
        <w:trPr>
          <w:trHeight w:val="548"/>
        </w:trPr>
        <w:tc>
          <w:tcPr>
            <w:tcW w:w="900" w:type="dxa"/>
          </w:tcPr>
          <w:p w:rsidR="00055DC2" w:rsidRPr="00055DC2" w:rsidRDefault="00055DC2" w:rsidP="00055DC2">
            <w:pPr>
              <w:numPr>
                <w:ilvl w:val="0"/>
                <w:numId w:val="3"/>
              </w:numPr>
              <w:spacing w:after="0"/>
              <w:contextualSpacing/>
              <w:jc w:val="left"/>
            </w:pPr>
          </w:p>
        </w:tc>
        <w:tc>
          <w:tcPr>
            <w:tcW w:w="2070" w:type="dxa"/>
            <w:hideMark/>
          </w:tcPr>
          <w:p w:rsidR="00055DC2" w:rsidRPr="00055DC2" w:rsidRDefault="00055DC2" w:rsidP="00055DC2">
            <w:pPr>
              <w:spacing w:after="0"/>
              <w:ind w:left="0"/>
              <w:jc w:val="left"/>
            </w:pPr>
            <w:r w:rsidRPr="00055DC2">
              <w:t xml:space="preserve">KS EAS 84-1:2000 </w:t>
            </w:r>
          </w:p>
        </w:tc>
        <w:tc>
          <w:tcPr>
            <w:tcW w:w="6660" w:type="dxa"/>
            <w:hideMark/>
          </w:tcPr>
          <w:p w:rsidR="00055DC2" w:rsidRPr="00055DC2" w:rsidRDefault="00055DC2" w:rsidP="00055DC2">
            <w:pPr>
              <w:spacing w:after="0"/>
              <w:ind w:left="0"/>
              <w:jc w:val="left"/>
            </w:pPr>
            <w:r w:rsidRPr="00055DC2">
              <w:t xml:space="preserve">Meat grades and meat cuts - Specification - Part 1: Beef grades and cuts, veal grades. </w:t>
            </w:r>
          </w:p>
        </w:tc>
        <w:tc>
          <w:tcPr>
            <w:tcW w:w="1451" w:type="dxa"/>
            <w:hideMark/>
          </w:tcPr>
          <w:p w:rsidR="00055DC2" w:rsidRPr="00055DC2" w:rsidRDefault="00055DC2" w:rsidP="00055DC2">
            <w:pPr>
              <w:spacing w:after="0"/>
              <w:ind w:left="0"/>
              <w:jc w:val="left"/>
            </w:pPr>
            <w:r w:rsidRPr="00055DC2">
              <w:t>2014</w:t>
            </w:r>
          </w:p>
        </w:tc>
        <w:tc>
          <w:tcPr>
            <w:tcW w:w="1969" w:type="dxa"/>
            <w:noWrap/>
            <w:hideMark/>
          </w:tcPr>
          <w:p w:rsidR="00055DC2" w:rsidRPr="00055DC2" w:rsidRDefault="00055DC2" w:rsidP="00055DC2">
            <w:pPr>
              <w:spacing w:after="0"/>
              <w:ind w:left="0"/>
              <w:jc w:val="left"/>
            </w:pPr>
            <w:r w:rsidRPr="00055DC2">
              <w:t>Specification</w:t>
            </w:r>
          </w:p>
        </w:tc>
      </w:tr>
    </w:tbl>
    <w:p w:rsidR="00DA624E" w:rsidRPr="00020164" w:rsidRDefault="00DA624E" w:rsidP="00341602"/>
    <w:sectPr w:rsidR="00DA624E" w:rsidRPr="00020164" w:rsidSect="008E6155">
      <w:headerReference w:type="default" r:id="rId8"/>
      <w:pgSz w:w="15840" w:h="12240" w:orient="landscape"/>
      <w:pgMar w:top="720" w:right="1530" w:bottom="72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4AE" w:rsidRDefault="008254AE" w:rsidP="00020164">
      <w:pPr>
        <w:spacing w:after="0"/>
      </w:pPr>
      <w:r>
        <w:separator/>
      </w:r>
    </w:p>
  </w:endnote>
  <w:endnote w:type="continuationSeparator" w:id="0">
    <w:p w:rsidR="008254AE" w:rsidRDefault="008254AE" w:rsidP="00020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4AE" w:rsidRDefault="008254AE" w:rsidP="00020164">
      <w:pPr>
        <w:spacing w:after="0"/>
      </w:pPr>
      <w:r>
        <w:separator/>
      </w:r>
    </w:p>
  </w:footnote>
  <w:footnote w:type="continuationSeparator" w:id="0">
    <w:p w:rsidR="008254AE" w:rsidRDefault="008254AE" w:rsidP="000201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B1" w:rsidRDefault="007856B1" w:rsidP="00020164">
    <w:pPr>
      <w:pStyle w:val="Header"/>
      <w:jc w:val="right"/>
      <w:rPr>
        <w:rFonts w:ascii="Arial" w:hAnsi="Arial" w:cs="Arial"/>
        <w:b/>
        <w:sz w:val="20"/>
        <w:szCs w:val="20"/>
      </w:rPr>
    </w:pPr>
  </w:p>
  <w:p w:rsidR="00020164" w:rsidRPr="0032084E" w:rsidRDefault="00020164" w:rsidP="00020164">
    <w:pPr>
      <w:pStyle w:val="Header"/>
      <w:jc w:val="right"/>
      <w:rPr>
        <w:rFonts w:ascii="Arial" w:hAnsi="Arial" w:cs="Arial"/>
        <w:b/>
        <w:sz w:val="20"/>
        <w:szCs w:val="20"/>
      </w:rPr>
    </w:pPr>
    <w:r>
      <w:rPr>
        <w:rFonts w:ascii="Arial" w:hAnsi="Arial" w:cs="Arial"/>
        <w:b/>
        <w:sz w:val="20"/>
        <w:szCs w:val="20"/>
      </w:rPr>
      <w:ptab w:relativeTo="margin" w:alignment="center" w:leader="none"/>
    </w:r>
    <w:r w:rsidRPr="0032084E">
      <w:rPr>
        <w:rFonts w:ascii="Arial" w:hAnsi="Arial" w:cs="Arial"/>
        <w:b/>
        <w:sz w:val="20"/>
        <w:szCs w:val="20"/>
      </w:rPr>
      <w:t>STA/SD/OP/05/F1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14E5"/>
    <w:multiLevelType w:val="hybridMultilevel"/>
    <w:tmpl w:val="9FF61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F978B4"/>
    <w:multiLevelType w:val="hybridMultilevel"/>
    <w:tmpl w:val="EC94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F7752"/>
    <w:multiLevelType w:val="hybridMultilevel"/>
    <w:tmpl w:val="B250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64"/>
    <w:rsid w:val="00020164"/>
    <w:rsid w:val="000407FE"/>
    <w:rsid w:val="00055DC2"/>
    <w:rsid w:val="000826FA"/>
    <w:rsid w:val="000A732C"/>
    <w:rsid w:val="000C15A6"/>
    <w:rsid w:val="000F6A52"/>
    <w:rsid w:val="00145312"/>
    <w:rsid w:val="001777DF"/>
    <w:rsid w:val="0020425B"/>
    <w:rsid w:val="00213D67"/>
    <w:rsid w:val="00272BC8"/>
    <w:rsid w:val="002F682D"/>
    <w:rsid w:val="00341602"/>
    <w:rsid w:val="00392644"/>
    <w:rsid w:val="00397671"/>
    <w:rsid w:val="003C4B4F"/>
    <w:rsid w:val="003D6C26"/>
    <w:rsid w:val="00437EA4"/>
    <w:rsid w:val="00477B46"/>
    <w:rsid w:val="004929F0"/>
    <w:rsid w:val="004A0378"/>
    <w:rsid w:val="00555725"/>
    <w:rsid w:val="005E3B42"/>
    <w:rsid w:val="00634B91"/>
    <w:rsid w:val="00651BEE"/>
    <w:rsid w:val="006540E3"/>
    <w:rsid w:val="0068589C"/>
    <w:rsid w:val="006A4416"/>
    <w:rsid w:val="00735BEF"/>
    <w:rsid w:val="00745F63"/>
    <w:rsid w:val="00747D65"/>
    <w:rsid w:val="007856B1"/>
    <w:rsid w:val="007C0543"/>
    <w:rsid w:val="0081623E"/>
    <w:rsid w:val="008254AE"/>
    <w:rsid w:val="00864E95"/>
    <w:rsid w:val="008824A4"/>
    <w:rsid w:val="008D3820"/>
    <w:rsid w:val="008E6155"/>
    <w:rsid w:val="00906E51"/>
    <w:rsid w:val="009456A9"/>
    <w:rsid w:val="00996C09"/>
    <w:rsid w:val="009F7CE2"/>
    <w:rsid w:val="00A00C27"/>
    <w:rsid w:val="00A701A9"/>
    <w:rsid w:val="00A8702D"/>
    <w:rsid w:val="00AC7F01"/>
    <w:rsid w:val="00B60E19"/>
    <w:rsid w:val="00BE36E7"/>
    <w:rsid w:val="00C175F0"/>
    <w:rsid w:val="00C73387"/>
    <w:rsid w:val="00C8069C"/>
    <w:rsid w:val="00DA624E"/>
    <w:rsid w:val="00DD1815"/>
    <w:rsid w:val="00E33E50"/>
    <w:rsid w:val="00E56E30"/>
    <w:rsid w:val="00E82080"/>
    <w:rsid w:val="00EE2655"/>
    <w:rsid w:val="00EE775F"/>
    <w:rsid w:val="00F05A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D5A3E3-8AA0-4DBD-8411-54A40994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164"/>
    <w:pPr>
      <w:spacing w:after="60" w:line="240" w:lineRule="auto"/>
      <w:ind w:left="72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164"/>
    <w:rPr>
      <w:color w:val="0000FF"/>
      <w:u w:val="single"/>
    </w:rPr>
  </w:style>
  <w:style w:type="paragraph" w:styleId="Header">
    <w:name w:val="header"/>
    <w:basedOn w:val="Normal"/>
    <w:link w:val="HeaderChar"/>
    <w:unhideWhenUsed/>
    <w:rsid w:val="00020164"/>
    <w:pPr>
      <w:tabs>
        <w:tab w:val="center" w:pos="4680"/>
        <w:tab w:val="right" w:pos="9360"/>
      </w:tabs>
      <w:spacing w:after="0"/>
    </w:pPr>
  </w:style>
  <w:style w:type="character" w:customStyle="1" w:styleId="HeaderChar">
    <w:name w:val="Header Char"/>
    <w:basedOn w:val="DefaultParagraphFont"/>
    <w:link w:val="Header"/>
    <w:rsid w:val="00020164"/>
    <w:rPr>
      <w:rFonts w:ascii="Calibri" w:eastAsia="Calibri" w:hAnsi="Calibri" w:cs="Times New Roman"/>
    </w:rPr>
  </w:style>
  <w:style w:type="paragraph" w:styleId="Footer">
    <w:name w:val="footer"/>
    <w:basedOn w:val="Normal"/>
    <w:link w:val="FooterChar"/>
    <w:uiPriority w:val="99"/>
    <w:unhideWhenUsed/>
    <w:rsid w:val="00020164"/>
    <w:pPr>
      <w:tabs>
        <w:tab w:val="center" w:pos="4680"/>
        <w:tab w:val="right" w:pos="9360"/>
      </w:tabs>
      <w:spacing w:after="0"/>
    </w:pPr>
  </w:style>
  <w:style w:type="character" w:customStyle="1" w:styleId="FooterChar">
    <w:name w:val="Footer Char"/>
    <w:basedOn w:val="DefaultParagraphFont"/>
    <w:link w:val="Footer"/>
    <w:uiPriority w:val="99"/>
    <w:rsid w:val="00020164"/>
    <w:rPr>
      <w:rFonts w:ascii="Calibri" w:eastAsia="Calibri" w:hAnsi="Calibri" w:cs="Times New Roman"/>
    </w:rPr>
  </w:style>
  <w:style w:type="paragraph" w:styleId="BalloonText">
    <w:name w:val="Balloon Text"/>
    <w:basedOn w:val="Normal"/>
    <w:link w:val="BalloonTextChar"/>
    <w:uiPriority w:val="99"/>
    <w:semiHidden/>
    <w:unhideWhenUsed/>
    <w:rsid w:val="000201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64"/>
    <w:rPr>
      <w:rFonts w:ascii="Tahoma" w:eastAsia="Calibri" w:hAnsi="Tahoma" w:cs="Tahoma"/>
      <w:sz w:val="16"/>
      <w:szCs w:val="16"/>
    </w:rPr>
  </w:style>
  <w:style w:type="paragraph" w:styleId="ListParagraph">
    <w:name w:val="List Paragraph"/>
    <w:basedOn w:val="Normal"/>
    <w:uiPriority w:val="34"/>
    <w:qFormat/>
    <w:rsid w:val="00020164"/>
    <w:pPr>
      <w:spacing w:after="0"/>
      <w:ind w:left="708"/>
      <w:jc w:val="left"/>
    </w:pPr>
    <w:rPr>
      <w:rFonts w:ascii="Times New Roman" w:eastAsia="Times New Roman" w:hAnsi="Times New Roman"/>
      <w:sz w:val="24"/>
      <w:szCs w:val="24"/>
    </w:rPr>
  </w:style>
  <w:style w:type="table" w:styleId="TableGrid">
    <w:name w:val="Table Grid"/>
    <w:basedOn w:val="TableNormal"/>
    <w:uiPriority w:val="39"/>
    <w:rsid w:val="0005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85177">
      <w:bodyDiv w:val="1"/>
      <w:marLeft w:val="0"/>
      <w:marRight w:val="0"/>
      <w:marTop w:val="0"/>
      <w:marBottom w:val="0"/>
      <w:divBdr>
        <w:top w:val="none" w:sz="0" w:space="0" w:color="auto"/>
        <w:left w:val="none" w:sz="0" w:space="0" w:color="auto"/>
        <w:bottom w:val="none" w:sz="0" w:space="0" w:color="auto"/>
        <w:right w:val="none" w:sz="0" w:space="0" w:color="auto"/>
      </w:divBdr>
    </w:div>
    <w:div w:id="9329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iminzag@keb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kiminzag@kebs.org</dc:creator>
  <cp:lastModifiedBy>Obiero Steven</cp:lastModifiedBy>
  <cp:revision>2</cp:revision>
  <dcterms:created xsi:type="dcterms:W3CDTF">2019-10-24T08:04:00Z</dcterms:created>
  <dcterms:modified xsi:type="dcterms:W3CDTF">2019-10-24T08:04:00Z</dcterms:modified>
</cp:coreProperties>
</file>