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204EA3" w14:textId="6767AF84" w:rsidR="00E46684" w:rsidRPr="00E46684" w:rsidRDefault="00E46684" w:rsidP="00E46684">
      <w:pPr>
        <w:tabs>
          <w:tab w:val="right" w:leader="dot" w:pos="3600"/>
        </w:tabs>
        <w:autoSpaceDE w:val="0"/>
        <w:autoSpaceDN w:val="0"/>
        <w:adjustRightInd w:val="0"/>
        <w:spacing w:after="60" w:line="240" w:lineRule="auto"/>
        <w:jc w:val="both"/>
        <w:rPr>
          <w:rFonts w:ascii="Arial" w:eastAsia="Times New Roman" w:hAnsi="Arial" w:cs="Arial"/>
          <w:b/>
          <w:bCs/>
          <w:u w:val="single"/>
        </w:rPr>
      </w:pPr>
      <w:r w:rsidRPr="00E46684">
        <w:rPr>
          <w:rFonts w:ascii="Arial" w:eastAsia="Times New Roman" w:hAnsi="Arial" w:cs="Arial"/>
          <w:b/>
          <w:u w:val="single"/>
        </w:rPr>
        <w:t xml:space="preserve">List of Kenya Standards for Systematic Review </w:t>
      </w:r>
      <w:r>
        <w:rPr>
          <w:rFonts w:ascii="Arial" w:eastAsia="Times New Roman" w:hAnsi="Arial" w:cs="Arial"/>
          <w:b/>
          <w:u w:val="single"/>
        </w:rPr>
        <w:t>-</w:t>
      </w:r>
      <w:r w:rsidR="00966851">
        <w:rPr>
          <w:rFonts w:ascii="Arial" w:eastAsia="Times New Roman" w:hAnsi="Arial" w:cs="Arial"/>
          <w:b/>
          <w:u w:val="single"/>
        </w:rPr>
        <w:t>Meat</w:t>
      </w:r>
      <w:r>
        <w:rPr>
          <w:rFonts w:ascii="Arial" w:eastAsia="Times New Roman" w:hAnsi="Arial" w:cs="Arial"/>
          <w:b/>
          <w:u w:val="single"/>
        </w:rPr>
        <w:t xml:space="preserve"> TC</w:t>
      </w:r>
    </w:p>
    <w:p w14:paraId="2E75C55E" w14:textId="77777777" w:rsidR="00E46684" w:rsidRPr="00E46684" w:rsidRDefault="00E46684" w:rsidP="00E46684">
      <w:pPr>
        <w:tabs>
          <w:tab w:val="right" w:leader="dot" w:pos="3600"/>
        </w:tabs>
        <w:autoSpaceDE w:val="0"/>
        <w:autoSpaceDN w:val="0"/>
        <w:adjustRightInd w:val="0"/>
        <w:spacing w:after="60" w:line="240" w:lineRule="auto"/>
        <w:jc w:val="both"/>
        <w:rPr>
          <w:rFonts w:ascii="Arial" w:eastAsia="Times New Roman" w:hAnsi="Arial" w:cs="Arial"/>
          <w:bCs/>
          <w:sz w:val="20"/>
          <w:szCs w:val="20"/>
        </w:rPr>
      </w:pPr>
    </w:p>
    <w:tbl>
      <w:tblPr>
        <w:tblStyle w:val="TableGrid"/>
        <w:tblW w:w="13107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837"/>
        <w:gridCol w:w="1716"/>
        <w:gridCol w:w="7371"/>
        <w:gridCol w:w="1350"/>
        <w:gridCol w:w="1833"/>
      </w:tblGrid>
      <w:tr w:rsidR="00E46684" w:rsidRPr="00E46684" w14:paraId="7732D49D" w14:textId="77777777" w:rsidTr="00C06336">
        <w:trPr>
          <w:trHeight w:val="402"/>
        </w:trPr>
        <w:tc>
          <w:tcPr>
            <w:tcW w:w="837" w:type="dxa"/>
          </w:tcPr>
          <w:p w14:paraId="77216E41" w14:textId="77777777" w:rsidR="00E46684" w:rsidRPr="00E46684" w:rsidRDefault="00E46684" w:rsidP="00E46684">
            <w:pPr>
              <w:rPr>
                <w:rFonts w:ascii="Calibri" w:hAnsi="Calibri"/>
                <w:b/>
              </w:rPr>
            </w:pPr>
          </w:p>
        </w:tc>
        <w:tc>
          <w:tcPr>
            <w:tcW w:w="1716" w:type="dxa"/>
          </w:tcPr>
          <w:p w14:paraId="588F9BEA" w14:textId="77777777" w:rsidR="00E46684" w:rsidRPr="00E46684" w:rsidRDefault="00E46684" w:rsidP="00E46684">
            <w:pPr>
              <w:rPr>
                <w:rFonts w:ascii="Calibri" w:hAnsi="Calibri"/>
                <w:b/>
              </w:rPr>
            </w:pPr>
            <w:r w:rsidRPr="00E46684">
              <w:rPr>
                <w:rFonts w:ascii="Calibri" w:hAnsi="Calibri"/>
                <w:b/>
              </w:rPr>
              <w:t>Reference</w:t>
            </w:r>
          </w:p>
        </w:tc>
        <w:tc>
          <w:tcPr>
            <w:tcW w:w="7371" w:type="dxa"/>
          </w:tcPr>
          <w:p w14:paraId="185D33DB" w14:textId="77777777" w:rsidR="00E46684" w:rsidRPr="00E46684" w:rsidRDefault="00E46684" w:rsidP="00E46684">
            <w:pPr>
              <w:rPr>
                <w:rFonts w:ascii="Calibri" w:hAnsi="Calibri"/>
                <w:b/>
              </w:rPr>
            </w:pPr>
            <w:r w:rsidRPr="00E46684">
              <w:rPr>
                <w:rFonts w:ascii="Calibri" w:hAnsi="Calibri"/>
                <w:b/>
              </w:rPr>
              <w:t>Title</w:t>
            </w:r>
          </w:p>
        </w:tc>
        <w:tc>
          <w:tcPr>
            <w:tcW w:w="1350" w:type="dxa"/>
          </w:tcPr>
          <w:p w14:paraId="4A9B15DA" w14:textId="77777777" w:rsidR="00E46684" w:rsidRPr="00E46684" w:rsidRDefault="00E46684" w:rsidP="00E46684">
            <w:pPr>
              <w:rPr>
                <w:rFonts w:ascii="Calibri" w:hAnsi="Calibri"/>
                <w:b/>
              </w:rPr>
            </w:pPr>
            <w:r w:rsidRPr="00E46684">
              <w:rPr>
                <w:rFonts w:ascii="Calibri" w:hAnsi="Calibri"/>
                <w:b/>
              </w:rPr>
              <w:t>Year (last year for Review/Publication)</w:t>
            </w:r>
          </w:p>
        </w:tc>
        <w:tc>
          <w:tcPr>
            <w:tcW w:w="1833" w:type="dxa"/>
            <w:noWrap/>
          </w:tcPr>
          <w:p w14:paraId="3AA21600" w14:textId="77777777" w:rsidR="00E46684" w:rsidRPr="00E46684" w:rsidRDefault="00E46684" w:rsidP="00E46684">
            <w:pPr>
              <w:rPr>
                <w:rFonts w:ascii="Calibri" w:hAnsi="Calibri"/>
                <w:b/>
              </w:rPr>
            </w:pPr>
            <w:r w:rsidRPr="00E46684">
              <w:rPr>
                <w:rFonts w:ascii="Calibri" w:hAnsi="Calibri"/>
                <w:b/>
              </w:rPr>
              <w:t>Type</w:t>
            </w:r>
          </w:p>
        </w:tc>
      </w:tr>
      <w:tr w:rsidR="00C06336" w:rsidRPr="00E46684" w14:paraId="734CAD2B" w14:textId="77777777" w:rsidTr="00C06336">
        <w:trPr>
          <w:trHeight w:val="402"/>
        </w:trPr>
        <w:tc>
          <w:tcPr>
            <w:tcW w:w="837" w:type="dxa"/>
          </w:tcPr>
          <w:p w14:paraId="74138A56" w14:textId="77777777" w:rsidR="00C06336" w:rsidRPr="00E46684" w:rsidRDefault="00C06336" w:rsidP="00C06336">
            <w:pPr>
              <w:numPr>
                <w:ilvl w:val="0"/>
                <w:numId w:val="1"/>
              </w:numPr>
              <w:contextualSpacing/>
              <w:rPr>
                <w:rFonts w:ascii="Calibri" w:hAnsi="Calibri"/>
              </w:rPr>
            </w:pP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CAEF676" w14:textId="43BA464C" w:rsidR="00C06336" w:rsidRPr="00E46684" w:rsidRDefault="00C06336" w:rsidP="00C06336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 w:rsidRPr="00AB2591">
              <w:t>KS 317-2:2017</w:t>
            </w:r>
          </w:p>
        </w:tc>
        <w:tc>
          <w:tcPr>
            <w:tcW w:w="73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F31D207" w14:textId="3903FE4D" w:rsidR="00C06336" w:rsidRPr="00E46684" w:rsidRDefault="00C06336" w:rsidP="00C06336">
            <w:pPr>
              <w:spacing w:after="60"/>
              <w:rPr>
                <w:rFonts w:ascii="Verdana" w:hAnsi="Verdana"/>
                <w:color w:val="000000"/>
                <w:sz w:val="20"/>
                <w:szCs w:val="20"/>
              </w:rPr>
            </w:pPr>
            <w:r w:rsidRPr="00AB2591">
              <w:t xml:space="preserve">Carcasses and meat cuts for ovine and caprine meat – lamb and mutton, goat — Specification, Second Edition </w:t>
            </w:r>
          </w:p>
        </w:tc>
        <w:tc>
          <w:tcPr>
            <w:tcW w:w="13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553231F" w14:textId="0E2B0794" w:rsidR="00C06336" w:rsidRPr="00E46684" w:rsidRDefault="00C06336" w:rsidP="00C06336">
            <w:pPr>
              <w:spacing w:after="60"/>
              <w:ind w:left="720"/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  <w:tc>
          <w:tcPr>
            <w:tcW w:w="18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</w:tcPr>
          <w:p w14:paraId="2177282B" w14:textId="4BE43DFE" w:rsidR="00C06336" w:rsidRPr="00E46684" w:rsidRDefault="00C06336" w:rsidP="00C06336">
            <w:pPr>
              <w:spacing w:after="60"/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</w:tr>
      <w:tr w:rsidR="00C06336" w:rsidRPr="00E46684" w14:paraId="16A6D737" w14:textId="77777777" w:rsidTr="00C06336">
        <w:trPr>
          <w:trHeight w:val="402"/>
        </w:trPr>
        <w:tc>
          <w:tcPr>
            <w:tcW w:w="837" w:type="dxa"/>
          </w:tcPr>
          <w:p w14:paraId="5F9C499F" w14:textId="77777777" w:rsidR="00C06336" w:rsidRPr="00E46684" w:rsidRDefault="00C06336" w:rsidP="00C06336">
            <w:pPr>
              <w:numPr>
                <w:ilvl w:val="0"/>
                <w:numId w:val="1"/>
              </w:numPr>
              <w:contextualSpacing/>
              <w:rPr>
                <w:rFonts w:ascii="Calibri" w:hAnsi="Calibri"/>
              </w:rPr>
            </w:pP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</w:tcPr>
          <w:p w14:paraId="09C15479" w14:textId="6EDCC5D5" w:rsidR="00C06336" w:rsidRPr="00E46684" w:rsidRDefault="00C06336" w:rsidP="00C06336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 w:rsidRPr="00AB2591">
              <w:t>KS 317-3:2017</w:t>
            </w:r>
          </w:p>
        </w:tc>
        <w:tc>
          <w:tcPr>
            <w:tcW w:w="73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8D25529" w14:textId="4512F4F0" w:rsidR="00C06336" w:rsidRPr="00E46684" w:rsidRDefault="00C06336" w:rsidP="00C06336">
            <w:pPr>
              <w:spacing w:after="60"/>
              <w:rPr>
                <w:rFonts w:ascii="Verdana" w:hAnsi="Verdana"/>
                <w:color w:val="000000"/>
                <w:sz w:val="20"/>
                <w:szCs w:val="20"/>
              </w:rPr>
            </w:pPr>
            <w:r w:rsidRPr="00AB2591">
              <w:t xml:space="preserve">Carcasses and meat cuts for pork — Specification, First Edition </w:t>
            </w:r>
          </w:p>
        </w:tc>
        <w:tc>
          <w:tcPr>
            <w:tcW w:w="13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819F05F" w14:textId="338E058D" w:rsidR="00C06336" w:rsidRPr="00E46684" w:rsidRDefault="00C06336" w:rsidP="00C06336">
            <w:pPr>
              <w:spacing w:after="60"/>
              <w:ind w:left="720"/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  <w:tc>
          <w:tcPr>
            <w:tcW w:w="18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</w:tcPr>
          <w:p w14:paraId="36272442" w14:textId="64F203F0" w:rsidR="00C06336" w:rsidRPr="00E46684" w:rsidRDefault="00C06336" w:rsidP="00C06336">
            <w:pPr>
              <w:spacing w:after="60"/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</w:tr>
      <w:tr w:rsidR="00C06336" w:rsidRPr="00E46684" w14:paraId="029231E5" w14:textId="77777777" w:rsidTr="00C06336">
        <w:trPr>
          <w:trHeight w:val="402"/>
        </w:trPr>
        <w:tc>
          <w:tcPr>
            <w:tcW w:w="837" w:type="dxa"/>
          </w:tcPr>
          <w:p w14:paraId="5F3431A8" w14:textId="77777777" w:rsidR="00C06336" w:rsidRPr="00E46684" w:rsidRDefault="00C06336" w:rsidP="00C06336">
            <w:pPr>
              <w:numPr>
                <w:ilvl w:val="0"/>
                <w:numId w:val="1"/>
              </w:numPr>
              <w:contextualSpacing/>
              <w:rPr>
                <w:rFonts w:ascii="Calibri" w:hAnsi="Calibri"/>
              </w:rPr>
            </w:pP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</w:tcPr>
          <w:p w14:paraId="7061D3B8" w14:textId="050AE3A7" w:rsidR="00C06336" w:rsidRPr="00E46684" w:rsidRDefault="00C06336" w:rsidP="00C06336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 w:rsidRPr="00AB2591">
              <w:t>KS 2722:2017</w:t>
            </w:r>
          </w:p>
        </w:tc>
        <w:tc>
          <w:tcPr>
            <w:tcW w:w="73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40423F0" w14:textId="4970BCE1" w:rsidR="00C06336" w:rsidRPr="00E46684" w:rsidRDefault="00C06336" w:rsidP="00C06336">
            <w:pPr>
              <w:spacing w:after="60"/>
              <w:rPr>
                <w:rFonts w:ascii="Verdana" w:hAnsi="Verdana"/>
                <w:color w:val="000000"/>
                <w:sz w:val="20"/>
                <w:szCs w:val="20"/>
              </w:rPr>
            </w:pPr>
            <w:r w:rsidRPr="00AB2591">
              <w:t xml:space="preserve">Kenya Standard — Rabbit meat — Specification, First Edition </w:t>
            </w:r>
          </w:p>
        </w:tc>
        <w:tc>
          <w:tcPr>
            <w:tcW w:w="13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DE3B62E" w14:textId="77777777" w:rsidR="00C06336" w:rsidRPr="00E46684" w:rsidRDefault="00C06336" w:rsidP="00C06336">
            <w:pPr>
              <w:spacing w:after="60"/>
              <w:ind w:left="720"/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  <w:tc>
          <w:tcPr>
            <w:tcW w:w="18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</w:tcPr>
          <w:p w14:paraId="03D0F6A1" w14:textId="77777777" w:rsidR="00C06336" w:rsidRPr="00E46684" w:rsidRDefault="00C06336" w:rsidP="00C06336">
            <w:pPr>
              <w:spacing w:after="60"/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</w:tr>
      <w:tr w:rsidR="00C06336" w:rsidRPr="00E46684" w14:paraId="3E65D353" w14:textId="77777777" w:rsidTr="00C06336">
        <w:trPr>
          <w:trHeight w:val="402"/>
        </w:trPr>
        <w:tc>
          <w:tcPr>
            <w:tcW w:w="837" w:type="dxa"/>
          </w:tcPr>
          <w:p w14:paraId="5401DB64" w14:textId="77777777" w:rsidR="00C06336" w:rsidRPr="00E46684" w:rsidRDefault="00C06336" w:rsidP="00C06336">
            <w:pPr>
              <w:numPr>
                <w:ilvl w:val="0"/>
                <w:numId w:val="1"/>
              </w:numPr>
              <w:contextualSpacing/>
              <w:rPr>
                <w:rFonts w:ascii="Calibri" w:hAnsi="Calibri"/>
              </w:rPr>
            </w:pP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</w:tcPr>
          <w:p w14:paraId="664A792C" w14:textId="755AE2FE" w:rsidR="00C06336" w:rsidRPr="00E46684" w:rsidRDefault="00C06336" w:rsidP="00C06336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 w:rsidRPr="00AB2591">
              <w:t>KS 2723:2017</w:t>
            </w:r>
          </w:p>
        </w:tc>
        <w:tc>
          <w:tcPr>
            <w:tcW w:w="73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21771C3" w14:textId="76380C52" w:rsidR="00C06336" w:rsidRPr="00E46684" w:rsidRDefault="00C06336" w:rsidP="00C06336">
            <w:pPr>
              <w:spacing w:after="60"/>
              <w:rPr>
                <w:rFonts w:ascii="Verdana" w:hAnsi="Verdana"/>
                <w:color w:val="000000"/>
                <w:sz w:val="20"/>
                <w:szCs w:val="20"/>
              </w:rPr>
            </w:pPr>
            <w:r w:rsidRPr="00AB2591">
              <w:t xml:space="preserve">Dried meat — Specification, First Edition </w:t>
            </w:r>
          </w:p>
        </w:tc>
        <w:tc>
          <w:tcPr>
            <w:tcW w:w="13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8742B71" w14:textId="77777777" w:rsidR="00C06336" w:rsidRPr="00E46684" w:rsidRDefault="00C06336" w:rsidP="00C06336">
            <w:pPr>
              <w:spacing w:after="60"/>
              <w:ind w:left="720"/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  <w:tc>
          <w:tcPr>
            <w:tcW w:w="18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</w:tcPr>
          <w:p w14:paraId="4BB37394" w14:textId="77777777" w:rsidR="00C06336" w:rsidRPr="00E46684" w:rsidRDefault="00C06336" w:rsidP="00C06336">
            <w:pPr>
              <w:spacing w:after="60"/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</w:tr>
      <w:tr w:rsidR="00C06336" w:rsidRPr="00E46684" w14:paraId="7B0192E4" w14:textId="77777777" w:rsidTr="00C06336">
        <w:trPr>
          <w:trHeight w:val="402"/>
        </w:trPr>
        <w:tc>
          <w:tcPr>
            <w:tcW w:w="837" w:type="dxa"/>
          </w:tcPr>
          <w:p w14:paraId="146C9493" w14:textId="77777777" w:rsidR="00C06336" w:rsidRPr="00E46684" w:rsidRDefault="00C06336" w:rsidP="00C06336">
            <w:pPr>
              <w:numPr>
                <w:ilvl w:val="0"/>
                <w:numId w:val="1"/>
              </w:numPr>
              <w:contextualSpacing/>
              <w:rPr>
                <w:rFonts w:ascii="Calibri" w:hAnsi="Calibri"/>
              </w:rPr>
            </w:pP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</w:tcPr>
          <w:p w14:paraId="248C9955" w14:textId="33AE18AE" w:rsidR="00C06336" w:rsidRPr="00E46684" w:rsidRDefault="00C06336" w:rsidP="00C06336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 w:rsidRPr="00AB2591">
              <w:t>KS 1168:2011</w:t>
            </w:r>
          </w:p>
        </w:tc>
        <w:tc>
          <w:tcPr>
            <w:tcW w:w="73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0E318C3" w14:textId="5A240A5B" w:rsidR="00C06336" w:rsidRPr="00E46684" w:rsidRDefault="00C06336" w:rsidP="00C06336">
            <w:pPr>
              <w:spacing w:after="60"/>
              <w:rPr>
                <w:rFonts w:ascii="Verdana" w:hAnsi="Verdana"/>
                <w:color w:val="000000"/>
                <w:sz w:val="20"/>
                <w:szCs w:val="20"/>
              </w:rPr>
            </w:pPr>
            <w:r w:rsidRPr="00AB2591">
              <w:t>Specification for food grade meat (</w:t>
            </w:r>
            <w:proofErr w:type="gramStart"/>
            <w:r w:rsidRPr="00AB2591">
              <w:t>beef )</w:t>
            </w:r>
            <w:proofErr w:type="gramEnd"/>
            <w:r w:rsidRPr="00AB2591">
              <w:t xml:space="preserve"> extract </w:t>
            </w:r>
          </w:p>
        </w:tc>
        <w:tc>
          <w:tcPr>
            <w:tcW w:w="13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339C43C" w14:textId="77777777" w:rsidR="00C06336" w:rsidRPr="00E46684" w:rsidRDefault="00C06336" w:rsidP="00C06336">
            <w:pPr>
              <w:spacing w:after="60"/>
              <w:ind w:left="720"/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  <w:tc>
          <w:tcPr>
            <w:tcW w:w="18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</w:tcPr>
          <w:p w14:paraId="3A2A1201" w14:textId="77777777" w:rsidR="00C06336" w:rsidRPr="00E46684" w:rsidRDefault="00C06336" w:rsidP="00C06336">
            <w:pPr>
              <w:spacing w:after="60"/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</w:tr>
      <w:tr w:rsidR="00C06336" w:rsidRPr="00E46684" w14:paraId="6C79C4C9" w14:textId="77777777" w:rsidTr="00C06336">
        <w:trPr>
          <w:trHeight w:val="402"/>
        </w:trPr>
        <w:tc>
          <w:tcPr>
            <w:tcW w:w="837" w:type="dxa"/>
          </w:tcPr>
          <w:p w14:paraId="7EF087FA" w14:textId="77777777" w:rsidR="00C06336" w:rsidRPr="00E46684" w:rsidRDefault="00C06336" w:rsidP="00C06336">
            <w:pPr>
              <w:numPr>
                <w:ilvl w:val="0"/>
                <w:numId w:val="1"/>
              </w:numPr>
              <w:contextualSpacing/>
              <w:rPr>
                <w:rFonts w:ascii="Calibri" w:hAnsi="Calibri"/>
              </w:rPr>
            </w:pP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</w:tcPr>
          <w:p w14:paraId="6C9D7090" w14:textId="14A7CD52" w:rsidR="00C06336" w:rsidRPr="00E46684" w:rsidRDefault="00C06336" w:rsidP="00C06336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 w:rsidRPr="00AB2591">
              <w:t>KS 2296:2011</w:t>
            </w:r>
          </w:p>
        </w:tc>
        <w:tc>
          <w:tcPr>
            <w:tcW w:w="73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EF43022" w14:textId="0936C171" w:rsidR="00C06336" w:rsidRPr="00E46684" w:rsidRDefault="00C06336" w:rsidP="00C06336">
            <w:pPr>
              <w:spacing w:after="60"/>
              <w:rPr>
                <w:rFonts w:ascii="Verdana" w:hAnsi="Verdana"/>
                <w:color w:val="000000"/>
                <w:sz w:val="20"/>
                <w:szCs w:val="20"/>
              </w:rPr>
            </w:pPr>
            <w:r w:rsidRPr="00AB2591">
              <w:t xml:space="preserve">Chicken eggs - Method for evaluation of quality </w:t>
            </w:r>
          </w:p>
        </w:tc>
        <w:tc>
          <w:tcPr>
            <w:tcW w:w="13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8E770E1" w14:textId="77777777" w:rsidR="00C06336" w:rsidRPr="00E46684" w:rsidRDefault="00C06336" w:rsidP="00C06336">
            <w:pPr>
              <w:spacing w:after="60"/>
              <w:ind w:left="720"/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  <w:tc>
          <w:tcPr>
            <w:tcW w:w="18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</w:tcPr>
          <w:p w14:paraId="51E22A33" w14:textId="77777777" w:rsidR="00C06336" w:rsidRPr="00E46684" w:rsidRDefault="00C06336" w:rsidP="00C06336">
            <w:pPr>
              <w:spacing w:after="60"/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</w:tr>
      <w:tr w:rsidR="00C06336" w:rsidRPr="00E46684" w14:paraId="5A9D0534" w14:textId="77777777" w:rsidTr="00C06336">
        <w:trPr>
          <w:trHeight w:val="402"/>
        </w:trPr>
        <w:tc>
          <w:tcPr>
            <w:tcW w:w="837" w:type="dxa"/>
          </w:tcPr>
          <w:p w14:paraId="6D4251E8" w14:textId="77777777" w:rsidR="00C06336" w:rsidRPr="00E46684" w:rsidRDefault="00C06336" w:rsidP="00C06336">
            <w:pPr>
              <w:numPr>
                <w:ilvl w:val="0"/>
                <w:numId w:val="1"/>
              </w:numPr>
              <w:contextualSpacing/>
              <w:rPr>
                <w:rFonts w:ascii="Calibri" w:hAnsi="Calibri"/>
              </w:rPr>
            </w:pP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</w:tcPr>
          <w:p w14:paraId="244D147D" w14:textId="2A1299F0" w:rsidR="00C06336" w:rsidRPr="00E46684" w:rsidRDefault="00C06336" w:rsidP="00C06336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 w:rsidRPr="00AB2591">
              <w:t>KS 2297:2011</w:t>
            </w:r>
          </w:p>
        </w:tc>
        <w:tc>
          <w:tcPr>
            <w:tcW w:w="73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C17C5C5" w14:textId="0212E61D" w:rsidR="00C06336" w:rsidRPr="00E46684" w:rsidRDefault="00C06336" w:rsidP="00C06336">
            <w:pPr>
              <w:spacing w:after="60"/>
              <w:rPr>
                <w:rFonts w:ascii="Verdana" w:hAnsi="Verdana"/>
                <w:color w:val="000000"/>
                <w:sz w:val="20"/>
                <w:szCs w:val="20"/>
              </w:rPr>
            </w:pPr>
            <w:r w:rsidRPr="00AB2591">
              <w:t xml:space="preserve">Chicken essence </w:t>
            </w:r>
          </w:p>
        </w:tc>
        <w:tc>
          <w:tcPr>
            <w:tcW w:w="13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70ADF8B" w14:textId="77777777" w:rsidR="00C06336" w:rsidRPr="00E46684" w:rsidRDefault="00C06336" w:rsidP="00C06336">
            <w:pPr>
              <w:spacing w:after="60"/>
              <w:ind w:left="720"/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  <w:tc>
          <w:tcPr>
            <w:tcW w:w="18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</w:tcPr>
          <w:p w14:paraId="772ED48C" w14:textId="77777777" w:rsidR="00C06336" w:rsidRPr="00E46684" w:rsidRDefault="00C06336" w:rsidP="00C06336">
            <w:pPr>
              <w:spacing w:after="60"/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</w:tr>
      <w:tr w:rsidR="00C06336" w:rsidRPr="00E46684" w14:paraId="0E74C5B0" w14:textId="77777777" w:rsidTr="00C06336">
        <w:trPr>
          <w:trHeight w:val="402"/>
        </w:trPr>
        <w:tc>
          <w:tcPr>
            <w:tcW w:w="837" w:type="dxa"/>
          </w:tcPr>
          <w:p w14:paraId="0CC0C062" w14:textId="77777777" w:rsidR="00C06336" w:rsidRPr="00E46684" w:rsidRDefault="00C06336" w:rsidP="00C06336">
            <w:pPr>
              <w:numPr>
                <w:ilvl w:val="0"/>
                <w:numId w:val="1"/>
              </w:numPr>
              <w:contextualSpacing/>
              <w:rPr>
                <w:rFonts w:ascii="Calibri" w:hAnsi="Calibri"/>
              </w:rPr>
            </w:pP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</w:tcPr>
          <w:p w14:paraId="59A12D91" w14:textId="05A39A1C" w:rsidR="00C06336" w:rsidRPr="00E46684" w:rsidRDefault="00C06336" w:rsidP="00C06336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 w:rsidRPr="00AB2591">
              <w:t>KS 2300:2011</w:t>
            </w:r>
          </w:p>
        </w:tc>
        <w:tc>
          <w:tcPr>
            <w:tcW w:w="73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75DF5D6" w14:textId="37C7C37E" w:rsidR="00C06336" w:rsidRPr="00E46684" w:rsidRDefault="00C06336" w:rsidP="00C06336">
            <w:pPr>
              <w:spacing w:after="60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gramStart"/>
            <w:r w:rsidRPr="00AB2591">
              <w:t>chicks</w:t>
            </w:r>
            <w:proofErr w:type="gramEnd"/>
            <w:r w:rsidRPr="00AB2591">
              <w:t xml:space="preserve"> layers and broilers </w:t>
            </w:r>
          </w:p>
        </w:tc>
        <w:tc>
          <w:tcPr>
            <w:tcW w:w="13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AACC446" w14:textId="77777777" w:rsidR="00C06336" w:rsidRPr="00E46684" w:rsidRDefault="00C06336" w:rsidP="00C06336">
            <w:pPr>
              <w:spacing w:after="60"/>
              <w:ind w:left="720"/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  <w:tc>
          <w:tcPr>
            <w:tcW w:w="18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</w:tcPr>
          <w:p w14:paraId="20F26761" w14:textId="77777777" w:rsidR="00C06336" w:rsidRPr="00E46684" w:rsidRDefault="00C06336" w:rsidP="00C06336">
            <w:pPr>
              <w:spacing w:after="60"/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</w:tr>
      <w:tr w:rsidR="00C06336" w:rsidRPr="00E46684" w14:paraId="1C62FBF3" w14:textId="77777777" w:rsidTr="00C06336">
        <w:trPr>
          <w:trHeight w:val="402"/>
        </w:trPr>
        <w:tc>
          <w:tcPr>
            <w:tcW w:w="837" w:type="dxa"/>
          </w:tcPr>
          <w:p w14:paraId="23FB56E7" w14:textId="77777777" w:rsidR="00C06336" w:rsidRPr="00E46684" w:rsidRDefault="00C06336" w:rsidP="00C06336">
            <w:pPr>
              <w:numPr>
                <w:ilvl w:val="0"/>
                <w:numId w:val="1"/>
              </w:numPr>
              <w:contextualSpacing/>
              <w:rPr>
                <w:rFonts w:ascii="Calibri" w:hAnsi="Calibri"/>
              </w:rPr>
            </w:pP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</w:tcPr>
          <w:p w14:paraId="7C4199BB" w14:textId="42086651" w:rsidR="00C06336" w:rsidRPr="00E46684" w:rsidRDefault="00C06336" w:rsidP="00C06336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 w:rsidRPr="00AB2591">
              <w:t>KS 2302:2011</w:t>
            </w:r>
          </w:p>
        </w:tc>
        <w:tc>
          <w:tcPr>
            <w:tcW w:w="73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BB39583" w14:textId="6B3DEF0B" w:rsidR="00C06336" w:rsidRPr="00E46684" w:rsidRDefault="00C06336" w:rsidP="00C06336">
            <w:pPr>
              <w:spacing w:after="60"/>
              <w:rPr>
                <w:rFonts w:ascii="Verdana" w:hAnsi="Verdana"/>
                <w:color w:val="000000"/>
                <w:sz w:val="20"/>
                <w:szCs w:val="20"/>
              </w:rPr>
            </w:pPr>
            <w:r w:rsidRPr="00AB2591">
              <w:t xml:space="preserve">Transport of small and medium sized seed-eating birds -Code of practice </w:t>
            </w:r>
          </w:p>
        </w:tc>
        <w:tc>
          <w:tcPr>
            <w:tcW w:w="13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37BC916" w14:textId="77777777" w:rsidR="00C06336" w:rsidRPr="00E46684" w:rsidRDefault="00C06336" w:rsidP="00C06336">
            <w:pPr>
              <w:spacing w:after="60"/>
              <w:ind w:left="720"/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  <w:tc>
          <w:tcPr>
            <w:tcW w:w="18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</w:tcPr>
          <w:p w14:paraId="2EDE2CA2" w14:textId="77777777" w:rsidR="00C06336" w:rsidRPr="00E46684" w:rsidRDefault="00C06336" w:rsidP="00C06336">
            <w:pPr>
              <w:spacing w:after="60"/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</w:tr>
      <w:tr w:rsidR="00C06336" w:rsidRPr="00E46684" w14:paraId="35FCFC4A" w14:textId="77777777" w:rsidTr="00C06336">
        <w:trPr>
          <w:trHeight w:val="402"/>
        </w:trPr>
        <w:tc>
          <w:tcPr>
            <w:tcW w:w="837" w:type="dxa"/>
          </w:tcPr>
          <w:p w14:paraId="5259A208" w14:textId="77777777" w:rsidR="00C06336" w:rsidRPr="00E46684" w:rsidRDefault="00C06336" w:rsidP="00C06336">
            <w:pPr>
              <w:numPr>
                <w:ilvl w:val="0"/>
                <w:numId w:val="1"/>
              </w:numPr>
              <w:contextualSpacing/>
              <w:rPr>
                <w:rFonts w:ascii="Calibri" w:hAnsi="Calibri"/>
              </w:rPr>
            </w:pP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</w:tcPr>
          <w:p w14:paraId="53A9F787" w14:textId="4A998B05" w:rsidR="00C06336" w:rsidRPr="00E46684" w:rsidRDefault="00C06336" w:rsidP="00C06336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 w:rsidRPr="00AB2591">
              <w:t>KS 2303:2011</w:t>
            </w:r>
          </w:p>
        </w:tc>
        <w:tc>
          <w:tcPr>
            <w:tcW w:w="73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A89E217" w14:textId="411480AF" w:rsidR="00C06336" w:rsidRPr="00E46684" w:rsidRDefault="00C06336" w:rsidP="00C06336">
            <w:pPr>
              <w:spacing w:after="60"/>
              <w:rPr>
                <w:rFonts w:ascii="Verdana" w:hAnsi="Verdana"/>
                <w:color w:val="000000"/>
                <w:sz w:val="20"/>
                <w:szCs w:val="20"/>
              </w:rPr>
            </w:pPr>
            <w:r w:rsidRPr="00AB2591">
              <w:t xml:space="preserve">Transport of live poultry- Code of practice </w:t>
            </w:r>
          </w:p>
        </w:tc>
        <w:tc>
          <w:tcPr>
            <w:tcW w:w="13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6B36359" w14:textId="77777777" w:rsidR="00C06336" w:rsidRPr="00E46684" w:rsidRDefault="00C06336" w:rsidP="00C06336">
            <w:pPr>
              <w:spacing w:after="60"/>
              <w:ind w:left="720"/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  <w:tc>
          <w:tcPr>
            <w:tcW w:w="18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</w:tcPr>
          <w:p w14:paraId="3AF722C0" w14:textId="77777777" w:rsidR="00C06336" w:rsidRPr="00E46684" w:rsidRDefault="00C06336" w:rsidP="00C06336">
            <w:pPr>
              <w:spacing w:after="60"/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</w:tr>
      <w:tr w:rsidR="00C06336" w:rsidRPr="00E46684" w14:paraId="081E1A9A" w14:textId="77777777" w:rsidTr="00C06336">
        <w:trPr>
          <w:trHeight w:val="402"/>
        </w:trPr>
        <w:tc>
          <w:tcPr>
            <w:tcW w:w="837" w:type="dxa"/>
          </w:tcPr>
          <w:p w14:paraId="4AB01D8D" w14:textId="77777777" w:rsidR="00C06336" w:rsidRPr="00E46684" w:rsidRDefault="00C06336" w:rsidP="00C06336">
            <w:pPr>
              <w:numPr>
                <w:ilvl w:val="0"/>
                <w:numId w:val="1"/>
              </w:numPr>
              <w:contextualSpacing/>
              <w:rPr>
                <w:rFonts w:ascii="Calibri" w:hAnsi="Calibri"/>
              </w:rPr>
            </w:pP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</w:tcPr>
          <w:p w14:paraId="616A9106" w14:textId="6A757204" w:rsidR="00C06336" w:rsidRPr="00E46684" w:rsidRDefault="00C06336" w:rsidP="00C06336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 w:rsidRPr="00AB2591">
              <w:t>KS 2304:2011</w:t>
            </w:r>
          </w:p>
        </w:tc>
        <w:tc>
          <w:tcPr>
            <w:tcW w:w="73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04A751C" w14:textId="16879540" w:rsidR="00C06336" w:rsidRPr="00E46684" w:rsidRDefault="00C06336" w:rsidP="00C06336">
            <w:pPr>
              <w:spacing w:after="60"/>
              <w:rPr>
                <w:rFonts w:ascii="Verdana" w:hAnsi="Verdana"/>
                <w:color w:val="000000"/>
                <w:sz w:val="20"/>
                <w:szCs w:val="20"/>
              </w:rPr>
            </w:pPr>
            <w:r w:rsidRPr="00AB2591">
              <w:t xml:space="preserve">Handling, processing, quality evaluation and storage of poultry-Code of practice </w:t>
            </w:r>
          </w:p>
        </w:tc>
        <w:tc>
          <w:tcPr>
            <w:tcW w:w="13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37B9C85" w14:textId="77777777" w:rsidR="00C06336" w:rsidRPr="00E46684" w:rsidRDefault="00C06336" w:rsidP="00C06336">
            <w:pPr>
              <w:spacing w:after="60"/>
              <w:ind w:left="720"/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  <w:tc>
          <w:tcPr>
            <w:tcW w:w="18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</w:tcPr>
          <w:p w14:paraId="483082FE" w14:textId="77777777" w:rsidR="00C06336" w:rsidRPr="00E46684" w:rsidRDefault="00C06336" w:rsidP="00C06336">
            <w:pPr>
              <w:spacing w:after="60"/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</w:tr>
      <w:tr w:rsidR="00C06336" w:rsidRPr="00E46684" w14:paraId="130B393E" w14:textId="77777777" w:rsidTr="00C06336">
        <w:trPr>
          <w:trHeight w:val="402"/>
        </w:trPr>
        <w:tc>
          <w:tcPr>
            <w:tcW w:w="837" w:type="dxa"/>
          </w:tcPr>
          <w:p w14:paraId="43E1CB76" w14:textId="77777777" w:rsidR="00C06336" w:rsidRPr="00E46684" w:rsidRDefault="00C06336" w:rsidP="00C06336">
            <w:pPr>
              <w:numPr>
                <w:ilvl w:val="0"/>
                <w:numId w:val="1"/>
              </w:numPr>
              <w:contextualSpacing/>
              <w:rPr>
                <w:rFonts w:ascii="Calibri" w:hAnsi="Calibri"/>
              </w:rPr>
            </w:pP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</w:tcPr>
          <w:p w14:paraId="48474D8E" w14:textId="00821496" w:rsidR="00C06336" w:rsidRPr="00E46684" w:rsidRDefault="00C06336" w:rsidP="00C06336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 w:rsidRPr="00AB2591">
              <w:t>KS 2307:2011</w:t>
            </w:r>
          </w:p>
        </w:tc>
        <w:tc>
          <w:tcPr>
            <w:tcW w:w="73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2770957" w14:textId="3EC401B3" w:rsidR="00C06336" w:rsidRPr="00E46684" w:rsidRDefault="00C06336" w:rsidP="00C06336">
            <w:pPr>
              <w:spacing w:after="60"/>
              <w:rPr>
                <w:rFonts w:ascii="Verdana" w:hAnsi="Verdana"/>
                <w:color w:val="000000"/>
                <w:sz w:val="20"/>
                <w:szCs w:val="20"/>
              </w:rPr>
            </w:pPr>
            <w:r w:rsidRPr="00AB2591">
              <w:t xml:space="preserve">Animal casings- Specifications </w:t>
            </w:r>
          </w:p>
        </w:tc>
        <w:tc>
          <w:tcPr>
            <w:tcW w:w="13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BAE36C1" w14:textId="77777777" w:rsidR="00C06336" w:rsidRPr="00E46684" w:rsidRDefault="00C06336" w:rsidP="00C06336">
            <w:pPr>
              <w:spacing w:after="60"/>
              <w:ind w:left="720"/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  <w:tc>
          <w:tcPr>
            <w:tcW w:w="18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</w:tcPr>
          <w:p w14:paraId="45777689" w14:textId="77777777" w:rsidR="00C06336" w:rsidRPr="00E46684" w:rsidRDefault="00C06336" w:rsidP="00C06336">
            <w:pPr>
              <w:spacing w:after="60"/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</w:tr>
      <w:tr w:rsidR="00C06336" w:rsidRPr="00E46684" w14:paraId="7D5572C9" w14:textId="77777777" w:rsidTr="00C06336">
        <w:trPr>
          <w:trHeight w:val="402"/>
        </w:trPr>
        <w:tc>
          <w:tcPr>
            <w:tcW w:w="837" w:type="dxa"/>
          </w:tcPr>
          <w:p w14:paraId="204A2EDB" w14:textId="77777777" w:rsidR="00C06336" w:rsidRPr="00E46684" w:rsidRDefault="00C06336" w:rsidP="00C06336">
            <w:pPr>
              <w:numPr>
                <w:ilvl w:val="0"/>
                <w:numId w:val="1"/>
              </w:numPr>
              <w:contextualSpacing/>
              <w:rPr>
                <w:rFonts w:ascii="Calibri" w:hAnsi="Calibri"/>
              </w:rPr>
            </w:pP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</w:tcPr>
          <w:p w14:paraId="58F45735" w14:textId="2F2F7AE9" w:rsidR="00C06336" w:rsidRPr="00E46684" w:rsidRDefault="00C06336" w:rsidP="00C06336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 w:rsidRPr="00AB2591">
              <w:t>KS 2309:2011</w:t>
            </w:r>
          </w:p>
        </w:tc>
        <w:tc>
          <w:tcPr>
            <w:tcW w:w="73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0C26951" w14:textId="2D4E4811" w:rsidR="00C06336" w:rsidRPr="00E46684" w:rsidRDefault="00C06336" w:rsidP="00C06336">
            <w:pPr>
              <w:spacing w:after="60"/>
              <w:rPr>
                <w:rFonts w:ascii="Verdana" w:hAnsi="Verdana"/>
                <w:color w:val="000000"/>
                <w:sz w:val="20"/>
                <w:szCs w:val="20"/>
              </w:rPr>
            </w:pPr>
            <w:r w:rsidRPr="00AB2591">
              <w:t xml:space="preserve">Handling, storage and transport of </w:t>
            </w:r>
            <w:proofErr w:type="gramStart"/>
            <w:r w:rsidRPr="00AB2591">
              <w:t>slaughter-house</w:t>
            </w:r>
            <w:proofErr w:type="gramEnd"/>
            <w:r w:rsidRPr="00AB2591">
              <w:t xml:space="preserve"> by-products-Guidelines </w:t>
            </w:r>
          </w:p>
        </w:tc>
        <w:tc>
          <w:tcPr>
            <w:tcW w:w="13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D4F12D5" w14:textId="77777777" w:rsidR="00C06336" w:rsidRPr="00E46684" w:rsidRDefault="00C06336" w:rsidP="00C06336">
            <w:pPr>
              <w:spacing w:after="60"/>
              <w:ind w:left="720"/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  <w:tc>
          <w:tcPr>
            <w:tcW w:w="18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</w:tcPr>
          <w:p w14:paraId="4D923704" w14:textId="77777777" w:rsidR="00C06336" w:rsidRPr="00E46684" w:rsidRDefault="00C06336" w:rsidP="00C06336">
            <w:pPr>
              <w:spacing w:after="60"/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</w:tr>
      <w:tr w:rsidR="00C06336" w:rsidRPr="00E46684" w14:paraId="3AEA4D2E" w14:textId="77777777" w:rsidTr="00C06336">
        <w:trPr>
          <w:trHeight w:val="402"/>
        </w:trPr>
        <w:tc>
          <w:tcPr>
            <w:tcW w:w="837" w:type="dxa"/>
          </w:tcPr>
          <w:p w14:paraId="49DD7593" w14:textId="77777777" w:rsidR="00C06336" w:rsidRPr="00E46684" w:rsidRDefault="00C06336" w:rsidP="00C06336">
            <w:pPr>
              <w:numPr>
                <w:ilvl w:val="0"/>
                <w:numId w:val="1"/>
              </w:numPr>
              <w:contextualSpacing/>
              <w:rPr>
                <w:rFonts w:ascii="Calibri" w:hAnsi="Calibri"/>
              </w:rPr>
            </w:pP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</w:tcPr>
          <w:p w14:paraId="4FF46BC2" w14:textId="6AA6210C" w:rsidR="00C06336" w:rsidRPr="00E46684" w:rsidRDefault="00C06336" w:rsidP="00C06336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 w:rsidRPr="00AB2591">
              <w:t>KS 2311:2011</w:t>
            </w:r>
          </w:p>
        </w:tc>
        <w:tc>
          <w:tcPr>
            <w:tcW w:w="73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ED6C5C5" w14:textId="3618A607" w:rsidR="00C06336" w:rsidRPr="00E46684" w:rsidRDefault="00C06336" w:rsidP="00C06336">
            <w:pPr>
              <w:spacing w:after="60"/>
              <w:rPr>
                <w:rFonts w:ascii="Verdana" w:hAnsi="Verdana"/>
                <w:color w:val="000000"/>
                <w:sz w:val="20"/>
                <w:szCs w:val="20"/>
              </w:rPr>
            </w:pPr>
            <w:r w:rsidRPr="00AB2591">
              <w:t xml:space="preserve">Poultry -Glossary of terms </w:t>
            </w:r>
          </w:p>
        </w:tc>
        <w:tc>
          <w:tcPr>
            <w:tcW w:w="13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06DFDAB" w14:textId="77777777" w:rsidR="00C06336" w:rsidRPr="00E46684" w:rsidRDefault="00C06336" w:rsidP="00C06336">
            <w:pPr>
              <w:spacing w:after="60"/>
              <w:ind w:left="720"/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  <w:tc>
          <w:tcPr>
            <w:tcW w:w="18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</w:tcPr>
          <w:p w14:paraId="56A96090" w14:textId="77777777" w:rsidR="00C06336" w:rsidRPr="00E46684" w:rsidRDefault="00C06336" w:rsidP="00C06336">
            <w:pPr>
              <w:spacing w:after="60"/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</w:tr>
      <w:tr w:rsidR="00C06336" w:rsidRPr="00E46684" w14:paraId="48AD06A5" w14:textId="77777777" w:rsidTr="00C06336">
        <w:trPr>
          <w:trHeight w:val="402"/>
        </w:trPr>
        <w:tc>
          <w:tcPr>
            <w:tcW w:w="837" w:type="dxa"/>
          </w:tcPr>
          <w:p w14:paraId="3A69980C" w14:textId="77777777" w:rsidR="00C06336" w:rsidRPr="00E46684" w:rsidRDefault="00C06336" w:rsidP="00C06336">
            <w:pPr>
              <w:numPr>
                <w:ilvl w:val="0"/>
                <w:numId w:val="1"/>
              </w:numPr>
              <w:contextualSpacing/>
              <w:rPr>
                <w:rFonts w:ascii="Calibri" w:hAnsi="Calibri"/>
              </w:rPr>
            </w:pP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</w:tcPr>
          <w:p w14:paraId="7FFAD79A" w14:textId="5906D577" w:rsidR="00C06336" w:rsidRPr="00E46684" w:rsidRDefault="00C06336" w:rsidP="00C06336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 w:rsidRPr="00AB2591">
              <w:t>KS CAC/GL 78:2011</w:t>
            </w:r>
          </w:p>
        </w:tc>
        <w:tc>
          <w:tcPr>
            <w:tcW w:w="73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52E2794" w14:textId="40C17734" w:rsidR="00C06336" w:rsidRPr="00E46684" w:rsidRDefault="00C06336" w:rsidP="00C06336">
            <w:pPr>
              <w:spacing w:after="60"/>
              <w:rPr>
                <w:rFonts w:ascii="Verdana" w:hAnsi="Verdana"/>
                <w:color w:val="000000"/>
                <w:sz w:val="20"/>
                <w:szCs w:val="20"/>
              </w:rPr>
            </w:pPr>
            <w:r w:rsidRPr="00AB2591">
              <w:t xml:space="preserve">Guidelines for the control of campylobacter and salmonella in chicken meat </w:t>
            </w:r>
          </w:p>
        </w:tc>
        <w:tc>
          <w:tcPr>
            <w:tcW w:w="13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6B143B0" w14:textId="77777777" w:rsidR="00C06336" w:rsidRPr="00E46684" w:rsidRDefault="00C06336" w:rsidP="00C06336">
            <w:pPr>
              <w:spacing w:after="60"/>
              <w:ind w:left="720"/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  <w:tc>
          <w:tcPr>
            <w:tcW w:w="18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</w:tcPr>
          <w:p w14:paraId="397E987F" w14:textId="77777777" w:rsidR="00C06336" w:rsidRPr="00E46684" w:rsidRDefault="00C06336" w:rsidP="00C06336">
            <w:pPr>
              <w:spacing w:after="60"/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</w:tr>
      <w:tr w:rsidR="00C06336" w:rsidRPr="00E46684" w14:paraId="22F8C5DF" w14:textId="77777777" w:rsidTr="00C06336">
        <w:trPr>
          <w:trHeight w:val="402"/>
        </w:trPr>
        <w:tc>
          <w:tcPr>
            <w:tcW w:w="837" w:type="dxa"/>
          </w:tcPr>
          <w:p w14:paraId="15CE09D0" w14:textId="77777777" w:rsidR="00C06336" w:rsidRPr="00E46684" w:rsidRDefault="00C06336" w:rsidP="00C06336">
            <w:pPr>
              <w:numPr>
                <w:ilvl w:val="0"/>
                <w:numId w:val="1"/>
              </w:numPr>
              <w:contextualSpacing/>
              <w:rPr>
                <w:rFonts w:ascii="Calibri" w:hAnsi="Calibri"/>
              </w:rPr>
            </w:pP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</w:tcPr>
          <w:p w14:paraId="1C5B2ED5" w14:textId="2CDDF3D8" w:rsidR="00C06336" w:rsidRPr="00E46684" w:rsidRDefault="00C06336" w:rsidP="00C06336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 w:rsidRPr="00AB2591">
              <w:t>KS CAC/MISC-5:1993</w:t>
            </w:r>
          </w:p>
        </w:tc>
        <w:tc>
          <w:tcPr>
            <w:tcW w:w="73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12052AE" w14:textId="33826809" w:rsidR="00C06336" w:rsidRPr="00E46684" w:rsidRDefault="00C06336" w:rsidP="00C06336">
            <w:pPr>
              <w:spacing w:after="60"/>
              <w:rPr>
                <w:rFonts w:ascii="Verdana" w:hAnsi="Verdana"/>
                <w:color w:val="000000"/>
                <w:sz w:val="20"/>
                <w:szCs w:val="20"/>
              </w:rPr>
            </w:pPr>
            <w:r w:rsidRPr="00AB2591">
              <w:t xml:space="preserve">The glossary of terms and definitions on residues of veterinary drugs in foods, First Edition </w:t>
            </w:r>
          </w:p>
        </w:tc>
        <w:tc>
          <w:tcPr>
            <w:tcW w:w="13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010CAFC" w14:textId="77777777" w:rsidR="00C06336" w:rsidRPr="00E46684" w:rsidRDefault="00C06336" w:rsidP="00C06336">
            <w:pPr>
              <w:spacing w:after="60"/>
              <w:ind w:left="720"/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  <w:tc>
          <w:tcPr>
            <w:tcW w:w="18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</w:tcPr>
          <w:p w14:paraId="1F47DD12" w14:textId="77777777" w:rsidR="00C06336" w:rsidRPr="00E46684" w:rsidRDefault="00C06336" w:rsidP="00C06336">
            <w:pPr>
              <w:spacing w:after="60"/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</w:tr>
      <w:tr w:rsidR="00C06336" w:rsidRPr="00E46684" w14:paraId="0DD2007B" w14:textId="77777777" w:rsidTr="00C06336">
        <w:trPr>
          <w:trHeight w:val="402"/>
        </w:trPr>
        <w:tc>
          <w:tcPr>
            <w:tcW w:w="837" w:type="dxa"/>
          </w:tcPr>
          <w:p w14:paraId="4C16499C" w14:textId="77777777" w:rsidR="00C06336" w:rsidRPr="00E46684" w:rsidRDefault="00C06336" w:rsidP="00C06336">
            <w:pPr>
              <w:numPr>
                <w:ilvl w:val="0"/>
                <w:numId w:val="1"/>
              </w:numPr>
              <w:contextualSpacing/>
              <w:rPr>
                <w:rFonts w:ascii="Calibri" w:hAnsi="Calibri"/>
              </w:rPr>
            </w:pP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</w:tcPr>
          <w:p w14:paraId="0E12B699" w14:textId="14A5559E" w:rsidR="00C06336" w:rsidRPr="00E46684" w:rsidRDefault="00C06336" w:rsidP="00C06336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 w:rsidRPr="00AB2591">
              <w:t>KS CAC/MRL-2:2011</w:t>
            </w:r>
          </w:p>
        </w:tc>
        <w:tc>
          <w:tcPr>
            <w:tcW w:w="73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EF3C5A6" w14:textId="270562A0" w:rsidR="00C06336" w:rsidRPr="00E46684" w:rsidRDefault="00C06336" w:rsidP="00C06336">
            <w:pPr>
              <w:spacing w:after="60"/>
              <w:rPr>
                <w:rFonts w:ascii="Verdana" w:hAnsi="Verdana"/>
                <w:color w:val="000000"/>
                <w:sz w:val="20"/>
                <w:szCs w:val="20"/>
              </w:rPr>
            </w:pPr>
            <w:r w:rsidRPr="00AB2591">
              <w:t xml:space="preserve">Maximum residue limits for veterinary drugs in foods, First Edition </w:t>
            </w:r>
          </w:p>
        </w:tc>
        <w:tc>
          <w:tcPr>
            <w:tcW w:w="13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8F268BD" w14:textId="77777777" w:rsidR="00C06336" w:rsidRPr="00E46684" w:rsidRDefault="00C06336" w:rsidP="00C06336">
            <w:pPr>
              <w:spacing w:after="60"/>
              <w:ind w:left="720"/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  <w:tc>
          <w:tcPr>
            <w:tcW w:w="18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</w:tcPr>
          <w:p w14:paraId="36A9092E" w14:textId="77777777" w:rsidR="00C06336" w:rsidRPr="00E46684" w:rsidRDefault="00C06336" w:rsidP="00C06336">
            <w:pPr>
              <w:spacing w:after="60"/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</w:tr>
      <w:tr w:rsidR="00C06336" w:rsidRPr="00E46684" w14:paraId="180260C8" w14:textId="77777777" w:rsidTr="00C06336">
        <w:trPr>
          <w:trHeight w:val="454"/>
        </w:trPr>
        <w:tc>
          <w:tcPr>
            <w:tcW w:w="837" w:type="dxa"/>
          </w:tcPr>
          <w:p w14:paraId="199B074A" w14:textId="77777777" w:rsidR="00C06336" w:rsidRPr="00E46684" w:rsidRDefault="00C06336" w:rsidP="00C06336">
            <w:pPr>
              <w:numPr>
                <w:ilvl w:val="0"/>
                <w:numId w:val="1"/>
              </w:numPr>
              <w:contextualSpacing/>
              <w:rPr>
                <w:rFonts w:ascii="Calibri" w:hAnsi="Calibri"/>
              </w:rPr>
            </w:pPr>
          </w:p>
        </w:tc>
        <w:tc>
          <w:tcPr>
            <w:tcW w:w="171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</w:tcPr>
          <w:p w14:paraId="6B735F19" w14:textId="35105200" w:rsidR="00C06336" w:rsidRPr="00E46684" w:rsidRDefault="00C06336" w:rsidP="00C06336">
            <w:pPr>
              <w:spacing w:after="60"/>
              <w:rPr>
                <w:rFonts w:ascii="Verdana" w:hAnsi="Verdana"/>
                <w:color w:val="000000"/>
                <w:sz w:val="20"/>
                <w:szCs w:val="20"/>
              </w:rPr>
            </w:pPr>
            <w:r w:rsidRPr="00AB2591">
              <w:t>KS CAC/GL-71:2009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4142B48" w14:textId="7F5683EF" w:rsidR="00C06336" w:rsidRPr="00E46684" w:rsidRDefault="00C06336" w:rsidP="00C06336">
            <w:pPr>
              <w:spacing w:after="60"/>
              <w:rPr>
                <w:rFonts w:ascii="Verdana" w:hAnsi="Verdana"/>
                <w:color w:val="000000"/>
                <w:sz w:val="20"/>
                <w:szCs w:val="20"/>
              </w:rPr>
            </w:pPr>
            <w:r w:rsidRPr="00AB2591">
              <w:t xml:space="preserve">Guidelines for the design and implementation of national regulatory food safety assurance programme associated with the use of veterinary drugs in food producing animals, First Edition 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4CD43E5" w14:textId="2F7504CC" w:rsidR="00C06336" w:rsidRPr="00E46684" w:rsidRDefault="00C06336" w:rsidP="00C06336">
            <w:pPr>
              <w:spacing w:after="60"/>
              <w:ind w:left="720"/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</w:tcPr>
          <w:p w14:paraId="61B280C1" w14:textId="5A70ABA0" w:rsidR="00C06336" w:rsidRPr="00E46684" w:rsidRDefault="00C06336" w:rsidP="00C06336">
            <w:pPr>
              <w:spacing w:after="60"/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</w:tr>
    </w:tbl>
    <w:p w14:paraId="31E9BC75" w14:textId="77777777" w:rsidR="00AD1F73" w:rsidRDefault="00AD1F73"/>
    <w:sectPr w:rsidR="00AD1F73" w:rsidSect="00C06336">
      <w:pgSz w:w="15840" w:h="12240" w:orient="landscape"/>
      <w:pgMar w:top="851" w:right="1440" w:bottom="56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F978B4"/>
    <w:multiLevelType w:val="hybridMultilevel"/>
    <w:tmpl w:val="EC9484C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684"/>
    <w:rsid w:val="00240F8E"/>
    <w:rsid w:val="002537A0"/>
    <w:rsid w:val="003805D7"/>
    <w:rsid w:val="005D6922"/>
    <w:rsid w:val="00966851"/>
    <w:rsid w:val="00AC6EB1"/>
    <w:rsid w:val="00AD1F73"/>
    <w:rsid w:val="00C06336"/>
    <w:rsid w:val="00E46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FBB42"/>
  <w15:chartTrackingRefBased/>
  <w15:docId w15:val="{EF61C5F3-2C83-4629-A00B-41047298D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6684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243</Words>
  <Characters>1389</Characters>
  <Application>Microsoft Office Word</Application>
  <DocSecurity>0</DocSecurity>
  <Lines>11</Lines>
  <Paragraphs>3</Paragraphs>
  <ScaleCrop>false</ScaleCrop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</dc:creator>
  <cp:keywords/>
  <dc:description/>
  <cp:lastModifiedBy>George</cp:lastModifiedBy>
  <cp:revision>5</cp:revision>
  <dcterms:created xsi:type="dcterms:W3CDTF">2021-08-23T11:10:00Z</dcterms:created>
  <dcterms:modified xsi:type="dcterms:W3CDTF">2021-08-23T12:48:00Z</dcterms:modified>
</cp:coreProperties>
</file>