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FE41D" w14:textId="77777777" w:rsidR="007D3AE5" w:rsidRPr="00556197" w:rsidRDefault="007D3AE5" w:rsidP="007D3AE5">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088D4CB" w14:textId="77777777"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3964"/>
        <w:gridCol w:w="2907"/>
      </w:tblGrid>
      <w:tr w:rsidR="00E70218" w:rsidRPr="00E70218" w14:paraId="74BD964D" w14:textId="77777777" w:rsidTr="00534D58">
        <w:tc>
          <w:tcPr>
            <w:tcW w:w="2178" w:type="dxa"/>
            <w:tcBorders>
              <w:top w:val="single" w:sz="4" w:space="0" w:color="auto"/>
              <w:left w:val="single" w:sz="4" w:space="0" w:color="auto"/>
              <w:bottom w:val="single" w:sz="4" w:space="0" w:color="auto"/>
              <w:right w:val="single" w:sz="4" w:space="0" w:color="auto"/>
            </w:tcBorders>
          </w:tcPr>
          <w:p w14:paraId="0C584924"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31FA91F1" w14:textId="77777777"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14:paraId="593A6ABF" w14:textId="77777777"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14:paraId="283BFA51"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14:paraId="1FFEB019"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14:paraId="08B66B2E" w14:textId="77777777"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14:paraId="30B845A2" w14:textId="77777777"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14:paraId="311E1394" w14:textId="77777777"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14:paraId="69E1E7B6" w14:textId="256EE6D6" w:rsidR="00E70218" w:rsidRPr="00E70218" w:rsidRDefault="00E14B8C" w:rsidP="00286543">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-0</w:t>
            </w:r>
            <w:r w:rsidR="00340F3E">
              <w:rPr>
                <w:rFonts w:ascii="Arial" w:hAnsi="Arial" w:cs="Arial"/>
                <w:sz w:val="20"/>
                <w:szCs w:val="20"/>
              </w:rPr>
              <w:t>1</w:t>
            </w:r>
            <w:r w:rsidR="00CA04B1">
              <w:rPr>
                <w:rFonts w:ascii="Arial" w:hAnsi="Arial" w:cs="Arial"/>
                <w:sz w:val="20"/>
                <w:szCs w:val="20"/>
              </w:rPr>
              <w:t>-</w:t>
            </w:r>
            <w:r w:rsidR="000E52B2">
              <w:rPr>
                <w:rFonts w:ascii="Arial" w:hAnsi="Arial" w:cs="Arial"/>
                <w:sz w:val="20"/>
                <w:szCs w:val="20"/>
              </w:rPr>
              <w:t>21</w:t>
            </w:r>
          </w:p>
        </w:tc>
        <w:tc>
          <w:tcPr>
            <w:tcW w:w="2970" w:type="dxa"/>
            <w:tcBorders>
              <w:top w:val="single" w:sz="4" w:space="0" w:color="auto"/>
              <w:left w:val="single" w:sz="4" w:space="0" w:color="auto"/>
              <w:bottom w:val="single" w:sz="4" w:space="0" w:color="auto"/>
              <w:right w:val="single" w:sz="4" w:space="0" w:color="auto"/>
            </w:tcBorders>
          </w:tcPr>
          <w:p w14:paraId="1A830DE2" w14:textId="00FDFF50" w:rsidR="00E70218" w:rsidRPr="00E70218" w:rsidRDefault="00E14B8C" w:rsidP="001B00BC">
            <w:pPr>
              <w:tabs>
                <w:tab w:val="center" w:pos="4320"/>
                <w:tab w:val="right" w:pos="8640"/>
              </w:tabs>
              <w:rPr>
                <w:rFonts w:ascii="Arial" w:hAnsi="Arial" w:cs="Arial"/>
                <w:sz w:val="20"/>
                <w:szCs w:val="20"/>
              </w:rPr>
            </w:pPr>
            <w:r>
              <w:rPr>
                <w:rFonts w:ascii="Arial" w:hAnsi="Arial" w:cs="Arial"/>
                <w:sz w:val="20"/>
                <w:szCs w:val="20"/>
              </w:rPr>
              <w:t>20</w:t>
            </w:r>
            <w:r w:rsidR="003C409D">
              <w:rPr>
                <w:rFonts w:ascii="Arial" w:hAnsi="Arial" w:cs="Arial"/>
                <w:sz w:val="20"/>
                <w:szCs w:val="20"/>
              </w:rPr>
              <w:t>2</w:t>
            </w:r>
            <w:r w:rsidR="000E52B2">
              <w:rPr>
                <w:rFonts w:ascii="Arial" w:hAnsi="Arial" w:cs="Arial"/>
                <w:sz w:val="20"/>
                <w:szCs w:val="20"/>
              </w:rPr>
              <w:t>2</w:t>
            </w:r>
            <w:r>
              <w:rPr>
                <w:rFonts w:ascii="Arial" w:hAnsi="Arial" w:cs="Arial"/>
                <w:sz w:val="20"/>
                <w:szCs w:val="20"/>
              </w:rPr>
              <w:t>-0</w:t>
            </w:r>
            <w:r w:rsidR="000E52B2">
              <w:rPr>
                <w:rFonts w:ascii="Arial" w:hAnsi="Arial" w:cs="Arial"/>
                <w:sz w:val="20"/>
                <w:szCs w:val="20"/>
              </w:rPr>
              <w:t>2</w:t>
            </w:r>
            <w:r w:rsidR="00BB56D0">
              <w:rPr>
                <w:rFonts w:ascii="Arial" w:hAnsi="Arial" w:cs="Arial"/>
                <w:sz w:val="20"/>
                <w:szCs w:val="20"/>
              </w:rPr>
              <w:t>-</w:t>
            </w:r>
            <w:r w:rsidR="000E52B2">
              <w:rPr>
                <w:rFonts w:ascii="Arial" w:hAnsi="Arial" w:cs="Arial"/>
                <w:sz w:val="20"/>
                <w:szCs w:val="20"/>
              </w:rPr>
              <w:t>21</w:t>
            </w:r>
          </w:p>
        </w:tc>
      </w:tr>
      <w:tr w:rsidR="00E70218" w:rsidRPr="00E70218" w14:paraId="5259A31B" w14:textId="77777777" w:rsidTr="00534D58">
        <w:tc>
          <w:tcPr>
            <w:tcW w:w="2178" w:type="dxa"/>
            <w:tcBorders>
              <w:top w:val="single" w:sz="4" w:space="0" w:color="auto"/>
              <w:left w:val="single" w:sz="4" w:space="0" w:color="auto"/>
              <w:bottom w:val="single" w:sz="4" w:space="0" w:color="auto"/>
              <w:right w:val="single" w:sz="4" w:space="0" w:color="auto"/>
            </w:tcBorders>
          </w:tcPr>
          <w:p w14:paraId="285429FA" w14:textId="77777777"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3FDB124B" w14:textId="568D6914" w:rsidR="00E70218" w:rsidRPr="00E70218" w:rsidRDefault="00E70218" w:rsidP="00CA04B1">
            <w:pPr>
              <w:tabs>
                <w:tab w:val="center" w:pos="4320"/>
                <w:tab w:val="right" w:pos="8640"/>
              </w:tabs>
              <w:rPr>
                <w:rFonts w:ascii="Arial" w:hAnsi="Arial" w:cs="Arial"/>
                <w:sz w:val="20"/>
                <w:szCs w:val="20"/>
              </w:rPr>
            </w:pPr>
            <w:r w:rsidRPr="00E70218">
              <w:rPr>
                <w:rFonts w:ascii="Arial" w:hAnsi="Arial" w:cs="Arial"/>
                <w:b/>
                <w:bCs/>
                <w:sz w:val="20"/>
                <w:szCs w:val="20"/>
              </w:rPr>
              <w:t xml:space="preserve">This form shall be filled, </w:t>
            </w:r>
            <w:proofErr w:type="gramStart"/>
            <w:r w:rsidRPr="00E70218">
              <w:rPr>
                <w:rFonts w:ascii="Arial" w:hAnsi="Arial" w:cs="Arial"/>
                <w:b/>
                <w:bCs/>
                <w:sz w:val="20"/>
                <w:szCs w:val="20"/>
              </w:rPr>
              <w:t>signed</w:t>
            </w:r>
            <w:proofErr w:type="gramEnd"/>
            <w:r w:rsidRPr="00E70218">
              <w:rPr>
                <w:rFonts w:ascii="Arial" w:hAnsi="Arial" w:cs="Arial"/>
                <w:b/>
                <w:bCs/>
                <w:sz w:val="20"/>
                <w:szCs w:val="20"/>
              </w:rPr>
              <w:t xml:space="preserve"> and returned to Kenya Bureau of Standards for the attention of </w:t>
            </w:r>
            <w:r w:rsidR="003C409D">
              <w:rPr>
                <w:rFonts w:ascii="Arial" w:hAnsi="Arial" w:cs="Arial"/>
                <w:b/>
                <w:bCs/>
                <w:sz w:val="20"/>
                <w:szCs w:val="20"/>
              </w:rPr>
              <w:t>Robert Njoroge</w:t>
            </w:r>
            <w:r w:rsidR="00CA04B1">
              <w:rPr>
                <w:rFonts w:ascii="Arial" w:hAnsi="Arial" w:cs="Arial"/>
                <w:b/>
                <w:bCs/>
                <w:sz w:val="20"/>
                <w:szCs w:val="20"/>
              </w:rPr>
              <w:t xml:space="preserve"> (</w:t>
            </w:r>
            <w:r w:rsidR="003C409D" w:rsidRPr="00FE71CA">
              <w:rPr>
                <w:rFonts w:ascii="Arial" w:hAnsi="Arial" w:cs="Arial"/>
                <w:b/>
                <w:bCs/>
                <w:color w:val="0070C0"/>
                <w:sz w:val="20"/>
                <w:szCs w:val="20"/>
                <w:u w:val="single"/>
              </w:rPr>
              <w:t>njoroger</w:t>
            </w:r>
            <w:r w:rsidR="00CA04B1" w:rsidRPr="00FE71CA">
              <w:rPr>
                <w:rFonts w:ascii="Arial" w:hAnsi="Arial" w:cs="Arial"/>
                <w:b/>
                <w:bCs/>
                <w:color w:val="0070C0"/>
                <w:sz w:val="20"/>
                <w:szCs w:val="20"/>
                <w:u w:val="single"/>
              </w:rPr>
              <w:t>@kebs.org</w:t>
            </w:r>
            <w:r w:rsidR="00CA04B1">
              <w:rPr>
                <w:rFonts w:ascii="Arial" w:hAnsi="Arial" w:cs="Arial"/>
                <w:b/>
                <w:bCs/>
                <w:sz w:val="20"/>
                <w:szCs w:val="20"/>
              </w:rPr>
              <w:t>)</w:t>
            </w:r>
          </w:p>
        </w:tc>
      </w:tr>
    </w:tbl>
    <w:p w14:paraId="53D3372C" w14:textId="77777777" w:rsidR="001B427A" w:rsidRDefault="001B427A">
      <w:pPr>
        <w:autoSpaceDE w:val="0"/>
        <w:autoSpaceDN w:val="0"/>
        <w:adjustRightInd w:val="0"/>
        <w:jc w:val="center"/>
        <w:rPr>
          <w:rFonts w:ascii="Arial" w:hAnsi="Arial" w:cs="Arial"/>
          <w:b/>
          <w:bCs/>
          <w:sz w:val="20"/>
          <w:szCs w:val="20"/>
        </w:rPr>
      </w:pPr>
    </w:p>
    <w:p w14:paraId="68F87031"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 xml:space="preserve">The Kenya Bureau of Standards intends to adopt the International Standards </w:t>
      </w:r>
      <w:r w:rsidR="004977E5">
        <w:rPr>
          <w:rFonts w:ascii="Arial" w:hAnsi="Arial" w:cs="Arial"/>
          <w:sz w:val="20"/>
          <w:szCs w:val="20"/>
        </w:rPr>
        <w:t>listed</w:t>
      </w:r>
      <w:r w:rsidR="00B05A75">
        <w:rPr>
          <w:rFonts w:ascii="Arial" w:hAnsi="Arial" w:cs="Arial"/>
          <w:sz w:val="20"/>
          <w:szCs w:val="20"/>
        </w:rPr>
        <w:t xml:space="preserve"> </w:t>
      </w:r>
      <w:r w:rsidR="00BB56D0">
        <w:rPr>
          <w:rFonts w:ascii="Arial" w:hAnsi="Arial" w:cs="Arial"/>
          <w:sz w:val="20"/>
          <w:szCs w:val="20"/>
        </w:rPr>
        <w:t>below.</w:t>
      </w:r>
    </w:p>
    <w:p w14:paraId="1DF50682" w14:textId="77777777" w:rsidR="001B427A" w:rsidRDefault="001B427A">
      <w:pPr>
        <w:autoSpaceDE w:val="0"/>
        <w:autoSpaceDN w:val="0"/>
        <w:adjustRightInd w:val="0"/>
        <w:rPr>
          <w:rFonts w:ascii="Arial" w:hAnsi="Arial" w:cs="Arial"/>
          <w:sz w:val="20"/>
          <w:szCs w:val="20"/>
        </w:rPr>
      </w:pPr>
      <w:r>
        <w:rPr>
          <w:rFonts w:ascii="Arial" w:hAnsi="Arial" w:cs="Arial"/>
          <w:sz w:val="20"/>
          <w:szCs w:val="20"/>
        </w:rPr>
        <w:t>We are therefore seeking views from potential users in respect of the same.  The Standard</w:t>
      </w:r>
      <w:r w:rsidR="00BB56D0">
        <w:rPr>
          <w:rFonts w:ascii="Arial" w:hAnsi="Arial" w:cs="Arial"/>
          <w:sz w:val="20"/>
          <w:szCs w:val="20"/>
        </w:rPr>
        <w:t>s</w:t>
      </w:r>
      <w:r>
        <w:rPr>
          <w:rFonts w:ascii="Arial" w:hAnsi="Arial" w:cs="Arial"/>
          <w:sz w:val="20"/>
          <w:szCs w:val="20"/>
        </w:rPr>
        <w:t xml:space="preserve"> </w:t>
      </w:r>
      <w:r w:rsidR="00BB56D0">
        <w:rPr>
          <w:rFonts w:ascii="Arial" w:hAnsi="Arial" w:cs="Arial"/>
          <w:sz w:val="20"/>
          <w:szCs w:val="20"/>
        </w:rPr>
        <w:t>are</w:t>
      </w:r>
      <w:r>
        <w:rPr>
          <w:rFonts w:ascii="Arial" w:hAnsi="Arial" w:cs="Arial"/>
          <w:sz w:val="20"/>
          <w:szCs w:val="20"/>
        </w:rPr>
        <w:t xml:space="preserve"> available at the Kenya Bureau of Standards Information Resource Centre.  Please tick and fill your preference of the listed option</w:t>
      </w:r>
      <w:r w:rsidR="004977E5">
        <w:rPr>
          <w:rFonts w:ascii="Arial" w:hAnsi="Arial" w:cs="Arial"/>
          <w:sz w:val="20"/>
          <w:szCs w:val="20"/>
        </w:rPr>
        <w:t xml:space="preserve"> in the attached table against each of the standards</w:t>
      </w:r>
      <w:r>
        <w:rPr>
          <w:rFonts w:ascii="Arial" w:hAnsi="Arial" w:cs="Arial"/>
          <w:sz w:val="20"/>
          <w:szCs w:val="20"/>
        </w:rPr>
        <w:t>.</w:t>
      </w:r>
    </w:p>
    <w:p w14:paraId="5C07629F" w14:textId="77777777" w:rsidR="004977E5" w:rsidRDefault="004977E5">
      <w:pPr>
        <w:autoSpaceDE w:val="0"/>
        <w:autoSpaceDN w:val="0"/>
        <w:adjustRightInd w:val="0"/>
        <w:rPr>
          <w:rFonts w:ascii="Arial" w:hAnsi="Arial" w:cs="Arial"/>
          <w:sz w:val="20"/>
          <w:szCs w:val="20"/>
        </w:rPr>
      </w:pPr>
      <w:r>
        <w:rPr>
          <w:rFonts w:ascii="Arial" w:hAnsi="Arial" w:cs="Arial"/>
          <w:sz w:val="20"/>
          <w:szCs w:val="20"/>
        </w:rPr>
        <w:t xml:space="preserve">Where the option is that the adoption is not acceptable, you </w:t>
      </w:r>
      <w:r w:rsidRPr="004977E5">
        <w:rPr>
          <w:rFonts w:ascii="Arial" w:hAnsi="Arial" w:cs="Arial"/>
          <w:b/>
          <w:sz w:val="20"/>
          <w:szCs w:val="20"/>
        </w:rPr>
        <w:t>MUST</w:t>
      </w:r>
      <w:r>
        <w:rPr>
          <w:rFonts w:ascii="Arial" w:hAnsi="Arial" w:cs="Arial"/>
          <w:sz w:val="20"/>
          <w:szCs w:val="20"/>
        </w:rPr>
        <w:t xml:space="preserve"> give a reason(s) and recommendation(s).</w:t>
      </w:r>
    </w:p>
    <w:p w14:paraId="225F4CD9" w14:textId="77777777" w:rsidR="00DD4D88" w:rsidRDefault="00EB0FC5" w:rsidP="00C25ED4">
      <w:pPr>
        <w:tabs>
          <w:tab w:val="right" w:leader="dot" w:pos="3600"/>
        </w:tabs>
        <w:autoSpaceDE w:val="0"/>
        <w:autoSpaceDN w:val="0"/>
        <w:adjustRightInd w:val="0"/>
        <w:rPr>
          <w:rFonts w:ascii="Arial" w:hAnsi="Arial" w:cs="Arial"/>
          <w:bCs/>
          <w:sz w:val="20"/>
          <w:szCs w:val="20"/>
        </w:rPr>
      </w:pPr>
      <w:r>
        <w:rPr>
          <w:rFonts w:ascii="Arial" w:hAnsi="Arial" w:cs="Arial"/>
          <w:b/>
          <w:bCs/>
          <w:sz w:val="20"/>
          <w:szCs w:val="20"/>
        </w:rPr>
        <w:t>NOTE</w:t>
      </w:r>
      <w:r w:rsidR="00993D86">
        <w:rPr>
          <w:rFonts w:ascii="Arial" w:hAnsi="Arial" w:cs="Arial"/>
          <w:b/>
          <w:bCs/>
          <w:sz w:val="20"/>
          <w:szCs w:val="20"/>
        </w:rPr>
        <w:t xml:space="preserve"> 1</w:t>
      </w:r>
      <w:r>
        <w:rPr>
          <w:rFonts w:ascii="Arial" w:hAnsi="Arial" w:cs="Arial"/>
          <w:b/>
          <w:bCs/>
          <w:sz w:val="20"/>
          <w:szCs w:val="20"/>
        </w:rPr>
        <w:t xml:space="preserve">:  </w:t>
      </w:r>
      <w:r w:rsidR="006C0675" w:rsidRPr="006C0675">
        <w:rPr>
          <w:rFonts w:ascii="Arial" w:hAnsi="Arial" w:cs="Arial"/>
          <w:bCs/>
          <w:sz w:val="20"/>
          <w:szCs w:val="20"/>
        </w:rPr>
        <w:t>A</w:t>
      </w:r>
      <w:r w:rsidRPr="006C0675">
        <w:rPr>
          <w:rFonts w:ascii="Arial" w:hAnsi="Arial" w:cs="Arial"/>
          <w:bCs/>
          <w:sz w:val="20"/>
          <w:szCs w:val="20"/>
        </w:rPr>
        <w:t>bsence</w:t>
      </w:r>
      <w:r w:rsidRPr="00DC08CA">
        <w:rPr>
          <w:rFonts w:ascii="Arial" w:hAnsi="Arial" w:cs="Arial"/>
          <w:bCs/>
          <w:sz w:val="20"/>
          <w:szCs w:val="20"/>
        </w:rPr>
        <w:t xml:space="preserve"> of any reply or comments </w:t>
      </w:r>
      <w:r w:rsidR="008117C8">
        <w:rPr>
          <w:rFonts w:ascii="Arial" w:hAnsi="Arial" w:cs="Arial"/>
          <w:bCs/>
          <w:sz w:val="20"/>
          <w:szCs w:val="20"/>
        </w:rPr>
        <w:t xml:space="preserve">shall </w:t>
      </w:r>
      <w:r w:rsidR="006C0675">
        <w:rPr>
          <w:rFonts w:ascii="Arial" w:hAnsi="Arial" w:cs="Arial"/>
          <w:bCs/>
          <w:sz w:val="20"/>
          <w:szCs w:val="20"/>
        </w:rPr>
        <w:t>be deemed to be an</w:t>
      </w:r>
      <w:r w:rsidRPr="00DC08CA">
        <w:rPr>
          <w:rFonts w:ascii="Arial" w:hAnsi="Arial" w:cs="Arial"/>
          <w:bCs/>
          <w:sz w:val="20"/>
          <w:szCs w:val="20"/>
        </w:rPr>
        <w:t xml:space="preserve"> accept</w:t>
      </w:r>
      <w:r w:rsidR="008117C8">
        <w:rPr>
          <w:rFonts w:ascii="Arial" w:hAnsi="Arial" w:cs="Arial"/>
          <w:bCs/>
          <w:sz w:val="20"/>
          <w:szCs w:val="20"/>
        </w:rPr>
        <w:t>ance of</w:t>
      </w:r>
      <w:r w:rsidRPr="00DC08CA">
        <w:rPr>
          <w:rFonts w:ascii="Arial" w:hAnsi="Arial" w:cs="Arial"/>
          <w:bCs/>
          <w:sz w:val="20"/>
          <w:szCs w:val="20"/>
        </w:rPr>
        <w:t xml:space="preserve"> the proposal for adoption</w:t>
      </w:r>
      <w:r w:rsidR="008117C8">
        <w:rPr>
          <w:rFonts w:ascii="Arial" w:hAnsi="Arial" w:cs="Arial"/>
          <w:bCs/>
          <w:sz w:val="20"/>
          <w:szCs w:val="20"/>
        </w:rPr>
        <w:t xml:space="preserve"> and </w:t>
      </w:r>
      <w:r w:rsidR="008117C8">
        <w:rPr>
          <w:rFonts w:ascii="Arial" w:hAnsi="Arial" w:cs="Arial"/>
          <w:b/>
          <w:color w:val="000000"/>
          <w:sz w:val="20"/>
          <w:szCs w:val="20"/>
        </w:rPr>
        <w:t>shall constitute an approval vote</w:t>
      </w:r>
      <w:r w:rsidRPr="00DC08CA">
        <w:rPr>
          <w:rFonts w:ascii="Arial" w:hAnsi="Arial" w:cs="Arial"/>
          <w:bCs/>
          <w:sz w:val="20"/>
          <w:szCs w:val="20"/>
        </w:rPr>
        <w:t>.</w:t>
      </w:r>
    </w:p>
    <w:p w14:paraId="3D13E791" w14:textId="77777777" w:rsidR="00E369C8" w:rsidRDefault="00E369C8" w:rsidP="00C25ED4">
      <w:pPr>
        <w:tabs>
          <w:tab w:val="right" w:leader="dot" w:pos="3600"/>
        </w:tabs>
        <w:autoSpaceDE w:val="0"/>
        <w:autoSpaceDN w:val="0"/>
        <w:adjustRightInd w:val="0"/>
        <w:rPr>
          <w:rFonts w:ascii="Arial" w:hAnsi="Arial" w:cs="Arial"/>
          <w:bCs/>
          <w:sz w:val="20"/>
          <w:szCs w:val="20"/>
        </w:rPr>
      </w:pPr>
    </w:p>
    <w:p w14:paraId="3FA76B22" w14:textId="1DE05E6A" w:rsidR="00EA55B6" w:rsidRDefault="00EA55B6"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B0659" w:rsidRPr="009B0659">
        <w:rPr>
          <w:rFonts w:ascii="Arial" w:hAnsi="Arial" w:cs="Arial"/>
          <w:color w:val="FF0000"/>
          <w:sz w:val="20"/>
          <w:szCs w:val="20"/>
          <w:u w:val="dotted"/>
        </w:rPr>
        <w:t xml:space="preserve">IEC </w:t>
      </w:r>
      <w:r w:rsidR="00E30B52" w:rsidRPr="00E30B52">
        <w:rPr>
          <w:rFonts w:ascii="Arial" w:hAnsi="Arial" w:cs="Arial"/>
          <w:color w:val="FF0000"/>
          <w:sz w:val="20"/>
          <w:szCs w:val="20"/>
          <w:u w:val="dotted"/>
        </w:rPr>
        <w:t>60670-21</w:t>
      </w:r>
      <w:r w:rsidR="009B0659" w:rsidRPr="009B0659">
        <w:rPr>
          <w:rFonts w:ascii="Arial" w:hAnsi="Arial" w:cs="Arial"/>
          <w:color w:val="FF0000"/>
          <w:sz w:val="20"/>
          <w:szCs w:val="20"/>
          <w:u w:val="dotted"/>
        </w:rPr>
        <w:t>:201</w:t>
      </w:r>
      <w:r w:rsidR="00E30B52">
        <w:rPr>
          <w:rFonts w:ascii="Arial" w:hAnsi="Arial" w:cs="Arial"/>
          <w:color w:val="FF0000"/>
          <w:sz w:val="20"/>
          <w:szCs w:val="20"/>
          <w:u w:val="dotted"/>
        </w:rPr>
        <w:t>6</w:t>
      </w:r>
      <w:r w:rsidR="009B0659">
        <w:rPr>
          <w:rFonts w:ascii="Arial" w:hAnsi="Arial" w:cs="Arial"/>
          <w:color w:val="FF0000"/>
          <w:sz w:val="20"/>
          <w:szCs w:val="20"/>
          <w:u w:val="dotted"/>
        </w:rPr>
        <w:t xml:space="preserve"> </w:t>
      </w:r>
      <w:r w:rsidRPr="00E50228">
        <w:rPr>
          <w:rFonts w:ascii="Arial" w:hAnsi="Arial" w:cs="Arial"/>
          <w:sz w:val="20"/>
          <w:szCs w:val="20"/>
          <w:u w:val="dotted"/>
        </w:rPr>
        <w:t xml:space="preserve">to replace KS </w:t>
      </w:r>
      <w:r w:rsidR="00E30B52" w:rsidRPr="009B0659">
        <w:rPr>
          <w:rFonts w:ascii="Arial" w:hAnsi="Arial" w:cs="Arial"/>
          <w:color w:val="FF0000"/>
          <w:sz w:val="20"/>
          <w:szCs w:val="20"/>
          <w:u w:val="dotted"/>
        </w:rPr>
        <w:t xml:space="preserve">IEC </w:t>
      </w:r>
      <w:r w:rsidR="00E30B52" w:rsidRPr="00E30B52">
        <w:rPr>
          <w:rFonts w:ascii="Arial" w:hAnsi="Arial" w:cs="Arial"/>
          <w:color w:val="FF0000"/>
          <w:sz w:val="20"/>
          <w:szCs w:val="20"/>
          <w:u w:val="dotted"/>
        </w:rPr>
        <w:t>60670-21</w:t>
      </w:r>
      <w:r w:rsidR="00E30B52" w:rsidRPr="009B0659">
        <w:rPr>
          <w:rFonts w:ascii="Arial" w:hAnsi="Arial" w:cs="Arial"/>
          <w:color w:val="FF0000"/>
          <w:sz w:val="20"/>
          <w:szCs w:val="20"/>
          <w:u w:val="dotted"/>
        </w:rPr>
        <w:t>:20</w:t>
      </w:r>
      <w:r w:rsidR="00E30B52">
        <w:rPr>
          <w:rFonts w:ascii="Arial" w:hAnsi="Arial" w:cs="Arial"/>
          <w:color w:val="FF0000"/>
          <w:sz w:val="20"/>
          <w:szCs w:val="20"/>
          <w:u w:val="dotted"/>
        </w:rPr>
        <w:t>04</w:t>
      </w:r>
    </w:p>
    <w:p w14:paraId="14C5DFCE" w14:textId="4AB18F0B" w:rsidR="00EA55B6" w:rsidRDefault="00EA55B6" w:rsidP="00EA55B6">
      <w:pPr>
        <w:autoSpaceDE w:val="0"/>
        <w:autoSpaceDN w:val="0"/>
        <w:adjustRightInd w:val="0"/>
        <w:ind w:left="900" w:hanging="54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rsidR="003C409D">
        <w:rPr>
          <w:rFonts w:ascii="Arial" w:hAnsi="Arial" w:cs="Arial"/>
          <w:sz w:val="20"/>
          <w:szCs w:val="20"/>
        </w:rPr>
        <w:t xml:space="preserve"> </w:t>
      </w:r>
      <w:r w:rsidR="00E30B52" w:rsidRPr="00E30B52">
        <w:rPr>
          <w:rFonts w:ascii="Arial" w:hAnsi="Arial" w:cs="Arial"/>
          <w:sz w:val="20"/>
          <w:szCs w:val="20"/>
          <w:u w:val="dotted"/>
        </w:rPr>
        <w:t xml:space="preserve">Boxes and enclosures for electrical accessories for household </w:t>
      </w:r>
      <w:proofErr w:type="spellStart"/>
      <w:r w:rsidR="00E30B52" w:rsidRPr="00E30B52">
        <w:rPr>
          <w:rFonts w:ascii="Arial" w:hAnsi="Arial" w:cs="Arial"/>
          <w:sz w:val="20"/>
          <w:szCs w:val="20"/>
          <w:u w:val="dotted"/>
        </w:rPr>
        <w:t>andsimilar</w:t>
      </w:r>
      <w:proofErr w:type="spellEnd"/>
      <w:r w:rsidR="00E30B52" w:rsidRPr="00E30B52">
        <w:rPr>
          <w:rFonts w:ascii="Arial" w:hAnsi="Arial" w:cs="Arial"/>
          <w:sz w:val="20"/>
          <w:szCs w:val="20"/>
          <w:u w:val="dotted"/>
        </w:rPr>
        <w:t xml:space="preserve"> fixed electrical installations - Part 21: </w:t>
      </w:r>
      <w:proofErr w:type="gramStart"/>
      <w:r w:rsidR="00E30B52" w:rsidRPr="00E30B52">
        <w:rPr>
          <w:rFonts w:ascii="Arial" w:hAnsi="Arial" w:cs="Arial"/>
          <w:sz w:val="20"/>
          <w:szCs w:val="20"/>
          <w:u w:val="dotted"/>
        </w:rPr>
        <w:t>Particular requirements</w:t>
      </w:r>
      <w:proofErr w:type="gramEnd"/>
      <w:r w:rsidR="00E30B52" w:rsidRPr="00E30B52">
        <w:rPr>
          <w:rFonts w:ascii="Arial" w:hAnsi="Arial" w:cs="Arial"/>
          <w:sz w:val="20"/>
          <w:szCs w:val="20"/>
          <w:u w:val="dotted"/>
        </w:rPr>
        <w:t xml:space="preserve"> for boxes and enclosures with provision for suspension</w:t>
      </w:r>
      <w:r w:rsidR="00E30B52">
        <w:rPr>
          <w:rFonts w:ascii="Arial" w:hAnsi="Arial" w:cs="Arial"/>
          <w:sz w:val="20"/>
          <w:szCs w:val="20"/>
          <w:u w:val="dotted"/>
        </w:rPr>
        <w:t xml:space="preserve"> </w:t>
      </w:r>
      <w:r w:rsidR="00E30B52" w:rsidRPr="00E30B52">
        <w:rPr>
          <w:rFonts w:ascii="Arial" w:hAnsi="Arial" w:cs="Arial"/>
          <w:sz w:val="20"/>
          <w:szCs w:val="20"/>
          <w:u w:val="dotted"/>
        </w:rPr>
        <w:t>means</w:t>
      </w:r>
      <w:r w:rsidR="009B0659">
        <w:rPr>
          <w:rFonts w:ascii="Arial" w:hAnsi="Arial" w:cs="Arial"/>
          <w:sz w:val="20"/>
          <w:szCs w:val="20"/>
          <w:u w:val="dotted"/>
        </w:rPr>
        <w:t xml:space="preserve">, Second </w:t>
      </w:r>
      <w:r w:rsidR="00A17AC8">
        <w:rPr>
          <w:rFonts w:ascii="Arial" w:hAnsi="Arial" w:cs="Arial"/>
          <w:sz w:val="20"/>
          <w:szCs w:val="20"/>
          <w:u w:val="dotted"/>
        </w:rPr>
        <w:t>Edition</w:t>
      </w:r>
    </w:p>
    <w:p w14:paraId="7A5B4B17" w14:textId="407F157E" w:rsidR="009B0659" w:rsidRDefault="00EA55B6" w:rsidP="00E30B52">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Pr="00C06AA1">
        <w:t xml:space="preserve"> </w:t>
      </w:r>
      <w:r w:rsidR="00E30B52">
        <w:t xml:space="preserve">IEC 60670-21:2004+A1:2016 applies to boxes, </w:t>
      </w:r>
      <w:proofErr w:type="gramStart"/>
      <w:r w:rsidR="00E30B52">
        <w:t>enclosures</w:t>
      </w:r>
      <w:proofErr w:type="gramEnd"/>
      <w:r w:rsidR="00E30B52">
        <w:t xml:space="preserve"> and parts of enclosures (hereafter called "boxes" and "enclosures") for electrical accessories with a rated voltage not exceeding 1 000 V </w:t>
      </w:r>
      <w:proofErr w:type="spellStart"/>
      <w:r w:rsidR="00E30B52">
        <w:t>a.c.</w:t>
      </w:r>
      <w:proofErr w:type="spellEnd"/>
      <w:r w:rsidR="00E30B52">
        <w:t xml:space="preserve"> and 1 500 V </w:t>
      </w:r>
      <w:proofErr w:type="spellStart"/>
      <w:r w:rsidR="00E30B52">
        <w:t>d.c.</w:t>
      </w:r>
      <w:proofErr w:type="spellEnd"/>
      <w:r w:rsidR="00E30B52">
        <w:t xml:space="preserve"> intended for household or similar fixed electrical installations, either indoors or outdoors. This part applies to boxes and enclosures with provision for suspension means</w:t>
      </w:r>
    </w:p>
    <w:p w14:paraId="633C5F4B" w14:textId="47A277E8" w:rsidR="009B0659" w:rsidRDefault="00B02A45" w:rsidP="00EA55B6">
      <w:pPr>
        <w:tabs>
          <w:tab w:val="right" w:leader="dot" w:pos="3600"/>
        </w:tabs>
        <w:autoSpaceDE w:val="0"/>
        <w:autoSpaceDN w:val="0"/>
        <w:adjustRightInd w:val="0"/>
        <w:ind w:left="360"/>
      </w:pPr>
      <w:hyperlink r:id="rId8" w:history="1">
        <w:r w:rsidR="00E30B52" w:rsidRPr="001037D4">
          <w:rPr>
            <w:rStyle w:val="Hyperlink"/>
          </w:rPr>
          <w:t>https://webstore.iec.ch/publication/24214</w:t>
        </w:r>
      </w:hyperlink>
    </w:p>
    <w:p w14:paraId="450B370A" w14:textId="77777777" w:rsidR="00E30B52" w:rsidRDefault="00E30B52" w:rsidP="00EA55B6">
      <w:pPr>
        <w:tabs>
          <w:tab w:val="right" w:leader="dot" w:pos="3600"/>
        </w:tabs>
        <w:autoSpaceDE w:val="0"/>
        <w:autoSpaceDN w:val="0"/>
        <w:adjustRightInd w:val="0"/>
        <w:ind w:left="360"/>
        <w:rPr>
          <w:rFonts w:ascii="Arial" w:hAnsi="Arial" w:cs="Arial"/>
          <w:bCs/>
          <w:sz w:val="20"/>
          <w:szCs w:val="20"/>
        </w:rPr>
      </w:pPr>
    </w:p>
    <w:p w14:paraId="7FFE99F0" w14:textId="78A173D3"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E30B52" w:rsidRPr="00E30B52">
        <w:rPr>
          <w:rFonts w:ascii="Arial" w:hAnsi="Arial" w:cs="Arial"/>
          <w:color w:val="FF0000"/>
          <w:sz w:val="20"/>
          <w:szCs w:val="20"/>
          <w:u w:val="dotted"/>
        </w:rPr>
        <w:t>IEC 60670-22</w:t>
      </w:r>
      <w:r w:rsidR="00E30B52">
        <w:rPr>
          <w:rFonts w:ascii="Arial" w:hAnsi="Arial" w:cs="Arial"/>
          <w:color w:val="FF0000"/>
          <w:sz w:val="20"/>
          <w:szCs w:val="20"/>
          <w:u w:val="dotted"/>
        </w:rPr>
        <w:t xml:space="preserve">: 2015 </w:t>
      </w:r>
      <w:r w:rsidRPr="00E50228">
        <w:rPr>
          <w:rFonts w:ascii="Arial" w:hAnsi="Arial" w:cs="Arial"/>
          <w:sz w:val="20"/>
          <w:szCs w:val="20"/>
          <w:u w:val="dotted"/>
        </w:rPr>
        <w:t xml:space="preserve">to replace KS </w:t>
      </w:r>
      <w:r w:rsidR="00E30B52" w:rsidRPr="00E30B52">
        <w:rPr>
          <w:rFonts w:ascii="Arial" w:hAnsi="Arial" w:cs="Arial"/>
          <w:color w:val="FF0000"/>
          <w:sz w:val="20"/>
          <w:szCs w:val="20"/>
          <w:u w:val="dotted"/>
        </w:rPr>
        <w:t>IEC 60670-22</w:t>
      </w:r>
      <w:r w:rsidR="00E30B52">
        <w:rPr>
          <w:rFonts w:ascii="Arial" w:hAnsi="Arial" w:cs="Arial"/>
          <w:color w:val="FF0000"/>
          <w:sz w:val="20"/>
          <w:szCs w:val="20"/>
          <w:u w:val="dotted"/>
        </w:rPr>
        <w:t>: 2003</w:t>
      </w:r>
    </w:p>
    <w:p w14:paraId="38292D6E" w14:textId="585C8A53" w:rsidR="00DD4D88" w:rsidRPr="002329FB" w:rsidRDefault="00DD4D88" w:rsidP="00A5709E">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rsidR="00A5709E">
        <w:tab/>
      </w:r>
      <w:r w:rsidR="00E30B52" w:rsidRPr="00E30B52">
        <w:rPr>
          <w:rFonts w:ascii="Arial" w:hAnsi="Arial" w:cs="Arial"/>
          <w:sz w:val="20"/>
          <w:szCs w:val="20"/>
          <w:u w:val="dotted"/>
        </w:rPr>
        <w:t>Boxes and enclosures for electrical accessories for household and</w:t>
      </w:r>
      <w:r w:rsidR="00E30B52">
        <w:rPr>
          <w:rFonts w:ascii="Arial" w:hAnsi="Arial" w:cs="Arial"/>
          <w:sz w:val="20"/>
          <w:szCs w:val="20"/>
          <w:u w:val="dotted"/>
        </w:rPr>
        <w:t xml:space="preserve"> </w:t>
      </w:r>
      <w:r w:rsidR="00E30B52" w:rsidRPr="00E30B52">
        <w:rPr>
          <w:rFonts w:ascii="Arial" w:hAnsi="Arial" w:cs="Arial"/>
          <w:sz w:val="20"/>
          <w:szCs w:val="20"/>
          <w:u w:val="dotted"/>
        </w:rPr>
        <w:t xml:space="preserve">similar fixed electrical installations - Part 22: </w:t>
      </w:r>
      <w:proofErr w:type="gramStart"/>
      <w:r w:rsidR="00E30B52" w:rsidRPr="00E30B52">
        <w:rPr>
          <w:rFonts w:ascii="Arial" w:hAnsi="Arial" w:cs="Arial"/>
          <w:sz w:val="20"/>
          <w:szCs w:val="20"/>
          <w:u w:val="dotted"/>
        </w:rPr>
        <w:t>Particular requirements</w:t>
      </w:r>
      <w:proofErr w:type="gramEnd"/>
      <w:r w:rsidR="00E30B52" w:rsidRPr="00E30B52">
        <w:rPr>
          <w:rFonts w:ascii="Arial" w:hAnsi="Arial" w:cs="Arial"/>
          <w:sz w:val="20"/>
          <w:szCs w:val="20"/>
          <w:u w:val="dotted"/>
        </w:rPr>
        <w:t xml:space="preserve"> for connecting boxes and enclosures</w:t>
      </w:r>
      <w:r w:rsidR="00A17AC8">
        <w:rPr>
          <w:rFonts w:ascii="Arial" w:hAnsi="Arial" w:cs="Arial"/>
          <w:sz w:val="20"/>
          <w:szCs w:val="20"/>
          <w:u w:val="dotted"/>
        </w:rPr>
        <w:t>, Second Edition</w:t>
      </w:r>
    </w:p>
    <w:p w14:paraId="1749C1EF" w14:textId="3A786EFA" w:rsidR="009B0659" w:rsidRDefault="00DD4D88" w:rsidP="00E30B52">
      <w:pPr>
        <w:tabs>
          <w:tab w:val="right" w:leader="dot" w:pos="9000"/>
        </w:tabs>
        <w:autoSpaceDE w:val="0"/>
        <w:autoSpaceDN w:val="0"/>
        <w:adjustRightInd w:val="0"/>
        <w:ind w:left="360"/>
      </w:pPr>
      <w:r w:rsidRPr="00A5709E">
        <w:rPr>
          <w:rFonts w:ascii="Arial" w:hAnsi="Arial" w:cs="Arial"/>
          <w:b/>
          <w:sz w:val="20"/>
          <w:szCs w:val="20"/>
        </w:rPr>
        <w:t>Scope</w:t>
      </w:r>
      <w:r>
        <w:rPr>
          <w:rFonts w:ascii="Arial" w:hAnsi="Arial" w:cs="Arial"/>
          <w:sz w:val="20"/>
          <w:szCs w:val="20"/>
        </w:rPr>
        <w:t>:</w:t>
      </w:r>
      <w:r w:rsidR="00C06AA1" w:rsidRPr="00C06AA1">
        <w:t xml:space="preserve"> </w:t>
      </w:r>
      <w:r w:rsidR="00E30B52" w:rsidRPr="00E30B52">
        <w:t xml:space="preserve">IEC 60670-22:2003+A1:2015 applies to boxes, </w:t>
      </w:r>
      <w:proofErr w:type="gramStart"/>
      <w:r w:rsidR="00E30B52" w:rsidRPr="00E30B52">
        <w:t>enclosures</w:t>
      </w:r>
      <w:proofErr w:type="gramEnd"/>
      <w:r w:rsidR="00E30B52" w:rsidRPr="00E30B52">
        <w:t xml:space="preserve"> and parts of enclosures (hereafter called "boxes" and "enclosures") for electrical accessories with a rated voltage not exceeding 1 000 V </w:t>
      </w:r>
      <w:proofErr w:type="spellStart"/>
      <w:r w:rsidR="00E30B52" w:rsidRPr="00E30B52">
        <w:t>a.c.</w:t>
      </w:r>
      <w:proofErr w:type="spellEnd"/>
      <w:r w:rsidR="00E30B52" w:rsidRPr="00E30B52">
        <w:t xml:space="preserve"> and 1 500 V </w:t>
      </w:r>
      <w:proofErr w:type="spellStart"/>
      <w:r w:rsidR="00E30B52" w:rsidRPr="00E30B52">
        <w:t>d.c.</w:t>
      </w:r>
      <w:proofErr w:type="spellEnd"/>
      <w:r w:rsidR="00E30B52" w:rsidRPr="00E30B52">
        <w:t xml:space="preserve"> intended for household or similar fixed electrical installations, either indoors or outdoors. This standard applies to connecting boxes for junction(s) and/or tapping(s).</w:t>
      </w:r>
    </w:p>
    <w:p w14:paraId="2CF2E3E7" w14:textId="6F01380F" w:rsidR="009B0659" w:rsidRDefault="00B02A45" w:rsidP="000D07C9">
      <w:pPr>
        <w:tabs>
          <w:tab w:val="right" w:leader="dot" w:pos="9000"/>
        </w:tabs>
        <w:autoSpaceDE w:val="0"/>
        <w:autoSpaceDN w:val="0"/>
        <w:adjustRightInd w:val="0"/>
        <w:ind w:left="360"/>
      </w:pPr>
      <w:hyperlink r:id="rId9" w:history="1">
        <w:r w:rsidR="00E30B52" w:rsidRPr="001037D4">
          <w:rPr>
            <w:rStyle w:val="Hyperlink"/>
          </w:rPr>
          <w:t>https://webstore.iec.ch/publication/22004</w:t>
        </w:r>
      </w:hyperlink>
    </w:p>
    <w:p w14:paraId="630729CC" w14:textId="77777777" w:rsidR="00E30B52" w:rsidRPr="00C06AA1" w:rsidRDefault="00E30B52" w:rsidP="000D07C9">
      <w:pPr>
        <w:tabs>
          <w:tab w:val="right" w:leader="dot" w:pos="9000"/>
        </w:tabs>
        <w:autoSpaceDE w:val="0"/>
        <w:autoSpaceDN w:val="0"/>
        <w:adjustRightInd w:val="0"/>
        <w:ind w:left="360"/>
        <w:rPr>
          <w:rFonts w:ascii="Arial" w:hAnsi="Arial" w:cs="Arial"/>
          <w:sz w:val="20"/>
          <w:szCs w:val="20"/>
        </w:rPr>
      </w:pPr>
    </w:p>
    <w:p w14:paraId="085D534E" w14:textId="290ECC20" w:rsidR="00A5709E" w:rsidRDefault="00A5709E"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CE4853" w:rsidRPr="00CE4853">
        <w:rPr>
          <w:rFonts w:ascii="Arial" w:hAnsi="Arial" w:cs="Arial"/>
          <w:color w:val="FF0000"/>
          <w:sz w:val="20"/>
          <w:szCs w:val="20"/>
          <w:u w:val="dotted"/>
        </w:rPr>
        <w:t>IEC 60670-23</w:t>
      </w:r>
      <w:r w:rsidR="00CE4853">
        <w:rPr>
          <w:rFonts w:ascii="Arial" w:hAnsi="Arial" w:cs="Arial"/>
          <w:color w:val="FF0000"/>
          <w:sz w:val="20"/>
          <w:szCs w:val="20"/>
          <w:u w:val="dotted"/>
        </w:rPr>
        <w:t xml:space="preserve">: </w:t>
      </w:r>
      <w:r w:rsidR="009B0659" w:rsidRPr="009B0659">
        <w:rPr>
          <w:rFonts w:ascii="Arial" w:hAnsi="Arial" w:cs="Arial"/>
          <w:color w:val="FF0000"/>
          <w:sz w:val="20"/>
          <w:szCs w:val="20"/>
          <w:u w:val="dotted"/>
        </w:rPr>
        <w:t>201</w:t>
      </w:r>
      <w:r w:rsidR="00CE4853">
        <w:rPr>
          <w:rFonts w:ascii="Arial" w:hAnsi="Arial" w:cs="Arial"/>
          <w:color w:val="FF0000"/>
          <w:sz w:val="20"/>
          <w:szCs w:val="20"/>
          <w:u w:val="dotted"/>
        </w:rPr>
        <w:t>6</w:t>
      </w:r>
      <w:r w:rsidR="009B0659">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CE4853" w:rsidRPr="00CE4853">
        <w:rPr>
          <w:rFonts w:ascii="Arial" w:hAnsi="Arial" w:cs="Arial"/>
          <w:sz w:val="20"/>
          <w:szCs w:val="20"/>
          <w:u w:val="dotted"/>
        </w:rPr>
        <w:t>IEC 60670-23</w:t>
      </w:r>
      <w:r w:rsidR="00CE4853">
        <w:rPr>
          <w:rFonts w:ascii="Arial" w:hAnsi="Arial" w:cs="Arial"/>
          <w:sz w:val="20"/>
          <w:szCs w:val="20"/>
          <w:u w:val="dotted"/>
        </w:rPr>
        <w:t>:2006</w:t>
      </w:r>
    </w:p>
    <w:p w14:paraId="7F51838A" w14:textId="0DA75096" w:rsidR="00A5709E" w:rsidRPr="00E14B8C" w:rsidRDefault="00A5709E" w:rsidP="00E14B8C">
      <w:pPr>
        <w:autoSpaceDE w:val="0"/>
        <w:autoSpaceDN w:val="0"/>
        <w:adjustRightInd w:val="0"/>
        <w:ind w:left="900" w:hanging="540"/>
        <w:rPr>
          <w:rFonts w:ascii="Arial" w:hAnsi="Arial" w:cs="Arial"/>
          <w:sz w:val="20"/>
          <w:szCs w:val="20"/>
          <w:u w:val="dotted"/>
        </w:rPr>
      </w:pPr>
      <w:r w:rsidRPr="00A5709E">
        <w:rPr>
          <w:rFonts w:ascii="Arial" w:hAnsi="Arial" w:cs="Arial"/>
          <w:b/>
          <w:sz w:val="20"/>
          <w:szCs w:val="20"/>
        </w:rPr>
        <w:t>Title</w:t>
      </w:r>
      <w:r>
        <w:rPr>
          <w:rFonts w:ascii="Arial" w:hAnsi="Arial" w:cs="Arial"/>
          <w:sz w:val="20"/>
          <w:szCs w:val="20"/>
        </w:rPr>
        <w:t>:</w:t>
      </w:r>
      <w:r>
        <w:tab/>
      </w:r>
      <w:r w:rsidR="00CE4853" w:rsidRPr="00CE4853">
        <w:rPr>
          <w:rFonts w:ascii="Arial" w:hAnsi="Arial" w:cs="Arial"/>
          <w:sz w:val="20"/>
          <w:szCs w:val="20"/>
          <w:u w:val="dotted"/>
        </w:rPr>
        <w:t xml:space="preserve">Boxes and enclosures for electrical accessories for household </w:t>
      </w:r>
      <w:proofErr w:type="spellStart"/>
      <w:r w:rsidR="00CE4853" w:rsidRPr="00CE4853">
        <w:rPr>
          <w:rFonts w:ascii="Arial" w:hAnsi="Arial" w:cs="Arial"/>
          <w:sz w:val="20"/>
          <w:szCs w:val="20"/>
          <w:u w:val="dotted"/>
        </w:rPr>
        <w:t>andsimilar</w:t>
      </w:r>
      <w:proofErr w:type="spellEnd"/>
      <w:r w:rsidR="00CE4853" w:rsidRPr="00CE4853">
        <w:rPr>
          <w:rFonts w:ascii="Arial" w:hAnsi="Arial" w:cs="Arial"/>
          <w:sz w:val="20"/>
          <w:szCs w:val="20"/>
          <w:u w:val="dotted"/>
        </w:rPr>
        <w:t xml:space="preserve"> fixed electrical installations - Part 23: </w:t>
      </w:r>
      <w:proofErr w:type="gramStart"/>
      <w:r w:rsidR="00CE4853" w:rsidRPr="00CE4853">
        <w:rPr>
          <w:rFonts w:ascii="Arial" w:hAnsi="Arial" w:cs="Arial"/>
          <w:sz w:val="20"/>
          <w:szCs w:val="20"/>
          <w:u w:val="dotted"/>
        </w:rPr>
        <w:t>Particular requirements</w:t>
      </w:r>
      <w:proofErr w:type="gramEnd"/>
      <w:r w:rsidR="00CE4853" w:rsidRPr="00CE4853">
        <w:rPr>
          <w:rFonts w:ascii="Arial" w:hAnsi="Arial" w:cs="Arial"/>
          <w:sz w:val="20"/>
          <w:szCs w:val="20"/>
          <w:u w:val="dotted"/>
        </w:rPr>
        <w:t xml:space="preserve"> for floor boxes and enclosures</w:t>
      </w:r>
      <w:r w:rsidR="00A17AC8">
        <w:rPr>
          <w:rFonts w:ascii="Arial" w:hAnsi="Arial" w:cs="Arial"/>
          <w:sz w:val="20"/>
          <w:szCs w:val="20"/>
          <w:u w:val="dotted"/>
        </w:rPr>
        <w:t>, Second Edition</w:t>
      </w:r>
    </w:p>
    <w:p w14:paraId="56B18178" w14:textId="3C1D851F" w:rsidR="009B0659" w:rsidRPr="009B0659" w:rsidRDefault="00A5709E" w:rsidP="00CE4853">
      <w:pPr>
        <w:tabs>
          <w:tab w:val="right" w:leader="dot" w:pos="9000"/>
        </w:tabs>
        <w:autoSpaceDE w:val="0"/>
        <w:autoSpaceDN w:val="0"/>
        <w:adjustRightInd w:val="0"/>
        <w:ind w:left="360"/>
      </w:pPr>
      <w:r w:rsidRPr="000D07C9">
        <w:rPr>
          <w:rFonts w:ascii="Arial" w:hAnsi="Arial" w:cs="Arial"/>
          <w:b/>
          <w:sz w:val="20"/>
          <w:szCs w:val="20"/>
        </w:rPr>
        <w:lastRenderedPageBreak/>
        <w:t>Scope</w:t>
      </w:r>
      <w:r w:rsidRPr="000D07C9">
        <w:rPr>
          <w:rFonts w:ascii="Arial" w:hAnsi="Arial" w:cs="Arial"/>
          <w:sz w:val="20"/>
          <w:szCs w:val="20"/>
        </w:rPr>
        <w:t>:</w:t>
      </w:r>
      <w:r w:rsidR="000D07C9" w:rsidRPr="000D07C9">
        <w:rPr>
          <w:rFonts w:ascii="Arial" w:hAnsi="Arial" w:cs="Arial"/>
          <w:color w:val="473F3F"/>
          <w:sz w:val="20"/>
          <w:szCs w:val="20"/>
          <w:shd w:val="clear" w:color="auto" w:fill="FFFFFF"/>
        </w:rPr>
        <w:t xml:space="preserve"> </w:t>
      </w:r>
      <w:r w:rsidR="00CE4853">
        <w:t>IEC 60670-23:2006+A1:2016 This standard applies to boxes and enclosures intended to be installed in any kind of floor, and to protect accessories against load up to and including 1 000 N.</w:t>
      </w:r>
    </w:p>
    <w:p w14:paraId="0D6D0F00" w14:textId="102D3847" w:rsidR="009B0659" w:rsidRDefault="00B02A45" w:rsidP="00A5709E">
      <w:pPr>
        <w:tabs>
          <w:tab w:val="right" w:leader="dot" w:pos="9000"/>
        </w:tabs>
        <w:autoSpaceDE w:val="0"/>
        <w:autoSpaceDN w:val="0"/>
        <w:adjustRightInd w:val="0"/>
        <w:ind w:left="360"/>
      </w:pPr>
      <w:hyperlink r:id="rId10" w:history="1">
        <w:r w:rsidR="00CE4853" w:rsidRPr="001037D4">
          <w:rPr>
            <w:rStyle w:val="Hyperlink"/>
          </w:rPr>
          <w:t>https://webstore.iec.ch/publication/24238</w:t>
        </w:r>
      </w:hyperlink>
    </w:p>
    <w:p w14:paraId="4A23A232" w14:textId="77777777" w:rsidR="009B0659" w:rsidRDefault="009B0659" w:rsidP="00A5709E">
      <w:pPr>
        <w:tabs>
          <w:tab w:val="right" w:leader="dot" w:pos="9000"/>
        </w:tabs>
        <w:autoSpaceDE w:val="0"/>
        <w:autoSpaceDN w:val="0"/>
        <w:adjustRightInd w:val="0"/>
        <w:ind w:left="360"/>
      </w:pPr>
    </w:p>
    <w:p w14:paraId="127C2293" w14:textId="1546F0D7" w:rsidR="009B0659" w:rsidRDefault="009B0659"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CE4853" w:rsidRPr="00CE4853">
        <w:rPr>
          <w:rFonts w:ascii="Arial" w:hAnsi="Arial" w:cs="Arial"/>
          <w:color w:val="FF0000"/>
          <w:sz w:val="20"/>
          <w:szCs w:val="20"/>
          <w:u w:val="dotted"/>
        </w:rPr>
        <w:t xml:space="preserve">IEC 61936-1:2021 </w:t>
      </w:r>
      <w:r w:rsidRPr="00E50228">
        <w:rPr>
          <w:rFonts w:ascii="Arial" w:hAnsi="Arial" w:cs="Arial"/>
          <w:sz w:val="20"/>
          <w:szCs w:val="20"/>
          <w:u w:val="dotted"/>
        </w:rPr>
        <w:t xml:space="preserve">to replace KS </w:t>
      </w:r>
      <w:r w:rsidR="00CE4853" w:rsidRPr="00CE4853">
        <w:rPr>
          <w:rFonts w:ascii="Arial" w:hAnsi="Arial" w:cs="Arial"/>
          <w:sz w:val="20"/>
          <w:szCs w:val="20"/>
          <w:u w:val="dotted"/>
        </w:rPr>
        <w:t>IEC 61936-1:20</w:t>
      </w:r>
      <w:r w:rsidR="00CE4853">
        <w:rPr>
          <w:rFonts w:ascii="Arial" w:hAnsi="Arial" w:cs="Arial"/>
          <w:sz w:val="20"/>
          <w:szCs w:val="20"/>
          <w:u w:val="dotted"/>
        </w:rPr>
        <w:t>14</w:t>
      </w:r>
    </w:p>
    <w:p w14:paraId="49FD97BC" w14:textId="6C0AD2D9" w:rsidR="00165516" w:rsidRPr="00165516" w:rsidRDefault="00165516" w:rsidP="00165516">
      <w:pPr>
        <w:autoSpaceDE w:val="0"/>
        <w:autoSpaceDN w:val="0"/>
        <w:adjustRightInd w:val="0"/>
        <w:ind w:left="900" w:hanging="540"/>
        <w:rPr>
          <w:rFonts w:ascii="Arial" w:hAnsi="Arial" w:cs="Arial"/>
          <w:sz w:val="20"/>
          <w:szCs w:val="20"/>
        </w:rPr>
      </w:pPr>
      <w:r w:rsidRPr="00165516">
        <w:rPr>
          <w:rFonts w:ascii="Arial" w:hAnsi="Arial" w:cs="Arial"/>
          <w:b/>
          <w:sz w:val="20"/>
          <w:szCs w:val="20"/>
        </w:rPr>
        <w:t>Title</w:t>
      </w:r>
      <w:r w:rsidRPr="00165516">
        <w:rPr>
          <w:rFonts w:ascii="Arial" w:hAnsi="Arial" w:cs="Arial"/>
          <w:sz w:val="20"/>
          <w:szCs w:val="20"/>
        </w:rPr>
        <w:t>:</w:t>
      </w:r>
      <w:r w:rsidRPr="00165516">
        <w:rPr>
          <w:rFonts w:ascii="Arial" w:hAnsi="Arial" w:cs="Arial"/>
          <w:sz w:val="20"/>
          <w:szCs w:val="20"/>
        </w:rPr>
        <w:tab/>
      </w:r>
      <w:r w:rsidR="009B0659" w:rsidRPr="009B0659">
        <w:rPr>
          <w:rFonts w:ascii="Arial" w:hAnsi="Arial" w:cs="Arial"/>
          <w:sz w:val="20"/>
          <w:szCs w:val="20"/>
          <w:u w:val="dotted"/>
        </w:rPr>
        <w:t xml:space="preserve">Electrical safety in low voltage distribution systems up to 1 000 V AC and 1 500 V DC - Equipment for testing, </w:t>
      </w:r>
      <w:proofErr w:type="gramStart"/>
      <w:r w:rsidR="009B0659" w:rsidRPr="009B0659">
        <w:rPr>
          <w:rFonts w:ascii="Arial" w:hAnsi="Arial" w:cs="Arial"/>
          <w:sz w:val="20"/>
          <w:szCs w:val="20"/>
          <w:u w:val="dotted"/>
        </w:rPr>
        <w:t>measuring</w:t>
      </w:r>
      <w:proofErr w:type="gramEnd"/>
      <w:r w:rsidR="009B0659" w:rsidRPr="009B0659">
        <w:rPr>
          <w:rFonts w:ascii="Arial" w:hAnsi="Arial" w:cs="Arial"/>
          <w:sz w:val="20"/>
          <w:szCs w:val="20"/>
          <w:u w:val="dotted"/>
        </w:rPr>
        <w:t xml:space="preserve"> or monitoring of protective measures - Part 4: Resistance of earth connection and equipotential bonding</w:t>
      </w:r>
      <w:r w:rsidRPr="00165516">
        <w:rPr>
          <w:rFonts w:ascii="Arial" w:hAnsi="Arial" w:cs="Arial"/>
          <w:sz w:val="20"/>
          <w:szCs w:val="20"/>
          <w:u w:val="dotted"/>
        </w:rPr>
        <w:t xml:space="preserve">, </w:t>
      </w:r>
      <w:r w:rsidR="009B0659">
        <w:rPr>
          <w:rFonts w:ascii="Arial" w:hAnsi="Arial" w:cs="Arial"/>
          <w:sz w:val="20"/>
          <w:szCs w:val="20"/>
          <w:u w:val="dotted"/>
        </w:rPr>
        <w:t>Second</w:t>
      </w:r>
      <w:r w:rsidRPr="00165516">
        <w:rPr>
          <w:rFonts w:ascii="Arial" w:hAnsi="Arial" w:cs="Arial"/>
          <w:sz w:val="20"/>
          <w:szCs w:val="20"/>
          <w:u w:val="dotted"/>
        </w:rPr>
        <w:t xml:space="preserve"> Edition</w:t>
      </w:r>
    </w:p>
    <w:p w14:paraId="10AF28CD" w14:textId="77777777" w:rsidR="00CE4853" w:rsidRPr="00CE4853" w:rsidRDefault="00165516" w:rsidP="00CE4853">
      <w:pPr>
        <w:spacing w:before="0" w:after="0"/>
        <w:jc w:val="left"/>
        <w:rPr>
          <w:lang w:val="en-KE" w:eastAsia="en-KE"/>
        </w:rPr>
      </w:pPr>
      <w:r w:rsidRPr="008B48FF">
        <w:rPr>
          <w:rFonts w:ascii="Arial" w:hAnsi="Arial" w:cs="Arial"/>
          <w:b/>
          <w:sz w:val="20"/>
          <w:szCs w:val="20"/>
        </w:rPr>
        <w:t>Scope</w:t>
      </w:r>
      <w:r w:rsidRPr="008B48FF">
        <w:rPr>
          <w:rFonts w:ascii="Arial" w:hAnsi="Arial" w:cs="Arial"/>
          <w:sz w:val="20"/>
          <w:szCs w:val="20"/>
        </w:rPr>
        <w:t xml:space="preserve">: </w:t>
      </w:r>
      <w:r w:rsidR="00CE4853" w:rsidRPr="00CE4853">
        <w:rPr>
          <w:lang w:val="en-KE" w:eastAsia="en-KE"/>
        </w:rPr>
        <w:t xml:space="preserve">IEC 61936-1:2021 CMV contains both the official standard and its commented version. The commented version provides you with a quick and easy way to compare all the changes between IEC 61936-1:2021 CMV edition 3.0 and the previous IEC 61936-1:2010+AMD1:2014 CSV edition 2.1. </w:t>
      </w:r>
      <w:proofErr w:type="spellStart"/>
      <w:r w:rsidR="00CE4853" w:rsidRPr="00CE4853">
        <w:rPr>
          <w:lang w:val="en-KE" w:eastAsia="en-KE"/>
        </w:rPr>
        <w:t>Futhermore</w:t>
      </w:r>
      <w:proofErr w:type="spellEnd"/>
      <w:r w:rsidR="00CE4853" w:rsidRPr="00CE4853">
        <w:rPr>
          <w:lang w:val="en-KE" w:eastAsia="en-KE"/>
        </w:rPr>
        <w:t>, comments from IEC TC 99 experts are provided to explain the reasons of the most relevant changes.</w:t>
      </w:r>
      <w:r w:rsidR="00CE4853" w:rsidRPr="00CE4853">
        <w:rPr>
          <w:lang w:val="en-KE" w:eastAsia="en-KE"/>
        </w:rPr>
        <w:br/>
      </w:r>
      <w:r w:rsidR="00CE4853" w:rsidRPr="00CE4853">
        <w:rPr>
          <w:lang w:val="en-KE" w:eastAsia="en-KE"/>
        </w:rPr>
        <w:br/>
        <w:t>IEC 61936-1:2021 provides requirements for the design and the erection of electrical power installations in systems with nominal voltages exceeding 1 kV AC and nominal frequency up to and including 60 Hz, so as to provide safety and proper functioning for the use intended.</w:t>
      </w:r>
      <w:r w:rsidR="00CE4853" w:rsidRPr="00CE4853">
        <w:rPr>
          <w:lang w:val="en-KE" w:eastAsia="en-KE"/>
        </w:rPr>
        <w:br/>
        <w:t>This document does not apply to the design and erection of any of the following:</w:t>
      </w:r>
      <w:r w:rsidR="00CE4853" w:rsidRPr="00CE4853">
        <w:rPr>
          <w:lang w:val="en-KE" w:eastAsia="en-KE"/>
        </w:rPr>
        <w:br/>
        <w:t>– overhead and underground lines between separate electrical power installations;</w:t>
      </w:r>
      <w:r w:rsidR="00CE4853" w:rsidRPr="00CE4853">
        <w:rPr>
          <w:lang w:val="en-KE" w:eastAsia="en-KE"/>
        </w:rPr>
        <w:br/>
        <w:t>– electrified railway tracks and rolling stock;</w:t>
      </w:r>
      <w:r w:rsidR="00CE4853" w:rsidRPr="00CE4853">
        <w:rPr>
          <w:lang w:val="en-KE" w:eastAsia="en-KE"/>
        </w:rPr>
        <w:br/>
        <w:t>– mining equipment and installations;</w:t>
      </w:r>
      <w:r w:rsidR="00CE4853" w:rsidRPr="00CE4853">
        <w:rPr>
          <w:lang w:val="en-KE" w:eastAsia="en-KE"/>
        </w:rPr>
        <w:br/>
        <w:t>– fluorescent lamp installations;</w:t>
      </w:r>
      <w:r w:rsidR="00CE4853" w:rsidRPr="00CE4853">
        <w:rPr>
          <w:lang w:val="en-KE" w:eastAsia="en-KE"/>
        </w:rPr>
        <w:br/>
        <w:t>– installations on ships according to IEC 60092 (all parts) and offshore units according to IEC 61892 (all parts), which are used in the offshore petroleum industry for drilling, processing and storage purposes;</w:t>
      </w:r>
      <w:r w:rsidR="00CE4853" w:rsidRPr="00CE4853">
        <w:rPr>
          <w:lang w:val="en-KE" w:eastAsia="en-KE"/>
        </w:rPr>
        <w:br/>
        <w:t>– electrostatic equipment (e.g. electrostatic precipitators, spray-painting units);</w:t>
      </w:r>
      <w:r w:rsidR="00CE4853" w:rsidRPr="00CE4853">
        <w:rPr>
          <w:lang w:val="en-KE" w:eastAsia="en-KE"/>
        </w:rPr>
        <w:br/>
        <w:t>– test sites;</w:t>
      </w:r>
      <w:r w:rsidR="00CE4853" w:rsidRPr="00CE4853">
        <w:rPr>
          <w:lang w:val="en-KE" w:eastAsia="en-KE"/>
        </w:rPr>
        <w:br/>
        <w:t>– medical equipment, e.g. medical X-ray equipment.</w:t>
      </w:r>
      <w:r w:rsidR="00CE4853" w:rsidRPr="00CE4853">
        <w:rPr>
          <w:lang w:val="en-KE" w:eastAsia="en-KE"/>
        </w:rPr>
        <w:br/>
        <w:t>This document does not apply to the design of prefabricated, type-tested switchgear and high voltage/low voltage prefabricated substation, for which separate IEC standards exist.</w:t>
      </w:r>
      <w:r w:rsidR="00CE4853" w:rsidRPr="00CE4853">
        <w:rPr>
          <w:lang w:val="en-KE" w:eastAsia="en-KE"/>
        </w:rPr>
        <w:br/>
      </w:r>
      <w:r w:rsidR="00CE4853" w:rsidRPr="00CE4853">
        <w:rPr>
          <w:lang w:val="en-KE" w:eastAsia="en-KE"/>
        </w:rPr>
        <w:br/>
        <w:t xml:space="preserve">This edition includes the following significant technical changes with respect to the previous edition: </w:t>
      </w:r>
    </w:p>
    <w:p w14:paraId="2ABCFE11"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introduction has been rewritten to reflect the status when this document is </w:t>
      </w:r>
      <w:proofErr w:type="gramStart"/>
      <w:r w:rsidRPr="00CE4853">
        <w:rPr>
          <w:lang w:val="en-KE" w:eastAsia="en-KE"/>
        </w:rPr>
        <w:t>produced;</w:t>
      </w:r>
      <w:proofErr w:type="gramEnd"/>
    </w:p>
    <w:p w14:paraId="2F6B917E"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the scope has been improved to clarify the application of this </w:t>
      </w:r>
      <w:proofErr w:type="gramStart"/>
      <w:r w:rsidRPr="00CE4853">
        <w:rPr>
          <w:lang w:val="en-KE" w:eastAsia="en-KE"/>
        </w:rPr>
        <w:t>document;</w:t>
      </w:r>
      <w:proofErr w:type="gramEnd"/>
    </w:p>
    <w:p w14:paraId="4CB954E8"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missing and obsolete terms and definitions have been updated including improvement of existing </w:t>
      </w:r>
      <w:proofErr w:type="gramStart"/>
      <w:r w:rsidRPr="00CE4853">
        <w:rPr>
          <w:lang w:val="en-KE" w:eastAsia="en-KE"/>
        </w:rPr>
        <w:t>terms;</w:t>
      </w:r>
      <w:proofErr w:type="gramEnd"/>
    </w:p>
    <w:p w14:paraId="7CFB22B7"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Table 1 has been updated where agreements between supplier and user are </w:t>
      </w:r>
      <w:proofErr w:type="gramStart"/>
      <w:r w:rsidRPr="00CE4853">
        <w:rPr>
          <w:lang w:val="en-KE" w:eastAsia="en-KE"/>
        </w:rPr>
        <w:t>needed;</w:t>
      </w:r>
      <w:proofErr w:type="gramEnd"/>
    </w:p>
    <w:p w14:paraId="496FCFE6"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requirements of electromagnetic compatibility have been </w:t>
      </w:r>
      <w:proofErr w:type="gramStart"/>
      <w:r w:rsidRPr="00CE4853">
        <w:rPr>
          <w:lang w:val="en-KE" w:eastAsia="en-KE"/>
        </w:rPr>
        <w:t>clarified;</w:t>
      </w:r>
      <w:proofErr w:type="gramEnd"/>
    </w:p>
    <w:p w14:paraId="6187897D"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insulation coordination clause (Clause 5) has improved wording for better clarity and the technical content has an updated coordination to the latest versions of the insulation coordination </w:t>
      </w:r>
      <w:proofErr w:type="gramStart"/>
      <w:r w:rsidRPr="00CE4853">
        <w:rPr>
          <w:lang w:val="en-KE" w:eastAsia="en-KE"/>
        </w:rPr>
        <w:t>standards;</w:t>
      </w:r>
      <w:proofErr w:type="gramEnd"/>
    </w:p>
    <w:p w14:paraId="27B25F92"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wording regarding electrical equipment has been improved and made </w:t>
      </w:r>
      <w:proofErr w:type="gramStart"/>
      <w:r w:rsidRPr="00CE4853">
        <w:rPr>
          <w:lang w:val="en-KE" w:eastAsia="en-KE"/>
        </w:rPr>
        <w:t>clearer;</w:t>
      </w:r>
      <w:proofErr w:type="gramEnd"/>
    </w:p>
    <w:p w14:paraId="010931BE"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subclause for fuses has been improved and </w:t>
      </w:r>
      <w:proofErr w:type="gramStart"/>
      <w:r w:rsidRPr="00CE4853">
        <w:rPr>
          <w:lang w:val="en-KE" w:eastAsia="en-KE"/>
        </w:rPr>
        <w:t>reworded;</w:t>
      </w:r>
      <w:proofErr w:type="gramEnd"/>
    </w:p>
    <w:p w14:paraId="58C6075C"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requirements have been added for labelling when multiple sources are required to be </w:t>
      </w:r>
      <w:proofErr w:type="gramStart"/>
      <w:r w:rsidRPr="00CE4853">
        <w:rPr>
          <w:lang w:val="en-KE" w:eastAsia="en-KE"/>
        </w:rPr>
        <w:t>disconnected;</w:t>
      </w:r>
      <w:proofErr w:type="gramEnd"/>
    </w:p>
    <w:p w14:paraId="40153D3F"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missing requirements for GIS have been </w:t>
      </w:r>
      <w:proofErr w:type="gramStart"/>
      <w:r w:rsidRPr="00CE4853">
        <w:rPr>
          <w:lang w:val="en-KE" w:eastAsia="en-KE"/>
        </w:rPr>
        <w:t>reintroduced;</w:t>
      </w:r>
      <w:proofErr w:type="gramEnd"/>
    </w:p>
    <w:p w14:paraId="09DB839D"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lastRenderedPageBreak/>
        <w:t xml:space="preserve">subclause regarding ventilation (HVAC) has been </w:t>
      </w:r>
      <w:proofErr w:type="gramStart"/>
      <w:r w:rsidRPr="00CE4853">
        <w:rPr>
          <w:lang w:val="en-KE" w:eastAsia="en-KE"/>
        </w:rPr>
        <w:t>improved;</w:t>
      </w:r>
      <w:proofErr w:type="gramEnd"/>
    </w:p>
    <w:p w14:paraId="4554DCD3"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figures in Clause 7 have been updated and moved to the corresponding </w:t>
      </w:r>
      <w:proofErr w:type="gramStart"/>
      <w:r w:rsidRPr="00CE4853">
        <w:rPr>
          <w:lang w:val="en-KE" w:eastAsia="en-KE"/>
        </w:rPr>
        <w:t>subclause;</w:t>
      </w:r>
      <w:proofErr w:type="gramEnd"/>
    </w:p>
    <w:p w14:paraId="63A86CBB"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requirements for transformer installations have been improved including adjustment of editorial typing-</w:t>
      </w:r>
      <w:proofErr w:type="gramStart"/>
      <w:r w:rsidRPr="00CE4853">
        <w:rPr>
          <w:lang w:val="en-KE" w:eastAsia="en-KE"/>
        </w:rPr>
        <w:t>errors;</w:t>
      </w:r>
      <w:proofErr w:type="gramEnd"/>
    </w:p>
    <w:p w14:paraId="4F603938"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clause on protection, automation and auxiliary systems has been restructured and </w:t>
      </w:r>
      <w:proofErr w:type="gramStart"/>
      <w:r w:rsidRPr="00CE4853">
        <w:rPr>
          <w:lang w:val="en-KE" w:eastAsia="en-KE"/>
        </w:rPr>
        <w:t>improved;</w:t>
      </w:r>
      <w:proofErr w:type="gramEnd"/>
    </w:p>
    <w:p w14:paraId="397FF9C7"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protection against lightning strokes has been </w:t>
      </w:r>
      <w:proofErr w:type="gramStart"/>
      <w:r w:rsidRPr="00CE4853">
        <w:rPr>
          <w:lang w:val="en-KE" w:eastAsia="en-KE"/>
        </w:rPr>
        <w:t>extended;</w:t>
      </w:r>
      <w:proofErr w:type="gramEnd"/>
    </w:p>
    <w:p w14:paraId="7D9E185D"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 xml:space="preserve">clarification of content due to the distinction between erection (and providing electrical safety for the intended use of the electrical power installation) and subsequent activities such as maintenance and repair with safe working </w:t>
      </w:r>
      <w:proofErr w:type="gramStart"/>
      <w:r w:rsidRPr="00CE4853">
        <w:rPr>
          <w:lang w:val="en-KE" w:eastAsia="en-KE"/>
        </w:rPr>
        <w:t>procedures;</w:t>
      </w:r>
      <w:proofErr w:type="gramEnd"/>
    </w:p>
    <w:p w14:paraId="35199628" w14:textId="77777777" w:rsidR="00CE4853" w:rsidRPr="00CE4853" w:rsidRDefault="00CE4853" w:rsidP="00CE4853">
      <w:pPr>
        <w:numPr>
          <w:ilvl w:val="0"/>
          <w:numId w:val="3"/>
        </w:numPr>
        <w:spacing w:before="100" w:beforeAutospacing="1" w:after="100" w:afterAutospacing="1"/>
        <w:jc w:val="left"/>
        <w:rPr>
          <w:lang w:val="en-KE" w:eastAsia="en-KE"/>
        </w:rPr>
      </w:pPr>
      <w:r w:rsidRPr="00CE4853">
        <w:rPr>
          <w:lang w:val="en-KE" w:eastAsia="en-KE"/>
        </w:rPr>
        <w:t>where no provincial, national or regional regulations are available for safe working procedures, an informative guideline is provided in Annex F. This replaces the former parts of Figure 3 in Clause 7.</w:t>
      </w:r>
    </w:p>
    <w:p w14:paraId="692E3682" w14:textId="64CE0D2B" w:rsidR="009B0659" w:rsidRDefault="00B02A45" w:rsidP="00A5709E">
      <w:pPr>
        <w:tabs>
          <w:tab w:val="right" w:leader="dot" w:pos="9000"/>
        </w:tabs>
        <w:autoSpaceDE w:val="0"/>
        <w:autoSpaceDN w:val="0"/>
        <w:adjustRightInd w:val="0"/>
        <w:ind w:left="360"/>
        <w:rPr>
          <w:lang w:val="en-KE"/>
        </w:rPr>
      </w:pPr>
      <w:hyperlink r:id="rId11" w:history="1">
        <w:r w:rsidR="00CE4853" w:rsidRPr="001037D4">
          <w:rPr>
            <w:rStyle w:val="Hyperlink"/>
            <w:lang w:val="en-KE"/>
          </w:rPr>
          <w:t>https://webstore.iec.ch/publication/69750</w:t>
        </w:r>
      </w:hyperlink>
    </w:p>
    <w:p w14:paraId="2161FBF1" w14:textId="77777777" w:rsidR="00CE4853" w:rsidRPr="00CE4853" w:rsidRDefault="00CE4853" w:rsidP="00A5709E">
      <w:pPr>
        <w:tabs>
          <w:tab w:val="right" w:leader="dot" w:pos="9000"/>
        </w:tabs>
        <w:autoSpaceDE w:val="0"/>
        <w:autoSpaceDN w:val="0"/>
        <w:adjustRightInd w:val="0"/>
        <w:ind w:left="360"/>
        <w:rPr>
          <w:rFonts w:ascii="Arial" w:hAnsi="Arial" w:cs="Arial"/>
          <w:sz w:val="20"/>
          <w:szCs w:val="20"/>
          <w:lang w:val="en-KE"/>
        </w:rPr>
      </w:pPr>
    </w:p>
    <w:p w14:paraId="56268F33" w14:textId="6701D6BA" w:rsidR="007D5790" w:rsidRDefault="007D5790"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CE4853" w:rsidRPr="00CE4853">
        <w:rPr>
          <w:rFonts w:ascii="Arial" w:hAnsi="Arial" w:cs="Arial"/>
          <w:color w:val="FF0000"/>
          <w:sz w:val="20"/>
          <w:szCs w:val="20"/>
          <w:u w:val="dotted"/>
        </w:rPr>
        <w:t>IEC 60034-3:2020</w:t>
      </w:r>
      <w:r w:rsidR="00CE4853">
        <w:rPr>
          <w:rFonts w:ascii="Arial" w:hAnsi="Arial" w:cs="Arial"/>
          <w:color w:val="FF0000"/>
          <w:sz w:val="20"/>
          <w:szCs w:val="20"/>
          <w:u w:val="dotted"/>
        </w:rPr>
        <w:t xml:space="preserve"> </w:t>
      </w:r>
      <w:r w:rsidR="009B0659" w:rsidRPr="00E50228">
        <w:rPr>
          <w:rFonts w:ascii="Arial" w:hAnsi="Arial" w:cs="Arial"/>
          <w:sz w:val="20"/>
          <w:szCs w:val="20"/>
          <w:u w:val="dotted"/>
        </w:rPr>
        <w:t xml:space="preserve">to replace KS </w:t>
      </w:r>
      <w:r w:rsidR="00CE4853" w:rsidRPr="00CE4853">
        <w:rPr>
          <w:rFonts w:ascii="Arial" w:hAnsi="Arial" w:cs="Arial"/>
          <w:sz w:val="20"/>
          <w:szCs w:val="20"/>
          <w:u w:val="dotted"/>
        </w:rPr>
        <w:t>IEC 60034-3:20</w:t>
      </w:r>
      <w:r w:rsidR="00CE4853">
        <w:rPr>
          <w:rFonts w:ascii="Arial" w:hAnsi="Arial" w:cs="Arial"/>
          <w:sz w:val="20"/>
          <w:szCs w:val="20"/>
          <w:u w:val="dotted"/>
        </w:rPr>
        <w:t>07</w:t>
      </w:r>
    </w:p>
    <w:p w14:paraId="20508347" w14:textId="3C5E149B" w:rsidR="007D5790" w:rsidRDefault="007D5790" w:rsidP="00E14B8C">
      <w:pPr>
        <w:ind w:left="360"/>
        <w:rPr>
          <w:rFonts w:ascii="Arial" w:hAnsi="Arial" w:cs="Arial"/>
          <w:sz w:val="20"/>
          <w:szCs w:val="20"/>
        </w:rPr>
      </w:pPr>
      <w:r w:rsidRPr="00A5709E">
        <w:rPr>
          <w:rFonts w:ascii="Arial" w:hAnsi="Arial" w:cs="Arial"/>
          <w:b/>
          <w:sz w:val="20"/>
          <w:szCs w:val="20"/>
        </w:rPr>
        <w:t>Title</w:t>
      </w:r>
      <w:r>
        <w:rPr>
          <w:rFonts w:ascii="Arial" w:hAnsi="Arial" w:cs="Arial"/>
          <w:sz w:val="20"/>
          <w:szCs w:val="20"/>
        </w:rPr>
        <w:t>:</w:t>
      </w:r>
      <w:r>
        <w:tab/>
      </w:r>
      <w:r w:rsidR="00CE4853" w:rsidRPr="00CE4853">
        <w:rPr>
          <w:rFonts w:ascii="Arial" w:hAnsi="Arial" w:cs="Arial"/>
          <w:sz w:val="20"/>
          <w:szCs w:val="20"/>
          <w:u w:val="dotted"/>
        </w:rPr>
        <w:t>Rotating electrical machines - Part 3: Specific requirements for synchronous generators driven by steam turbines or combustion gas turbines and for synchronous compensators</w:t>
      </w:r>
      <w:r w:rsidR="00A17AC8">
        <w:rPr>
          <w:rFonts w:ascii="Arial" w:hAnsi="Arial" w:cs="Arial"/>
          <w:sz w:val="20"/>
          <w:szCs w:val="20"/>
          <w:u w:val="dotted"/>
        </w:rPr>
        <w:t xml:space="preserve">, </w:t>
      </w:r>
      <w:r w:rsidR="009B0659">
        <w:rPr>
          <w:rFonts w:ascii="Arial" w:hAnsi="Arial" w:cs="Arial"/>
          <w:sz w:val="20"/>
          <w:szCs w:val="20"/>
          <w:u w:val="dotted"/>
        </w:rPr>
        <w:t>Second</w:t>
      </w:r>
      <w:r w:rsidR="00E14B8C" w:rsidRPr="00E14B8C">
        <w:rPr>
          <w:rFonts w:ascii="Arial" w:hAnsi="Arial" w:cs="Arial"/>
          <w:sz w:val="20"/>
          <w:szCs w:val="20"/>
          <w:u w:val="dotted"/>
        </w:rPr>
        <w:t xml:space="preserve"> Edition</w:t>
      </w:r>
    </w:p>
    <w:p w14:paraId="5662072E" w14:textId="77777777" w:rsidR="0091696E" w:rsidRPr="0091696E" w:rsidRDefault="007D5790" w:rsidP="0091696E">
      <w:pPr>
        <w:tabs>
          <w:tab w:val="right" w:leader="dot" w:pos="9000"/>
        </w:tabs>
        <w:autoSpaceDE w:val="0"/>
        <w:autoSpaceDN w:val="0"/>
        <w:adjustRightInd w:val="0"/>
        <w:ind w:left="360"/>
        <w:rPr>
          <w:rFonts w:ascii="Arial" w:hAnsi="Arial" w:cs="Arial"/>
          <w:sz w:val="20"/>
          <w:szCs w:val="20"/>
        </w:rPr>
      </w:pPr>
      <w:r w:rsidRPr="00625609">
        <w:rPr>
          <w:rFonts w:ascii="Arial" w:hAnsi="Arial" w:cs="Arial"/>
          <w:b/>
          <w:sz w:val="20"/>
          <w:szCs w:val="20"/>
        </w:rPr>
        <w:t>Scope</w:t>
      </w:r>
      <w:r w:rsidRPr="00625609">
        <w:rPr>
          <w:rFonts w:ascii="Arial" w:hAnsi="Arial" w:cs="Arial"/>
          <w:sz w:val="20"/>
          <w:szCs w:val="20"/>
        </w:rPr>
        <w:t>:</w:t>
      </w:r>
      <w:r w:rsidR="00C06AA1" w:rsidRPr="00625609">
        <w:rPr>
          <w:rFonts w:ascii="Arial" w:hAnsi="Arial" w:cs="Arial"/>
          <w:sz w:val="20"/>
          <w:szCs w:val="20"/>
        </w:rPr>
        <w:t xml:space="preserve"> </w:t>
      </w:r>
      <w:r w:rsidR="0091696E" w:rsidRPr="0091696E">
        <w:rPr>
          <w:rFonts w:ascii="Arial" w:hAnsi="Arial" w:cs="Arial"/>
          <w:sz w:val="20"/>
          <w:szCs w:val="20"/>
        </w:rPr>
        <w:t xml:space="preserve">IEC 60034-3:2020 applies to large three-phase synchronous generators, having rated outputs of 10 MVA and above driven by steam turbines or combustion gas turbines. Also included are synchronous </w:t>
      </w:r>
      <w:proofErr w:type="spellStart"/>
      <w:r w:rsidR="0091696E" w:rsidRPr="0091696E">
        <w:rPr>
          <w:rFonts w:ascii="Arial" w:hAnsi="Arial" w:cs="Arial"/>
          <w:sz w:val="20"/>
          <w:szCs w:val="20"/>
        </w:rPr>
        <w:t>Mvar</w:t>
      </w:r>
      <w:proofErr w:type="spellEnd"/>
      <w:r w:rsidR="0091696E" w:rsidRPr="0091696E">
        <w:rPr>
          <w:rFonts w:ascii="Arial" w:hAnsi="Arial" w:cs="Arial"/>
          <w:sz w:val="20"/>
          <w:szCs w:val="20"/>
        </w:rPr>
        <w:t xml:space="preserve"> compensators of the same output range connected to a grid for the purpose of exchanging reactive power. This document supplements basic requirements for rotating machines given in IEC 60034-1.</w:t>
      </w:r>
    </w:p>
    <w:p w14:paraId="09BA4B6D"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This seventh edition cancels and replaces the sixth edition published in 2007. This edition includes the following significant technical changes with respect to the previous edition:</w:t>
      </w:r>
    </w:p>
    <w:p w14:paraId="4AEC54A9"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title </w:t>
      </w:r>
      <w:proofErr w:type="gramStart"/>
      <w:r w:rsidRPr="0091696E">
        <w:rPr>
          <w:rFonts w:ascii="Arial" w:hAnsi="Arial" w:cs="Arial"/>
          <w:sz w:val="20"/>
          <w:szCs w:val="20"/>
        </w:rPr>
        <w:t>modified;</w:t>
      </w:r>
      <w:proofErr w:type="gramEnd"/>
    </w:p>
    <w:p w14:paraId="6778BCD8"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scope extended to synchronous </w:t>
      </w:r>
      <w:proofErr w:type="gramStart"/>
      <w:r w:rsidRPr="0091696E">
        <w:rPr>
          <w:rFonts w:ascii="Arial" w:hAnsi="Arial" w:cs="Arial"/>
          <w:sz w:val="20"/>
          <w:szCs w:val="20"/>
        </w:rPr>
        <w:t>compensators;</w:t>
      </w:r>
      <w:proofErr w:type="gramEnd"/>
    </w:p>
    <w:p w14:paraId="1DF1A86D"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rotor overcurrent requirements </w:t>
      </w:r>
      <w:proofErr w:type="gramStart"/>
      <w:r w:rsidRPr="0091696E">
        <w:rPr>
          <w:rFonts w:ascii="Arial" w:hAnsi="Arial" w:cs="Arial"/>
          <w:sz w:val="20"/>
          <w:szCs w:val="20"/>
        </w:rPr>
        <w:t>added;</w:t>
      </w:r>
      <w:proofErr w:type="gramEnd"/>
    </w:p>
    <w:p w14:paraId="5AD71E09"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impact of stator harmonics on rotor unbalanced load capability </w:t>
      </w:r>
      <w:proofErr w:type="gramStart"/>
      <w:r w:rsidRPr="0091696E">
        <w:rPr>
          <w:rFonts w:ascii="Arial" w:hAnsi="Arial" w:cs="Arial"/>
          <w:sz w:val="20"/>
          <w:szCs w:val="20"/>
        </w:rPr>
        <w:t>introduced;</w:t>
      </w:r>
      <w:proofErr w:type="gramEnd"/>
    </w:p>
    <w:p w14:paraId="09A82134"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w:t>
      </w:r>
      <w:proofErr w:type="spellStart"/>
      <w:r w:rsidRPr="0091696E">
        <w:rPr>
          <w:rFonts w:ascii="Arial" w:hAnsi="Arial" w:cs="Arial"/>
          <w:sz w:val="20"/>
          <w:szCs w:val="20"/>
        </w:rPr>
        <w:t>synchronisation</w:t>
      </w:r>
      <w:proofErr w:type="spellEnd"/>
      <w:r w:rsidRPr="0091696E">
        <w:rPr>
          <w:rFonts w:ascii="Arial" w:hAnsi="Arial" w:cs="Arial"/>
          <w:sz w:val="20"/>
          <w:szCs w:val="20"/>
        </w:rPr>
        <w:t xml:space="preserve"> requirements </w:t>
      </w:r>
      <w:proofErr w:type="gramStart"/>
      <w:r w:rsidRPr="0091696E">
        <w:rPr>
          <w:rFonts w:ascii="Arial" w:hAnsi="Arial" w:cs="Arial"/>
          <w:sz w:val="20"/>
          <w:szCs w:val="20"/>
        </w:rPr>
        <w:t>added;</w:t>
      </w:r>
      <w:proofErr w:type="gramEnd"/>
    </w:p>
    <w:p w14:paraId="120E8AE1" w14:textId="77777777" w:rsidR="0091696E" w:rsidRPr="0091696E" w:rsidRDefault="0091696E" w:rsidP="0091696E">
      <w:pPr>
        <w:tabs>
          <w:tab w:val="right" w:leader="dot" w:pos="9000"/>
        </w:tabs>
        <w:autoSpaceDE w:val="0"/>
        <w:autoSpaceDN w:val="0"/>
        <w:adjustRightInd w:val="0"/>
        <w:ind w:left="360"/>
        <w:rPr>
          <w:rFonts w:ascii="Arial" w:hAnsi="Arial" w:cs="Arial"/>
          <w:sz w:val="20"/>
          <w:szCs w:val="20"/>
        </w:rPr>
      </w:pPr>
      <w:r w:rsidRPr="0091696E">
        <w:rPr>
          <w:rFonts w:ascii="Arial" w:hAnsi="Arial" w:cs="Arial"/>
          <w:sz w:val="20"/>
          <w:szCs w:val="20"/>
        </w:rPr>
        <w:t xml:space="preserve">- adjustments of temperatures or temperature rise revised for gas turbine </w:t>
      </w:r>
      <w:proofErr w:type="gramStart"/>
      <w:r w:rsidRPr="0091696E">
        <w:rPr>
          <w:rFonts w:ascii="Arial" w:hAnsi="Arial" w:cs="Arial"/>
          <w:sz w:val="20"/>
          <w:szCs w:val="20"/>
        </w:rPr>
        <w:t>applications;</w:t>
      </w:r>
      <w:proofErr w:type="gramEnd"/>
    </w:p>
    <w:p w14:paraId="562CCB52" w14:textId="52F29C0D" w:rsidR="009B0659" w:rsidRDefault="0091696E" w:rsidP="0091696E">
      <w:pPr>
        <w:tabs>
          <w:tab w:val="right" w:leader="dot" w:pos="9000"/>
        </w:tabs>
        <w:autoSpaceDE w:val="0"/>
        <w:autoSpaceDN w:val="0"/>
        <w:adjustRightInd w:val="0"/>
        <w:ind w:left="360"/>
      </w:pPr>
      <w:r w:rsidRPr="0091696E">
        <w:rPr>
          <w:rFonts w:ascii="Arial" w:hAnsi="Arial" w:cs="Arial"/>
          <w:sz w:val="20"/>
          <w:szCs w:val="20"/>
        </w:rPr>
        <w:t>- requirements for auxiliaries updated.</w:t>
      </w:r>
    </w:p>
    <w:p w14:paraId="3FAEEAC0" w14:textId="56E135F5" w:rsidR="00A17AC8" w:rsidRDefault="00B02A45" w:rsidP="00476061">
      <w:pPr>
        <w:tabs>
          <w:tab w:val="right" w:leader="dot" w:pos="9000"/>
        </w:tabs>
        <w:autoSpaceDE w:val="0"/>
        <w:autoSpaceDN w:val="0"/>
        <w:adjustRightInd w:val="0"/>
        <w:ind w:left="360"/>
      </w:pPr>
      <w:hyperlink r:id="rId12" w:history="1">
        <w:r w:rsidR="0091696E" w:rsidRPr="001037D4">
          <w:rPr>
            <w:rStyle w:val="Hyperlink"/>
          </w:rPr>
          <w:t>https://webstore.iec.ch/publication/27156</w:t>
        </w:r>
      </w:hyperlink>
    </w:p>
    <w:p w14:paraId="06351863" w14:textId="77777777" w:rsidR="009B0659" w:rsidRDefault="009B0659" w:rsidP="0091696E">
      <w:pPr>
        <w:tabs>
          <w:tab w:val="right" w:leader="dot" w:pos="9000"/>
        </w:tabs>
        <w:autoSpaceDE w:val="0"/>
        <w:autoSpaceDN w:val="0"/>
        <w:adjustRightInd w:val="0"/>
        <w:rPr>
          <w:rFonts w:ascii="Arial" w:hAnsi="Arial" w:cs="Arial"/>
          <w:sz w:val="20"/>
          <w:szCs w:val="20"/>
        </w:rPr>
      </w:pPr>
    </w:p>
    <w:p w14:paraId="3A86BFB5" w14:textId="5AC8D4CA" w:rsidR="00E14B8C" w:rsidRDefault="00E14B8C"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bookmarkStart w:id="0" w:name="_Hlk61612585"/>
      <w:r w:rsidR="0091696E" w:rsidRPr="00286F7A">
        <w:rPr>
          <w:rFonts w:ascii="Arial" w:hAnsi="Arial" w:cs="Arial"/>
          <w:sz w:val="20"/>
          <w:szCs w:val="20"/>
          <w:u w:val="dotted"/>
        </w:rPr>
        <w:t>IEC 60309-1:2021</w:t>
      </w:r>
      <w:bookmarkEnd w:id="0"/>
    </w:p>
    <w:p w14:paraId="5E754789" w14:textId="6620B866" w:rsidR="00E14B8C" w:rsidRPr="00A94A7D" w:rsidRDefault="00E14B8C" w:rsidP="00A94A7D">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91696E" w:rsidRPr="0091696E">
        <w:rPr>
          <w:rFonts w:ascii="Arial" w:hAnsi="Arial" w:cs="Arial"/>
          <w:sz w:val="20"/>
          <w:szCs w:val="20"/>
          <w:u w:val="dotted"/>
        </w:rPr>
        <w:t>Plugs, fixed or portable socket-outlets and appliance inlets for industrial purposes - Part 1: General requirements</w:t>
      </w:r>
      <w:r w:rsidR="0091696E">
        <w:rPr>
          <w:rFonts w:ascii="Arial" w:hAnsi="Arial" w:cs="Arial"/>
          <w:sz w:val="20"/>
          <w:szCs w:val="20"/>
          <w:u w:val="dotted"/>
        </w:rPr>
        <w:t>, First</w:t>
      </w:r>
      <w:r w:rsidR="00A94A7D" w:rsidRPr="00A94A7D">
        <w:rPr>
          <w:rFonts w:ascii="Arial" w:hAnsi="Arial" w:cs="Arial"/>
          <w:sz w:val="20"/>
          <w:szCs w:val="20"/>
          <w:u w:val="dotted"/>
        </w:rPr>
        <w:t xml:space="preserve"> Edition</w:t>
      </w:r>
    </w:p>
    <w:p w14:paraId="284C4412" w14:textId="77777777" w:rsidR="0091696E" w:rsidRPr="0091696E" w:rsidRDefault="00E14B8C" w:rsidP="0091696E">
      <w:pPr>
        <w:spacing w:before="0" w:after="0"/>
        <w:jc w:val="left"/>
        <w:rPr>
          <w:lang w:val="en-KE" w:eastAsia="en-KE"/>
        </w:rPr>
      </w:pPr>
      <w:r w:rsidRPr="008B48FF">
        <w:rPr>
          <w:rFonts w:ascii="Arial" w:hAnsi="Arial" w:cs="Arial"/>
          <w:b/>
          <w:sz w:val="20"/>
          <w:szCs w:val="20"/>
        </w:rPr>
        <w:t>Scope</w:t>
      </w:r>
      <w:r w:rsidRPr="008B48FF">
        <w:rPr>
          <w:rFonts w:ascii="Arial" w:hAnsi="Arial" w:cs="Arial"/>
          <w:sz w:val="20"/>
          <w:szCs w:val="20"/>
        </w:rPr>
        <w:t xml:space="preserve">: </w:t>
      </w:r>
      <w:r w:rsidR="0091696E" w:rsidRPr="0091696E">
        <w:rPr>
          <w:lang w:val="en-KE" w:eastAsia="en-KE"/>
        </w:rPr>
        <w:t>IEC 60309-1:2021 applies to plugs, fixed or portable socket-outlets and appliance inlets hereinafter referred to as accessories, with a rated operating voltage not exceeding 1 000 V DC or 1 000 V AC with a frequency not exceeding 500 Hz and a rated current not exceeding 800 A, primarily intended for industrial use, either indoors or outdoors.</w:t>
      </w:r>
      <w:r w:rsidR="0091696E" w:rsidRPr="0091696E">
        <w:rPr>
          <w:lang w:val="en-KE" w:eastAsia="en-KE"/>
        </w:rPr>
        <w:br/>
        <w:t>This fifth edition cancels and replaces the fourth edition published in 1999, Amendment 1:2005 and Amendment 2:2012. This edition constitutes a technical revision.</w:t>
      </w:r>
      <w:r w:rsidR="0091696E" w:rsidRPr="0091696E">
        <w:rPr>
          <w:lang w:val="en-KE" w:eastAsia="en-KE"/>
        </w:rPr>
        <w:br/>
        <w:t xml:space="preserve">This edition includes the following significant technical changes with respect to the previous edition: </w:t>
      </w:r>
    </w:p>
    <w:p w14:paraId="10DC3B96" w14:textId="77777777" w:rsidR="0091696E" w:rsidRPr="0091696E" w:rsidRDefault="0091696E" w:rsidP="0091696E">
      <w:pPr>
        <w:numPr>
          <w:ilvl w:val="0"/>
          <w:numId w:val="4"/>
        </w:numPr>
        <w:spacing w:before="100" w:beforeAutospacing="1" w:after="100" w:afterAutospacing="1"/>
        <w:jc w:val="left"/>
        <w:rPr>
          <w:lang w:val="en-KE" w:eastAsia="en-KE"/>
        </w:rPr>
      </w:pPr>
      <w:r w:rsidRPr="0091696E">
        <w:rPr>
          <w:lang w:val="en-KE" w:eastAsia="en-KE"/>
        </w:rPr>
        <w:lastRenderedPageBreak/>
        <w:t xml:space="preserve">addition of classification, requirements and tests for accessories with </w:t>
      </w:r>
      <w:proofErr w:type="gramStart"/>
      <w:r w:rsidRPr="0091696E">
        <w:rPr>
          <w:lang w:val="en-KE" w:eastAsia="en-KE"/>
        </w:rPr>
        <w:t>shutters;</w:t>
      </w:r>
      <w:proofErr w:type="gramEnd"/>
    </w:p>
    <w:p w14:paraId="6BE6A32F" w14:textId="77777777" w:rsidR="0091696E" w:rsidRPr="0091696E" w:rsidRDefault="0091696E" w:rsidP="0091696E">
      <w:pPr>
        <w:numPr>
          <w:ilvl w:val="0"/>
          <w:numId w:val="4"/>
        </w:numPr>
        <w:spacing w:before="100" w:beforeAutospacing="1" w:after="100" w:afterAutospacing="1"/>
        <w:jc w:val="left"/>
        <w:rPr>
          <w:lang w:val="en-KE" w:eastAsia="en-KE"/>
        </w:rPr>
      </w:pPr>
      <w:r w:rsidRPr="0091696E">
        <w:rPr>
          <w:lang w:val="en-KE" w:eastAsia="en-KE"/>
        </w:rPr>
        <w:t xml:space="preserve">additional marking to indicate neutral terminal and/or earthing </w:t>
      </w:r>
      <w:proofErr w:type="gramStart"/>
      <w:r w:rsidRPr="0091696E">
        <w:rPr>
          <w:lang w:val="en-KE" w:eastAsia="en-KE"/>
        </w:rPr>
        <w:t>terminal;</w:t>
      </w:r>
      <w:proofErr w:type="gramEnd"/>
    </w:p>
    <w:p w14:paraId="223F2652" w14:textId="06142AC1" w:rsidR="00A17AC8" w:rsidRPr="0091696E" w:rsidRDefault="0091696E" w:rsidP="0091696E">
      <w:pPr>
        <w:numPr>
          <w:ilvl w:val="0"/>
          <w:numId w:val="4"/>
        </w:numPr>
        <w:spacing w:before="100" w:beforeAutospacing="1" w:after="100" w:afterAutospacing="1"/>
        <w:jc w:val="left"/>
        <w:rPr>
          <w:lang w:val="en-KE" w:eastAsia="en-KE"/>
        </w:rPr>
      </w:pPr>
      <w:r w:rsidRPr="0091696E">
        <w:rPr>
          <w:lang w:val="en-KE" w:eastAsia="en-KE"/>
        </w:rPr>
        <w:t>replacement of the term "connector" by the term "portable socket-outlet".</w:t>
      </w:r>
    </w:p>
    <w:p w14:paraId="264733D9" w14:textId="0E7F01F3" w:rsidR="009B0659" w:rsidRDefault="00B02A45" w:rsidP="008B48FF">
      <w:pPr>
        <w:spacing w:before="0" w:after="0"/>
        <w:ind w:left="360"/>
        <w:jc w:val="left"/>
        <w:rPr>
          <w:lang w:val="en-KE"/>
        </w:rPr>
      </w:pPr>
      <w:hyperlink r:id="rId13" w:history="1">
        <w:r w:rsidR="0091696E" w:rsidRPr="001037D4">
          <w:rPr>
            <w:rStyle w:val="Hyperlink"/>
            <w:lang w:val="en-KE"/>
          </w:rPr>
          <w:t>https://webstore.iec.ch/publication/59916</w:t>
        </w:r>
      </w:hyperlink>
    </w:p>
    <w:p w14:paraId="0EACC670" w14:textId="77777777" w:rsidR="0091696E" w:rsidRPr="0091696E" w:rsidRDefault="0091696E" w:rsidP="008B48FF">
      <w:pPr>
        <w:spacing w:before="0" w:after="0"/>
        <w:ind w:left="360"/>
        <w:jc w:val="left"/>
        <w:rPr>
          <w:rFonts w:ascii="Arial" w:hAnsi="Arial" w:cs="Arial"/>
          <w:b/>
          <w:sz w:val="20"/>
          <w:szCs w:val="20"/>
          <w:lang w:val="en-KE"/>
        </w:rPr>
      </w:pPr>
    </w:p>
    <w:p w14:paraId="4ED9A81A" w14:textId="18EE0ABD" w:rsidR="00A94A7D" w:rsidRDefault="00A94A7D" w:rsidP="00724286">
      <w:pPr>
        <w:numPr>
          <w:ilvl w:val="0"/>
          <w:numId w:val="1"/>
        </w:numPr>
        <w:autoSpaceDE w:val="0"/>
        <w:autoSpaceDN w:val="0"/>
        <w:adjustRightInd w:val="0"/>
        <w:rPr>
          <w:rFonts w:ascii="Arial" w:hAnsi="Arial" w:cs="Arial"/>
          <w:sz w:val="20"/>
          <w:szCs w:val="20"/>
        </w:rPr>
      </w:pPr>
      <w:r w:rsidRPr="00A5709E">
        <w:rPr>
          <w:rFonts w:ascii="Arial" w:hAnsi="Arial" w:cs="Arial"/>
          <w:b/>
          <w:sz w:val="20"/>
          <w:szCs w:val="20"/>
        </w:rPr>
        <w:t>Number</w:t>
      </w:r>
      <w:r>
        <w:rPr>
          <w:rFonts w:ascii="Arial" w:hAnsi="Arial" w:cs="Arial"/>
          <w:sz w:val="20"/>
          <w:szCs w:val="20"/>
        </w:rPr>
        <w:t>:</w:t>
      </w:r>
      <w:r w:rsidRPr="00A5709E">
        <w:t xml:space="preserve"> </w:t>
      </w:r>
      <w:r w:rsidR="0091696E" w:rsidRPr="00286F7A">
        <w:rPr>
          <w:rFonts w:ascii="Arial" w:hAnsi="Arial" w:cs="Arial"/>
          <w:sz w:val="20"/>
          <w:szCs w:val="20"/>
          <w:u w:val="dotted"/>
        </w:rPr>
        <w:t>IEC 60309-2:2021</w:t>
      </w:r>
      <w:r w:rsidR="0091696E" w:rsidRPr="0091696E">
        <w:rPr>
          <w:rFonts w:ascii="Arial" w:hAnsi="Arial" w:cs="Arial"/>
          <w:color w:val="FF0000"/>
          <w:sz w:val="20"/>
          <w:szCs w:val="20"/>
          <w:u w:val="dotted"/>
        </w:rPr>
        <w:t xml:space="preserve"> </w:t>
      </w:r>
    </w:p>
    <w:p w14:paraId="0F12DD04" w14:textId="4E52807F" w:rsidR="00A94A7D" w:rsidRPr="00507CB4" w:rsidRDefault="00A94A7D" w:rsidP="00507CB4">
      <w:pPr>
        <w:autoSpaceDE w:val="0"/>
        <w:autoSpaceDN w:val="0"/>
        <w:adjustRightInd w:val="0"/>
        <w:ind w:left="900" w:hanging="540"/>
      </w:pPr>
      <w:r w:rsidRPr="00A5709E">
        <w:rPr>
          <w:rFonts w:ascii="Arial" w:hAnsi="Arial" w:cs="Arial"/>
          <w:b/>
          <w:sz w:val="20"/>
          <w:szCs w:val="20"/>
        </w:rPr>
        <w:t>Title</w:t>
      </w:r>
      <w:r>
        <w:rPr>
          <w:rFonts w:ascii="Arial" w:hAnsi="Arial" w:cs="Arial"/>
          <w:sz w:val="20"/>
          <w:szCs w:val="20"/>
        </w:rPr>
        <w:t>:</w:t>
      </w:r>
      <w:r>
        <w:tab/>
      </w:r>
      <w:r w:rsidR="0091696E" w:rsidRPr="0091696E">
        <w:rPr>
          <w:rFonts w:ascii="Arial" w:hAnsi="Arial" w:cs="Arial"/>
          <w:sz w:val="20"/>
          <w:szCs w:val="20"/>
          <w:u w:val="dotted"/>
        </w:rPr>
        <w:t xml:space="preserve">Plugs, fixed or portable socket-outlets and appliance </w:t>
      </w:r>
      <w:proofErr w:type="spellStart"/>
      <w:r w:rsidR="0091696E" w:rsidRPr="0091696E">
        <w:rPr>
          <w:rFonts w:ascii="Arial" w:hAnsi="Arial" w:cs="Arial"/>
          <w:sz w:val="20"/>
          <w:szCs w:val="20"/>
          <w:u w:val="dotted"/>
        </w:rPr>
        <w:t>inelts</w:t>
      </w:r>
      <w:proofErr w:type="spellEnd"/>
      <w:r w:rsidR="0091696E" w:rsidRPr="0091696E">
        <w:rPr>
          <w:rFonts w:ascii="Arial" w:hAnsi="Arial" w:cs="Arial"/>
          <w:sz w:val="20"/>
          <w:szCs w:val="20"/>
          <w:u w:val="dotted"/>
        </w:rPr>
        <w:t xml:space="preserve"> for industrial purposes - Part 2: Dimensional compatibility requirements for pin and contact-tube accessories</w:t>
      </w:r>
      <w:r w:rsidR="00A17AC8">
        <w:rPr>
          <w:rFonts w:ascii="Arial" w:hAnsi="Arial" w:cs="Arial"/>
          <w:sz w:val="20"/>
          <w:szCs w:val="20"/>
          <w:u w:val="dotted"/>
        </w:rPr>
        <w:t xml:space="preserve">, </w:t>
      </w:r>
      <w:r w:rsidR="0091696E">
        <w:rPr>
          <w:rFonts w:ascii="Arial" w:hAnsi="Arial" w:cs="Arial"/>
          <w:sz w:val="20"/>
          <w:szCs w:val="20"/>
          <w:u w:val="dotted"/>
        </w:rPr>
        <w:t>First</w:t>
      </w:r>
      <w:r w:rsidR="00A17AC8">
        <w:rPr>
          <w:rFonts w:ascii="Arial" w:hAnsi="Arial" w:cs="Arial"/>
          <w:sz w:val="20"/>
          <w:szCs w:val="20"/>
          <w:u w:val="dotted"/>
        </w:rPr>
        <w:t xml:space="preserve"> Edition</w:t>
      </w:r>
    </w:p>
    <w:p w14:paraId="6C9538D2" w14:textId="77777777" w:rsidR="0091696E" w:rsidRPr="0091696E" w:rsidRDefault="00A94A7D" w:rsidP="0091696E">
      <w:pPr>
        <w:spacing w:before="0" w:after="0"/>
        <w:jc w:val="left"/>
        <w:rPr>
          <w:lang w:val="en-KE" w:eastAsia="en-KE"/>
        </w:rPr>
      </w:pPr>
      <w:r w:rsidRPr="00EE47D3">
        <w:rPr>
          <w:rFonts w:ascii="Arial" w:hAnsi="Arial" w:cs="Arial"/>
          <w:b/>
          <w:sz w:val="20"/>
          <w:szCs w:val="20"/>
        </w:rPr>
        <w:t>Scope</w:t>
      </w:r>
      <w:r w:rsidRPr="00EE47D3">
        <w:rPr>
          <w:rFonts w:ascii="Arial" w:hAnsi="Arial" w:cs="Arial"/>
          <w:sz w:val="20"/>
          <w:szCs w:val="20"/>
        </w:rPr>
        <w:t xml:space="preserve">: </w:t>
      </w:r>
      <w:r w:rsidR="0091696E" w:rsidRPr="0091696E">
        <w:rPr>
          <w:lang w:val="en-KE" w:eastAsia="en-KE"/>
        </w:rPr>
        <w:t>IEC 60309-2:2021 applies to plugs, fixed or portable socket-outlets, and appliance inlets, hereinafter referred to as accessories, with a rated operating voltage not exceeding 1 000 V DC or 1 000 V AC with a frequency not exceeding 500 Hz and a rated current not exceeding 125 A, primarily intended for industrial use, either indoors or outdoors.</w:t>
      </w:r>
      <w:r w:rsidR="0091696E" w:rsidRPr="0091696E">
        <w:rPr>
          <w:lang w:val="en-KE" w:eastAsia="en-KE"/>
        </w:rPr>
        <w:br/>
        <w:t>This fifth edition cancels and replaces the fourth edition published in 1999, Amendment 1:2005 and Amendment 2:2012. This edition constitutes a technical revision.</w:t>
      </w:r>
      <w:r w:rsidR="0091696E" w:rsidRPr="0091696E">
        <w:rPr>
          <w:lang w:val="en-KE" w:eastAsia="en-KE"/>
        </w:rPr>
        <w:br/>
        <w:t xml:space="preserve">This edition includes the following significant technical changes with respect to the previous edition: </w:t>
      </w:r>
    </w:p>
    <w:p w14:paraId="33B1C94D" w14:textId="77777777" w:rsidR="0091696E" w:rsidRPr="0091696E" w:rsidRDefault="0091696E" w:rsidP="0091696E">
      <w:pPr>
        <w:numPr>
          <w:ilvl w:val="0"/>
          <w:numId w:val="5"/>
        </w:numPr>
        <w:spacing w:before="100" w:beforeAutospacing="1" w:after="100" w:afterAutospacing="1"/>
        <w:jc w:val="left"/>
        <w:rPr>
          <w:lang w:val="en-KE" w:eastAsia="en-KE"/>
        </w:rPr>
      </w:pPr>
      <w:r w:rsidRPr="0091696E">
        <w:rPr>
          <w:lang w:val="en-KE" w:eastAsia="en-KE"/>
        </w:rPr>
        <w:t xml:space="preserve">addition of requirements and test for non-solid </w:t>
      </w:r>
      <w:proofErr w:type="gramStart"/>
      <w:r w:rsidRPr="0091696E">
        <w:rPr>
          <w:lang w:val="en-KE" w:eastAsia="en-KE"/>
        </w:rPr>
        <w:t>pins;</w:t>
      </w:r>
      <w:proofErr w:type="gramEnd"/>
    </w:p>
    <w:p w14:paraId="46844FEF" w14:textId="77777777" w:rsidR="0091696E" w:rsidRPr="0091696E" w:rsidRDefault="0091696E" w:rsidP="0091696E">
      <w:pPr>
        <w:numPr>
          <w:ilvl w:val="0"/>
          <w:numId w:val="5"/>
        </w:numPr>
        <w:spacing w:before="100" w:beforeAutospacing="1" w:after="100" w:afterAutospacing="1"/>
        <w:jc w:val="left"/>
        <w:rPr>
          <w:lang w:val="en-KE" w:eastAsia="en-KE"/>
        </w:rPr>
      </w:pPr>
      <w:r w:rsidRPr="0091696E">
        <w:rPr>
          <w:lang w:val="en-KE" w:eastAsia="en-KE"/>
        </w:rPr>
        <w:t xml:space="preserve">additional rating </w:t>
      </w:r>
      <w:proofErr w:type="gramStart"/>
      <w:r w:rsidRPr="0091696E">
        <w:rPr>
          <w:lang w:val="en-KE" w:eastAsia="en-KE"/>
        </w:rPr>
        <w:t>IPX9;</w:t>
      </w:r>
      <w:proofErr w:type="gramEnd"/>
    </w:p>
    <w:p w14:paraId="5CFB702B" w14:textId="77777777" w:rsidR="0091696E" w:rsidRPr="0091696E" w:rsidRDefault="0091696E" w:rsidP="0091696E">
      <w:pPr>
        <w:numPr>
          <w:ilvl w:val="0"/>
          <w:numId w:val="5"/>
        </w:numPr>
        <w:spacing w:before="100" w:beforeAutospacing="1" w:after="100" w:afterAutospacing="1"/>
        <w:jc w:val="left"/>
        <w:rPr>
          <w:lang w:val="en-KE" w:eastAsia="en-KE"/>
        </w:rPr>
      </w:pPr>
      <w:r w:rsidRPr="0091696E">
        <w:rPr>
          <w:lang w:val="en-KE" w:eastAsia="en-KE"/>
        </w:rPr>
        <w:t>additional marking to indicate neutral terminal and/or earthing terminal.</w:t>
      </w:r>
    </w:p>
    <w:p w14:paraId="61B5A7AF" w14:textId="350B147D" w:rsidR="00A94A7D" w:rsidRPr="00EE47D3" w:rsidRDefault="0091696E" w:rsidP="0091696E">
      <w:pPr>
        <w:tabs>
          <w:tab w:val="right" w:leader="dot" w:pos="9000"/>
        </w:tabs>
        <w:autoSpaceDE w:val="0"/>
        <w:autoSpaceDN w:val="0"/>
        <w:adjustRightInd w:val="0"/>
        <w:ind w:left="360"/>
        <w:rPr>
          <w:rFonts w:ascii="Arial" w:hAnsi="Arial" w:cs="Arial"/>
          <w:sz w:val="20"/>
          <w:szCs w:val="20"/>
        </w:rPr>
      </w:pPr>
      <w:r w:rsidRPr="0091696E">
        <w:rPr>
          <w:lang w:val="en-KE" w:eastAsia="en-KE"/>
        </w:rPr>
        <w:t>This document is to be read in conjunction with IEC 60309-1:2021.</w:t>
      </w:r>
    </w:p>
    <w:p w14:paraId="279B94F7" w14:textId="26954C45" w:rsidR="006373BA" w:rsidRDefault="00B02A45" w:rsidP="00A94A7D">
      <w:pPr>
        <w:tabs>
          <w:tab w:val="right" w:leader="dot" w:pos="9000"/>
        </w:tabs>
        <w:autoSpaceDE w:val="0"/>
        <w:autoSpaceDN w:val="0"/>
        <w:adjustRightInd w:val="0"/>
        <w:ind w:left="360"/>
      </w:pPr>
      <w:hyperlink r:id="rId14" w:history="1">
        <w:r w:rsidR="003F4450" w:rsidRPr="001037D4">
          <w:rPr>
            <w:rStyle w:val="Hyperlink"/>
          </w:rPr>
          <w:t>https://webstore.iec.ch/publication/59919</w:t>
        </w:r>
      </w:hyperlink>
    </w:p>
    <w:p w14:paraId="29444337" w14:textId="77777777" w:rsidR="003F4450" w:rsidRDefault="003F4450" w:rsidP="00A94A7D">
      <w:pPr>
        <w:tabs>
          <w:tab w:val="right" w:leader="dot" w:pos="9000"/>
        </w:tabs>
        <w:autoSpaceDE w:val="0"/>
        <w:autoSpaceDN w:val="0"/>
        <w:adjustRightInd w:val="0"/>
        <w:ind w:left="360"/>
      </w:pPr>
    </w:p>
    <w:p w14:paraId="64AB594D" w14:textId="3710C4F2" w:rsidR="00507CB4" w:rsidRPr="00EE47D3" w:rsidRDefault="00507CB4" w:rsidP="00724286">
      <w:pPr>
        <w:numPr>
          <w:ilvl w:val="0"/>
          <w:numId w:val="1"/>
        </w:numPr>
        <w:autoSpaceDE w:val="0"/>
        <w:autoSpaceDN w:val="0"/>
        <w:adjustRightInd w:val="0"/>
        <w:rPr>
          <w:rFonts w:ascii="Arial" w:hAnsi="Arial" w:cs="Arial"/>
          <w:sz w:val="20"/>
          <w:szCs w:val="20"/>
        </w:rPr>
      </w:pPr>
      <w:r w:rsidRPr="00EE47D3">
        <w:rPr>
          <w:rFonts w:ascii="Arial" w:hAnsi="Arial" w:cs="Arial"/>
          <w:b/>
          <w:sz w:val="20"/>
          <w:szCs w:val="20"/>
        </w:rPr>
        <w:t>Number</w:t>
      </w:r>
      <w:r w:rsidRPr="00EE47D3">
        <w:rPr>
          <w:rFonts w:ascii="Arial" w:hAnsi="Arial" w:cs="Arial"/>
          <w:sz w:val="20"/>
          <w:szCs w:val="20"/>
        </w:rPr>
        <w:t xml:space="preserve">: </w:t>
      </w:r>
      <w:r w:rsidR="003F4450" w:rsidRPr="003F4450">
        <w:rPr>
          <w:rFonts w:ascii="Arial" w:hAnsi="Arial" w:cs="Arial"/>
          <w:sz w:val="20"/>
          <w:szCs w:val="20"/>
          <w:u w:val="dotted"/>
        </w:rPr>
        <w:t>IEC 60309-4:2021</w:t>
      </w:r>
    </w:p>
    <w:p w14:paraId="1C8DDA75" w14:textId="4AD5C3A5" w:rsidR="00507CB4" w:rsidRPr="00EE47D3" w:rsidRDefault="00507CB4" w:rsidP="008804E0">
      <w:pPr>
        <w:autoSpaceDE w:val="0"/>
        <w:autoSpaceDN w:val="0"/>
        <w:adjustRightInd w:val="0"/>
        <w:ind w:left="900" w:hanging="540"/>
        <w:rPr>
          <w:rFonts w:ascii="Arial" w:hAnsi="Arial" w:cs="Arial"/>
          <w:sz w:val="20"/>
          <w:szCs w:val="20"/>
        </w:rPr>
      </w:pPr>
      <w:r w:rsidRPr="00EE47D3">
        <w:rPr>
          <w:rFonts w:ascii="Arial" w:hAnsi="Arial" w:cs="Arial"/>
          <w:b/>
          <w:sz w:val="20"/>
          <w:szCs w:val="20"/>
        </w:rPr>
        <w:t>Title</w:t>
      </w:r>
      <w:r w:rsidRPr="00EE47D3">
        <w:rPr>
          <w:rFonts w:ascii="Arial" w:hAnsi="Arial" w:cs="Arial"/>
          <w:sz w:val="20"/>
          <w:szCs w:val="20"/>
        </w:rPr>
        <w:t>:</w:t>
      </w:r>
      <w:r w:rsidRPr="00EE47D3">
        <w:rPr>
          <w:rFonts w:ascii="Arial" w:hAnsi="Arial" w:cs="Arial"/>
          <w:sz w:val="20"/>
          <w:szCs w:val="20"/>
        </w:rPr>
        <w:tab/>
      </w:r>
      <w:r w:rsidR="003F4450" w:rsidRPr="003F4450">
        <w:rPr>
          <w:rFonts w:ascii="Arial" w:hAnsi="Arial" w:cs="Arial"/>
          <w:sz w:val="20"/>
          <w:szCs w:val="20"/>
          <w:u w:val="dotted"/>
        </w:rPr>
        <w:t>Plugs, fixed or portable socket-outlets and appliance inlets for industrial purposes - Part 4: Switched socket-outlets with or without interlock</w:t>
      </w:r>
      <w:r w:rsidR="00A17AC8">
        <w:rPr>
          <w:rFonts w:ascii="Arial" w:hAnsi="Arial" w:cs="Arial"/>
          <w:sz w:val="20"/>
          <w:szCs w:val="20"/>
          <w:shd w:val="clear" w:color="auto" w:fill="FFFFFF"/>
        </w:rPr>
        <w:t>, First Edition</w:t>
      </w:r>
    </w:p>
    <w:p w14:paraId="13A7DCB3" w14:textId="77777777" w:rsidR="003F4450" w:rsidRDefault="00507CB4" w:rsidP="003F4450">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3F4450">
        <w:t>IEC 60309-4:2021 applies to self-contained products primarily intended for industrial use, either indoors or outdoors that combine the following items within a single enclosure:</w:t>
      </w:r>
      <w:r w:rsidR="003F4450">
        <w:br/>
        <w:t>– a fixed or portable socket-outlet according to IEC 60309-1 or IEC 60309-2 with a rated operating voltage not exceeding 1 000 V DC or 1 000 V AC with a frequency not exceeding 500 Hz and a rated current not exceeding 800 A;</w:t>
      </w:r>
      <w:r w:rsidR="003F4450">
        <w:br/>
        <w:t>– a switching device.</w:t>
      </w:r>
      <w:r w:rsidR="003F4450">
        <w:br/>
        <w:t>This second edition cancels and replaces the first edition published in 2006 and Amendment 1:2012. This edition constitutes a technical revision.</w:t>
      </w:r>
      <w:r w:rsidR="003F4450">
        <w:br/>
        <w:t>This edition includes the following significant technical changes with respect to the previous edition:</w:t>
      </w:r>
      <w:r w:rsidR="003F4450">
        <w:br/>
        <w:t xml:space="preserve">– updated </w:t>
      </w:r>
      <w:proofErr w:type="gramStart"/>
      <w:r w:rsidR="003F4450">
        <w:t>in order to</w:t>
      </w:r>
      <w:proofErr w:type="gramEnd"/>
      <w:r w:rsidR="003F4450">
        <w:t xml:space="preserve"> take into account the technical revisions to IEC 60309-1 and to IEC 60309-2.</w:t>
      </w:r>
      <w:r w:rsidR="003F4450">
        <w:br/>
        <w:t>This document is to be read in conjunction with IEC 60309-1:2021 and with IEC 60309</w:t>
      </w:r>
      <w:r w:rsidR="003F4450">
        <w:noBreakHyphen/>
        <w:t>2:2021.</w:t>
      </w:r>
    </w:p>
    <w:p w14:paraId="04850B10" w14:textId="610A38C1" w:rsidR="006373BA" w:rsidRDefault="00B02A45" w:rsidP="00507CB4">
      <w:pPr>
        <w:tabs>
          <w:tab w:val="right" w:leader="dot" w:pos="9000"/>
        </w:tabs>
        <w:autoSpaceDE w:val="0"/>
        <w:autoSpaceDN w:val="0"/>
        <w:adjustRightInd w:val="0"/>
        <w:ind w:left="360"/>
      </w:pPr>
      <w:hyperlink r:id="rId15" w:history="1">
        <w:r w:rsidR="003F4450" w:rsidRPr="001037D4">
          <w:rPr>
            <w:rStyle w:val="Hyperlink"/>
          </w:rPr>
          <w:t>https://webstore.iec.ch/publication/59920</w:t>
        </w:r>
      </w:hyperlink>
    </w:p>
    <w:p w14:paraId="6B239996" w14:textId="77777777" w:rsidR="003F4450" w:rsidRDefault="003F4450" w:rsidP="00507CB4">
      <w:pPr>
        <w:tabs>
          <w:tab w:val="right" w:leader="dot" w:pos="9000"/>
        </w:tabs>
        <w:autoSpaceDE w:val="0"/>
        <w:autoSpaceDN w:val="0"/>
        <w:adjustRightInd w:val="0"/>
        <w:ind w:left="360"/>
      </w:pPr>
    </w:p>
    <w:p w14:paraId="36C7BB9A" w14:textId="4C0ECE6F" w:rsidR="0071045E" w:rsidRPr="0071045E" w:rsidRDefault="00A17AC8"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3F4450" w:rsidRPr="003F4450">
        <w:rPr>
          <w:rFonts w:ascii="Arial" w:hAnsi="Arial" w:cs="Arial"/>
          <w:sz w:val="20"/>
          <w:szCs w:val="20"/>
          <w:u w:val="dotted"/>
        </w:rPr>
        <w:t>IEC 60309-5:2017</w:t>
      </w:r>
    </w:p>
    <w:p w14:paraId="4964FABD" w14:textId="0830A583" w:rsidR="00A17AC8" w:rsidRPr="0071045E" w:rsidRDefault="00A17AC8" w:rsidP="0071045E">
      <w:pPr>
        <w:autoSpaceDE w:val="0"/>
        <w:autoSpaceDN w:val="0"/>
        <w:adjustRightInd w:val="0"/>
        <w:ind w:left="900"/>
        <w:rPr>
          <w:rFonts w:ascii="Arial" w:hAnsi="Arial" w:cs="Arial"/>
          <w:sz w:val="20"/>
          <w:szCs w:val="20"/>
        </w:rPr>
      </w:pPr>
      <w:r w:rsidRPr="0071045E">
        <w:rPr>
          <w:rFonts w:ascii="Arial" w:hAnsi="Arial" w:cs="Arial"/>
          <w:b/>
          <w:sz w:val="20"/>
          <w:szCs w:val="20"/>
        </w:rPr>
        <w:lastRenderedPageBreak/>
        <w:t>Title</w:t>
      </w:r>
      <w:r w:rsidRPr="0071045E">
        <w:rPr>
          <w:rFonts w:ascii="Arial" w:hAnsi="Arial" w:cs="Arial"/>
          <w:sz w:val="20"/>
          <w:szCs w:val="20"/>
        </w:rPr>
        <w:t>:</w:t>
      </w:r>
      <w:r w:rsidRPr="0071045E">
        <w:rPr>
          <w:rFonts w:ascii="Arial" w:hAnsi="Arial" w:cs="Arial"/>
          <w:sz w:val="20"/>
          <w:szCs w:val="20"/>
        </w:rPr>
        <w:tab/>
      </w:r>
      <w:r w:rsidR="003F4450" w:rsidRPr="003F4450">
        <w:rPr>
          <w:rFonts w:ascii="Arial" w:hAnsi="Arial" w:cs="Arial"/>
          <w:sz w:val="20"/>
          <w:szCs w:val="20"/>
          <w:u w:val="dotted"/>
        </w:rPr>
        <w:t>Plugs, socket-</w:t>
      </w:r>
      <w:proofErr w:type="gramStart"/>
      <w:r w:rsidR="003F4450" w:rsidRPr="003F4450">
        <w:rPr>
          <w:rFonts w:ascii="Arial" w:hAnsi="Arial" w:cs="Arial"/>
          <w:sz w:val="20"/>
          <w:szCs w:val="20"/>
          <w:u w:val="dotted"/>
        </w:rPr>
        <w:t>outlets</w:t>
      </w:r>
      <w:proofErr w:type="gramEnd"/>
      <w:r w:rsidR="003F4450" w:rsidRPr="003F4450">
        <w:rPr>
          <w:rFonts w:ascii="Arial" w:hAnsi="Arial" w:cs="Arial"/>
          <w:sz w:val="20"/>
          <w:szCs w:val="20"/>
          <w:u w:val="dotted"/>
        </w:rPr>
        <w:t xml:space="preserve"> and couplers for industrial purposes - Part 5: Dimensional compatibility and interchangeability requirements for plugs, socket-outlets, ship connectors and ship inlets for low-voltage shore connection systems (LVSC)</w:t>
      </w:r>
      <w:r w:rsidR="003F4450">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1E678971" w14:textId="77777777" w:rsidR="003F4450" w:rsidRPr="003F4450" w:rsidRDefault="00A17AC8" w:rsidP="003F4450">
      <w:pPr>
        <w:tabs>
          <w:tab w:val="right" w:leader="dot" w:pos="9000"/>
        </w:tabs>
        <w:autoSpaceDE w:val="0"/>
        <w:autoSpaceDN w:val="0"/>
        <w:adjustRightInd w:val="0"/>
        <w:ind w:left="360"/>
        <w:rPr>
          <w:rFonts w:ascii="Arial" w:hAnsi="Arial" w:cs="Arial"/>
          <w:sz w:val="20"/>
          <w:szCs w:val="20"/>
        </w:rPr>
      </w:pPr>
      <w:r w:rsidRPr="00EE47D3">
        <w:rPr>
          <w:rFonts w:ascii="Arial" w:hAnsi="Arial" w:cs="Arial"/>
          <w:b/>
          <w:sz w:val="20"/>
          <w:szCs w:val="20"/>
        </w:rPr>
        <w:t>Scope</w:t>
      </w:r>
      <w:r w:rsidRPr="00EE47D3">
        <w:rPr>
          <w:rFonts w:ascii="Arial" w:hAnsi="Arial" w:cs="Arial"/>
          <w:sz w:val="20"/>
          <w:szCs w:val="20"/>
        </w:rPr>
        <w:t xml:space="preserve">: </w:t>
      </w:r>
      <w:r w:rsidR="003F4450" w:rsidRPr="003F4450">
        <w:rPr>
          <w:rFonts w:ascii="Arial" w:hAnsi="Arial" w:cs="Arial"/>
          <w:sz w:val="20"/>
          <w:szCs w:val="20"/>
        </w:rPr>
        <w:t>IEC 60309-5:2017 applies to a single type of plug, socket-outlet, ship connector and ship inlet, hereinafter referred to as accessories, intended to connect ships to dedicated shore supply systems described in IEC/IEEE 80005-3.</w:t>
      </w:r>
    </w:p>
    <w:p w14:paraId="05107DDC" w14:textId="77777777" w:rsidR="003F4450" w:rsidRPr="003F4450" w:rsidRDefault="003F4450" w:rsidP="003F4450">
      <w:pPr>
        <w:tabs>
          <w:tab w:val="right" w:leader="dot" w:pos="9000"/>
        </w:tabs>
        <w:autoSpaceDE w:val="0"/>
        <w:autoSpaceDN w:val="0"/>
        <w:adjustRightInd w:val="0"/>
        <w:ind w:left="360"/>
        <w:rPr>
          <w:rFonts w:ascii="Arial" w:hAnsi="Arial" w:cs="Arial"/>
          <w:sz w:val="20"/>
          <w:szCs w:val="20"/>
        </w:rPr>
      </w:pPr>
      <w:r w:rsidRPr="003F4450">
        <w:rPr>
          <w:rFonts w:ascii="Arial" w:hAnsi="Arial" w:cs="Arial"/>
          <w:sz w:val="20"/>
          <w:szCs w:val="20"/>
        </w:rPr>
        <w:t>This part of IEC 60309 applies to three-phase accessories with an earth contact and with four pilot contacts.</w:t>
      </w:r>
    </w:p>
    <w:p w14:paraId="01030CEE" w14:textId="64B9112C" w:rsidR="003F4450" w:rsidRDefault="003F4450" w:rsidP="003F4450">
      <w:pPr>
        <w:tabs>
          <w:tab w:val="right" w:leader="dot" w:pos="9000"/>
        </w:tabs>
        <w:autoSpaceDE w:val="0"/>
        <w:autoSpaceDN w:val="0"/>
        <w:adjustRightInd w:val="0"/>
        <w:ind w:left="360"/>
      </w:pPr>
      <w:r w:rsidRPr="003F4450">
        <w:rPr>
          <w:rFonts w:ascii="Arial" w:hAnsi="Arial" w:cs="Arial"/>
          <w:sz w:val="20"/>
          <w:szCs w:val="20"/>
        </w:rPr>
        <w:t>This publication is to be read in conjunction with IEC 60309-1:2012.</w:t>
      </w:r>
    </w:p>
    <w:p w14:paraId="3DAE8222" w14:textId="7C7F905C" w:rsidR="006373BA" w:rsidRDefault="00B02A45" w:rsidP="006373BA">
      <w:pPr>
        <w:tabs>
          <w:tab w:val="right" w:leader="dot" w:pos="9000"/>
        </w:tabs>
        <w:autoSpaceDE w:val="0"/>
        <w:autoSpaceDN w:val="0"/>
        <w:adjustRightInd w:val="0"/>
        <w:ind w:left="360"/>
      </w:pPr>
      <w:hyperlink r:id="rId16" w:history="1">
        <w:r w:rsidR="003F4450" w:rsidRPr="001037D4">
          <w:rPr>
            <w:rStyle w:val="Hyperlink"/>
          </w:rPr>
          <w:t>https://webstore.iec.ch/publication/26808</w:t>
        </w:r>
      </w:hyperlink>
    </w:p>
    <w:p w14:paraId="21D58276" w14:textId="77777777" w:rsidR="003F4450" w:rsidRDefault="003F4450" w:rsidP="006373BA">
      <w:pPr>
        <w:tabs>
          <w:tab w:val="right" w:leader="dot" w:pos="9000"/>
        </w:tabs>
        <w:autoSpaceDE w:val="0"/>
        <w:autoSpaceDN w:val="0"/>
        <w:adjustRightInd w:val="0"/>
        <w:ind w:left="360"/>
      </w:pPr>
    </w:p>
    <w:p w14:paraId="1370A475" w14:textId="05C1B32E"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3F4450" w:rsidRPr="003F4450">
        <w:rPr>
          <w:rFonts w:ascii="Arial" w:hAnsi="Arial" w:cs="Arial"/>
          <w:sz w:val="20"/>
          <w:szCs w:val="20"/>
          <w:u w:val="dotted"/>
        </w:rPr>
        <w:t>IEC 62444:2010</w:t>
      </w:r>
    </w:p>
    <w:p w14:paraId="29D70F4D" w14:textId="500EE80B"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003F4450" w:rsidRPr="003F4450">
        <w:t xml:space="preserve"> </w:t>
      </w:r>
      <w:r w:rsidR="003F4450" w:rsidRPr="003F4450">
        <w:rPr>
          <w:rFonts w:ascii="Arial" w:hAnsi="Arial" w:cs="Arial"/>
          <w:sz w:val="20"/>
          <w:szCs w:val="20"/>
        </w:rPr>
        <w:t>Cable glands for electrical installations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9EBC704" w14:textId="2C6823F3" w:rsidR="006373BA"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 xml:space="preserve">IEC 61557-13:2011 defines special performance requirements for hand-held and hand-manipulated current clamps and sensors for measurement of leakage currents in electrical distribution systems up to 1 000 V </w:t>
      </w:r>
      <w:proofErr w:type="spellStart"/>
      <w:r>
        <w:t>a.c.</w:t>
      </w:r>
      <w:proofErr w:type="spellEnd"/>
      <w:r>
        <w:t xml:space="preserve"> and 1 500 V </w:t>
      </w:r>
      <w:proofErr w:type="spellStart"/>
      <w:r>
        <w:t>d.c.</w:t>
      </w:r>
      <w:proofErr w:type="spellEnd"/>
      <w:r>
        <w:t xml:space="preserve">, </w:t>
      </w:r>
      <w:proofErr w:type="gramStart"/>
      <w:r>
        <w:t>taking into account</w:t>
      </w:r>
      <w:proofErr w:type="gramEnd"/>
      <w:r>
        <w:t xml:space="preserve"> the influence of high external low-frequency magnetic fields and other influencing quantities. This standard does not apply to current clamps or sensors which are used in combination with devices for insulation fault location according to IEC 61557-9, unless it is specified by the manufacturer.</w:t>
      </w:r>
    </w:p>
    <w:p w14:paraId="541A7E76" w14:textId="4410837B" w:rsidR="006373BA" w:rsidRDefault="00B02A45" w:rsidP="006373BA">
      <w:pPr>
        <w:tabs>
          <w:tab w:val="right" w:leader="dot" w:pos="9000"/>
        </w:tabs>
        <w:autoSpaceDE w:val="0"/>
        <w:autoSpaceDN w:val="0"/>
        <w:adjustRightInd w:val="0"/>
        <w:ind w:left="360"/>
      </w:pPr>
      <w:hyperlink r:id="rId17" w:history="1">
        <w:r w:rsidR="003F4450" w:rsidRPr="001037D4">
          <w:rPr>
            <w:rStyle w:val="Hyperlink"/>
          </w:rPr>
          <w:t>https://webstore.iec.ch/publication/7034</w:t>
        </w:r>
      </w:hyperlink>
    </w:p>
    <w:p w14:paraId="19E909F5" w14:textId="77777777" w:rsidR="003F4450" w:rsidRDefault="003F4450" w:rsidP="006373BA">
      <w:pPr>
        <w:tabs>
          <w:tab w:val="right" w:leader="dot" w:pos="9000"/>
        </w:tabs>
        <w:autoSpaceDE w:val="0"/>
        <w:autoSpaceDN w:val="0"/>
        <w:adjustRightInd w:val="0"/>
        <w:ind w:left="360"/>
      </w:pPr>
    </w:p>
    <w:p w14:paraId="0F5C6466" w14:textId="69E459FC"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AC5B45" w:rsidRPr="00AC5B45">
        <w:rPr>
          <w:rFonts w:ascii="Arial" w:hAnsi="Arial" w:cs="Arial"/>
          <w:sz w:val="20"/>
          <w:szCs w:val="20"/>
          <w:u w:val="dotted"/>
        </w:rPr>
        <w:t>IEC 61921:2017</w:t>
      </w:r>
    </w:p>
    <w:p w14:paraId="66846642" w14:textId="7B0AADBB"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AC5B45" w:rsidRPr="00AC5B45">
        <w:rPr>
          <w:rFonts w:ascii="Arial" w:hAnsi="Arial" w:cs="Arial"/>
          <w:sz w:val="20"/>
          <w:szCs w:val="20"/>
          <w:u w:val="dotted"/>
        </w:rPr>
        <w:t>Power capacitors - Low-voltage power factor correction banks</w:t>
      </w:r>
      <w:r w:rsidR="00AC5B45">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2AEB5BC1" w14:textId="77777777" w:rsidR="00AC5B45" w:rsidRDefault="006373BA" w:rsidP="006373BA">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AC5B45">
        <w:t>IEC 61921:2017 RLV contains both the official IEC International Standard and its Redline version. The Redline version is available in English only and provides you with a quick and easy way to compare all the changes between the official IEC Standard and its previous edition.</w:t>
      </w:r>
      <w:r w:rsidR="00AC5B45">
        <w:br/>
      </w:r>
      <w:r w:rsidR="00AC5B45">
        <w:br/>
        <w:t xml:space="preserve">IEC 61921:2017 is applicable to low-voltage AC shunt capacitor banks intended to be used for power factor correction purposes, possibly equipped with a built-in switchgear and </w:t>
      </w:r>
      <w:proofErr w:type="spellStart"/>
      <w:r w:rsidR="00AC5B45">
        <w:t>controlgear</w:t>
      </w:r>
      <w:proofErr w:type="spellEnd"/>
      <w:r w:rsidR="00AC5B45">
        <w:t xml:space="preserve"> apparatus capable of connecting to or disconnecting from the mains part(s) of the bank with the aim to correct its power factor. Low-voltage power factor correction banks if not otherwise indicated hereinafter and where applicable comply with the requirements of IEC 61439-1 and IEC 61439-2. This second edition cancels and replaces the first edition published in 2003. It constitutes a technical revision. This edition includes the following significant technical changes with respect to the previous edition: numerous changes regarding verification methods to align with IEC 61439-1; modification of marking; add routine verification of rated output; new Annex D with guidance on methods for temperature rise verification; update of normative references; general editorial review.</w:t>
      </w:r>
    </w:p>
    <w:p w14:paraId="0D1E9758" w14:textId="535EC256" w:rsidR="006373BA" w:rsidRDefault="00B02A45" w:rsidP="006373BA">
      <w:pPr>
        <w:tabs>
          <w:tab w:val="right" w:leader="dot" w:pos="9000"/>
        </w:tabs>
        <w:autoSpaceDE w:val="0"/>
        <w:autoSpaceDN w:val="0"/>
        <w:adjustRightInd w:val="0"/>
        <w:ind w:left="360"/>
      </w:pPr>
      <w:hyperlink r:id="rId18" w:history="1">
        <w:r w:rsidR="00AC5B45" w:rsidRPr="001037D4">
          <w:rPr>
            <w:rStyle w:val="Hyperlink"/>
          </w:rPr>
          <w:t>https://webstore.iec.ch/publication/60937</w:t>
        </w:r>
      </w:hyperlink>
    </w:p>
    <w:p w14:paraId="76E19C47" w14:textId="77777777" w:rsidR="00AC5B45" w:rsidRDefault="00AC5B45" w:rsidP="006373BA">
      <w:pPr>
        <w:tabs>
          <w:tab w:val="right" w:leader="dot" w:pos="9000"/>
        </w:tabs>
        <w:autoSpaceDE w:val="0"/>
        <w:autoSpaceDN w:val="0"/>
        <w:adjustRightInd w:val="0"/>
        <w:ind w:left="360"/>
      </w:pPr>
    </w:p>
    <w:p w14:paraId="2531F892" w14:textId="4DBFC094" w:rsidR="006373BA" w:rsidRPr="0071045E" w:rsidRDefault="006373BA"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AC5B45" w:rsidRPr="00AC5B45">
        <w:rPr>
          <w:rFonts w:ascii="Arial" w:hAnsi="Arial" w:cs="Arial"/>
          <w:sz w:val="20"/>
          <w:szCs w:val="20"/>
          <w:u w:val="dotted"/>
        </w:rPr>
        <w:t>IEC 61008-2-1:1990</w:t>
      </w:r>
    </w:p>
    <w:p w14:paraId="0919BFC6" w14:textId="3860F288" w:rsidR="006373BA" w:rsidRPr="006373BA" w:rsidRDefault="006373BA" w:rsidP="006373BA">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AC5B45" w:rsidRPr="00AC5B45">
        <w:rPr>
          <w:rFonts w:ascii="Arial" w:hAnsi="Arial" w:cs="Arial"/>
          <w:sz w:val="20"/>
          <w:szCs w:val="20"/>
          <w:u w:val="dotted"/>
        </w:rPr>
        <w:t>Residual current operated circuit-breakers without integral overcurrent protection for household and similar uses (RCCB's). Part 2-1: Applicability of the general rules to RCCB's functionally independent of line voltage</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3BDED464" w14:textId="7A4FDD50" w:rsidR="006373BA" w:rsidRDefault="006373BA" w:rsidP="002D58FE">
      <w:pPr>
        <w:tabs>
          <w:tab w:val="right" w:leader="dot" w:pos="9000"/>
        </w:tabs>
        <w:autoSpaceDE w:val="0"/>
        <w:autoSpaceDN w:val="0"/>
        <w:adjustRightInd w:val="0"/>
        <w:ind w:left="360"/>
      </w:pPr>
      <w:r w:rsidRPr="00EE47D3">
        <w:rPr>
          <w:rFonts w:ascii="Arial" w:hAnsi="Arial" w:cs="Arial"/>
          <w:b/>
          <w:sz w:val="20"/>
          <w:szCs w:val="20"/>
        </w:rPr>
        <w:lastRenderedPageBreak/>
        <w:t>Scope</w:t>
      </w:r>
      <w:r w:rsidRPr="00EE47D3">
        <w:rPr>
          <w:rFonts w:ascii="Arial" w:hAnsi="Arial" w:cs="Arial"/>
          <w:sz w:val="20"/>
          <w:szCs w:val="20"/>
        </w:rPr>
        <w:t xml:space="preserve">: </w:t>
      </w:r>
      <w:r w:rsidR="002D58FE">
        <w:t>This Part 2-1 supplements or modifies the corresponding clauses in IEC 61008-1 to cover its applicability to RCCB's functionally independent of line voltage.</w:t>
      </w:r>
    </w:p>
    <w:p w14:paraId="2A4FFAF6" w14:textId="05333E54" w:rsidR="006373BA" w:rsidRDefault="00B02A45" w:rsidP="006373BA">
      <w:pPr>
        <w:tabs>
          <w:tab w:val="right" w:leader="dot" w:pos="9000"/>
        </w:tabs>
        <w:autoSpaceDE w:val="0"/>
        <w:autoSpaceDN w:val="0"/>
        <w:adjustRightInd w:val="0"/>
        <w:ind w:left="360"/>
      </w:pPr>
      <w:hyperlink r:id="rId19" w:history="1">
        <w:r w:rsidR="002D58FE" w:rsidRPr="001037D4">
          <w:rPr>
            <w:rStyle w:val="Hyperlink"/>
          </w:rPr>
          <w:t>https://webstore.iec.ch/publication/4265</w:t>
        </w:r>
      </w:hyperlink>
    </w:p>
    <w:p w14:paraId="500E8C85" w14:textId="77777777" w:rsidR="002D58FE" w:rsidRDefault="002D58FE" w:rsidP="006373BA">
      <w:pPr>
        <w:tabs>
          <w:tab w:val="right" w:leader="dot" w:pos="9000"/>
        </w:tabs>
        <w:autoSpaceDE w:val="0"/>
        <w:autoSpaceDN w:val="0"/>
        <w:adjustRightInd w:val="0"/>
        <w:ind w:left="360"/>
      </w:pPr>
    </w:p>
    <w:p w14:paraId="2A006524" w14:textId="77777777" w:rsidR="002D58FE" w:rsidRPr="002D58FE" w:rsidRDefault="006373BA" w:rsidP="00A15C21">
      <w:pPr>
        <w:numPr>
          <w:ilvl w:val="0"/>
          <w:numId w:val="1"/>
        </w:numPr>
        <w:autoSpaceDE w:val="0"/>
        <w:autoSpaceDN w:val="0"/>
        <w:adjustRightInd w:val="0"/>
        <w:ind w:left="900" w:hanging="540"/>
        <w:rPr>
          <w:rFonts w:ascii="Arial" w:hAnsi="Arial" w:cs="Arial"/>
          <w:sz w:val="20"/>
          <w:szCs w:val="20"/>
          <w:shd w:val="clear" w:color="auto" w:fill="FFFFFF"/>
        </w:rPr>
      </w:pPr>
      <w:r w:rsidRPr="002D58FE">
        <w:rPr>
          <w:rFonts w:ascii="Arial" w:hAnsi="Arial" w:cs="Arial"/>
          <w:b/>
          <w:sz w:val="20"/>
          <w:szCs w:val="20"/>
        </w:rPr>
        <w:t>Number</w:t>
      </w:r>
      <w:r w:rsidRPr="002D58FE">
        <w:rPr>
          <w:rFonts w:ascii="Arial" w:hAnsi="Arial" w:cs="Arial"/>
          <w:sz w:val="20"/>
          <w:szCs w:val="20"/>
        </w:rPr>
        <w:t xml:space="preserve">: </w:t>
      </w:r>
      <w:r w:rsidR="002D58FE" w:rsidRPr="002D58FE">
        <w:rPr>
          <w:rFonts w:ascii="Arial" w:hAnsi="Arial" w:cs="Arial"/>
          <w:sz w:val="20"/>
          <w:szCs w:val="20"/>
          <w:u w:val="dotted"/>
        </w:rPr>
        <w:t>IEC 61008-2-2:1990</w:t>
      </w:r>
    </w:p>
    <w:p w14:paraId="2469E9E5" w14:textId="120B1C42" w:rsidR="006373BA" w:rsidRPr="002D58FE" w:rsidRDefault="006373BA" w:rsidP="002D58FE">
      <w:pPr>
        <w:autoSpaceDE w:val="0"/>
        <w:autoSpaceDN w:val="0"/>
        <w:adjustRightInd w:val="0"/>
        <w:ind w:left="900"/>
        <w:rPr>
          <w:rFonts w:ascii="Arial" w:hAnsi="Arial" w:cs="Arial"/>
          <w:sz w:val="20"/>
          <w:szCs w:val="20"/>
          <w:shd w:val="clear" w:color="auto" w:fill="FFFFFF"/>
        </w:rPr>
      </w:pPr>
      <w:r w:rsidRPr="002D58FE">
        <w:rPr>
          <w:rFonts w:ascii="Arial" w:hAnsi="Arial" w:cs="Arial"/>
          <w:b/>
          <w:sz w:val="20"/>
          <w:szCs w:val="20"/>
        </w:rPr>
        <w:t>Title</w:t>
      </w:r>
      <w:r w:rsidRPr="002D58FE">
        <w:rPr>
          <w:rFonts w:ascii="Arial" w:hAnsi="Arial" w:cs="Arial"/>
          <w:sz w:val="20"/>
          <w:szCs w:val="20"/>
        </w:rPr>
        <w:t>:</w:t>
      </w:r>
      <w:r w:rsidRPr="002D58FE">
        <w:rPr>
          <w:rFonts w:ascii="Arial" w:hAnsi="Arial" w:cs="Arial"/>
          <w:sz w:val="20"/>
          <w:szCs w:val="20"/>
        </w:rPr>
        <w:tab/>
      </w:r>
      <w:r w:rsidR="002D58FE" w:rsidRPr="002D58FE">
        <w:rPr>
          <w:rFonts w:ascii="Arial" w:hAnsi="Arial" w:cs="Arial"/>
          <w:sz w:val="20"/>
          <w:szCs w:val="20"/>
          <w:u w:val="dotted"/>
        </w:rPr>
        <w:t xml:space="preserve">Residual current operated circuit-breakers without integral overcurrent protection for household and similar uses (RCCB's). Part 2-2: Applicability of the general rules to RCCB's functionally dependent </w:t>
      </w:r>
      <w:proofErr w:type="gramStart"/>
      <w:r w:rsidR="002D58FE" w:rsidRPr="002D58FE">
        <w:rPr>
          <w:rFonts w:ascii="Arial" w:hAnsi="Arial" w:cs="Arial"/>
          <w:sz w:val="20"/>
          <w:szCs w:val="20"/>
          <w:u w:val="dotted"/>
        </w:rPr>
        <w:t>on line</w:t>
      </w:r>
      <w:proofErr w:type="gramEnd"/>
      <w:r w:rsidR="002D58FE" w:rsidRPr="002D58FE">
        <w:rPr>
          <w:rFonts w:ascii="Arial" w:hAnsi="Arial" w:cs="Arial"/>
          <w:sz w:val="20"/>
          <w:szCs w:val="20"/>
          <w:u w:val="dotted"/>
        </w:rPr>
        <w:t xml:space="preserve"> voltage</w:t>
      </w:r>
      <w:r w:rsidRPr="002D58FE">
        <w:rPr>
          <w:rFonts w:ascii="Arial" w:hAnsi="Arial" w:cs="Arial"/>
          <w:sz w:val="20"/>
          <w:szCs w:val="20"/>
          <w:u w:val="dotted"/>
        </w:rPr>
        <w:t xml:space="preserve">, </w:t>
      </w:r>
      <w:r w:rsidRPr="002D58FE">
        <w:rPr>
          <w:rFonts w:ascii="Arial" w:hAnsi="Arial" w:cs="Arial"/>
          <w:sz w:val="20"/>
          <w:szCs w:val="20"/>
          <w:shd w:val="clear" w:color="auto" w:fill="FFFFFF"/>
        </w:rPr>
        <w:t>First Edition</w:t>
      </w:r>
    </w:p>
    <w:p w14:paraId="0D61FE43" w14:textId="02544F79" w:rsidR="002D58FE" w:rsidRDefault="006373BA" w:rsidP="002D58FE">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2D58FE">
        <w:t xml:space="preserve">This Part 2-2 supplements or modifies the corresponding clauses in IEC 61008-1 to cover its applicability to RCCB's functionally dependent </w:t>
      </w:r>
      <w:proofErr w:type="gramStart"/>
      <w:r w:rsidR="002D58FE">
        <w:t>on line</w:t>
      </w:r>
      <w:proofErr w:type="gramEnd"/>
      <w:r w:rsidR="002D58FE">
        <w:t xml:space="preserve"> voltage.</w:t>
      </w:r>
    </w:p>
    <w:p w14:paraId="0979ACCD" w14:textId="2333F3C3" w:rsidR="006373BA" w:rsidRDefault="00B02A45" w:rsidP="006373BA">
      <w:pPr>
        <w:tabs>
          <w:tab w:val="right" w:leader="dot" w:pos="9000"/>
        </w:tabs>
        <w:autoSpaceDE w:val="0"/>
        <w:autoSpaceDN w:val="0"/>
        <w:adjustRightInd w:val="0"/>
        <w:ind w:left="360"/>
      </w:pPr>
      <w:hyperlink r:id="rId20" w:history="1">
        <w:r w:rsidR="002D58FE" w:rsidRPr="001037D4">
          <w:rPr>
            <w:rStyle w:val="Hyperlink"/>
          </w:rPr>
          <w:t>https://webstore.iec.ch/publication/4266</w:t>
        </w:r>
      </w:hyperlink>
    </w:p>
    <w:p w14:paraId="4C8309FA" w14:textId="77777777" w:rsidR="002D58FE" w:rsidRDefault="002D58FE" w:rsidP="006373BA">
      <w:pPr>
        <w:tabs>
          <w:tab w:val="right" w:leader="dot" w:pos="9000"/>
        </w:tabs>
        <w:autoSpaceDE w:val="0"/>
        <w:autoSpaceDN w:val="0"/>
        <w:adjustRightInd w:val="0"/>
        <w:ind w:left="360"/>
      </w:pPr>
    </w:p>
    <w:p w14:paraId="0DBCF97B" w14:textId="77777777" w:rsidR="002D58FE" w:rsidRDefault="002D58FE" w:rsidP="002D58FE">
      <w:pPr>
        <w:tabs>
          <w:tab w:val="right" w:leader="dot" w:pos="9000"/>
        </w:tabs>
        <w:autoSpaceDE w:val="0"/>
        <w:autoSpaceDN w:val="0"/>
        <w:adjustRightInd w:val="0"/>
      </w:pPr>
    </w:p>
    <w:p w14:paraId="2CE7694D" w14:textId="37B9DD47" w:rsidR="002D58FE" w:rsidRPr="002D58FE" w:rsidRDefault="006373BA" w:rsidP="00D650A3">
      <w:pPr>
        <w:numPr>
          <w:ilvl w:val="0"/>
          <w:numId w:val="1"/>
        </w:numPr>
        <w:autoSpaceDE w:val="0"/>
        <w:autoSpaceDN w:val="0"/>
        <w:adjustRightInd w:val="0"/>
        <w:ind w:left="900" w:hanging="540"/>
        <w:rPr>
          <w:rFonts w:ascii="Arial" w:hAnsi="Arial" w:cs="Arial"/>
          <w:sz w:val="20"/>
          <w:szCs w:val="20"/>
          <w:shd w:val="clear" w:color="auto" w:fill="FFFFFF"/>
        </w:rPr>
      </w:pPr>
      <w:r w:rsidRPr="002D58FE">
        <w:rPr>
          <w:rFonts w:ascii="Arial" w:hAnsi="Arial" w:cs="Arial"/>
          <w:b/>
          <w:sz w:val="20"/>
          <w:szCs w:val="20"/>
        </w:rPr>
        <w:t>Number</w:t>
      </w:r>
      <w:r w:rsidRPr="002D58FE">
        <w:rPr>
          <w:rFonts w:ascii="Arial" w:hAnsi="Arial" w:cs="Arial"/>
          <w:sz w:val="20"/>
          <w:szCs w:val="20"/>
        </w:rPr>
        <w:t xml:space="preserve">: </w:t>
      </w:r>
      <w:r w:rsidR="00232C16" w:rsidRPr="00232C16">
        <w:rPr>
          <w:rFonts w:ascii="Arial" w:hAnsi="Arial" w:cs="Arial"/>
          <w:sz w:val="20"/>
          <w:szCs w:val="20"/>
          <w:u w:val="dotted"/>
        </w:rPr>
        <w:t>IEC 61008-1</w:t>
      </w:r>
      <w:r w:rsidR="007B5000">
        <w:rPr>
          <w:rFonts w:ascii="Arial" w:hAnsi="Arial" w:cs="Arial"/>
          <w:sz w:val="20"/>
          <w:szCs w:val="20"/>
          <w:u w:val="dotted"/>
        </w:rPr>
        <w:t>:2013</w:t>
      </w:r>
    </w:p>
    <w:p w14:paraId="30FB8A46" w14:textId="32320773" w:rsidR="006373BA" w:rsidRPr="002D58FE" w:rsidRDefault="006373BA" w:rsidP="002D58FE">
      <w:pPr>
        <w:autoSpaceDE w:val="0"/>
        <w:autoSpaceDN w:val="0"/>
        <w:adjustRightInd w:val="0"/>
        <w:ind w:left="900"/>
        <w:rPr>
          <w:rFonts w:ascii="Arial" w:hAnsi="Arial" w:cs="Arial"/>
          <w:sz w:val="20"/>
          <w:szCs w:val="20"/>
          <w:shd w:val="clear" w:color="auto" w:fill="FFFFFF"/>
        </w:rPr>
      </w:pPr>
      <w:r w:rsidRPr="002D58FE">
        <w:rPr>
          <w:rFonts w:ascii="Arial" w:hAnsi="Arial" w:cs="Arial"/>
          <w:b/>
          <w:sz w:val="20"/>
          <w:szCs w:val="20"/>
        </w:rPr>
        <w:t>Title</w:t>
      </w:r>
      <w:r w:rsidRPr="002D58FE">
        <w:rPr>
          <w:rFonts w:ascii="Arial" w:hAnsi="Arial" w:cs="Arial"/>
          <w:sz w:val="20"/>
          <w:szCs w:val="20"/>
        </w:rPr>
        <w:t>:</w:t>
      </w:r>
      <w:r w:rsidRPr="002D58FE">
        <w:rPr>
          <w:rFonts w:ascii="Arial" w:hAnsi="Arial" w:cs="Arial"/>
          <w:sz w:val="20"/>
          <w:szCs w:val="20"/>
        </w:rPr>
        <w:tab/>
      </w:r>
      <w:r w:rsidR="00232C16" w:rsidRPr="00232C16">
        <w:rPr>
          <w:rFonts w:ascii="Arial" w:hAnsi="Arial" w:cs="Arial"/>
          <w:sz w:val="20"/>
          <w:szCs w:val="20"/>
          <w:u w:val="dotted"/>
        </w:rPr>
        <w:t>Residual current operated circuit-breakers without integral overcurrent protection for household and similar uses (RCCBs) - Part1: General rules</w:t>
      </w:r>
      <w:r w:rsidR="00232C16">
        <w:rPr>
          <w:rFonts w:ascii="Arial" w:hAnsi="Arial" w:cs="Arial"/>
          <w:sz w:val="20"/>
          <w:szCs w:val="20"/>
          <w:u w:val="dotted"/>
        </w:rPr>
        <w:t xml:space="preserve">, </w:t>
      </w:r>
      <w:r w:rsidRPr="002D58FE">
        <w:rPr>
          <w:rFonts w:ascii="Arial" w:hAnsi="Arial" w:cs="Arial"/>
          <w:sz w:val="20"/>
          <w:szCs w:val="20"/>
          <w:shd w:val="clear" w:color="auto" w:fill="FFFFFF"/>
        </w:rPr>
        <w:t>First Edition</w:t>
      </w:r>
    </w:p>
    <w:p w14:paraId="20834CA5" w14:textId="77777777" w:rsidR="00232C16" w:rsidRDefault="006373BA" w:rsidP="00232C16">
      <w:pPr>
        <w:tabs>
          <w:tab w:val="right" w:leader="dot" w:pos="9000"/>
        </w:tabs>
        <w:autoSpaceDE w:val="0"/>
        <w:autoSpaceDN w:val="0"/>
        <w:adjustRightInd w:val="0"/>
        <w:ind w:left="360"/>
      </w:pPr>
      <w:r w:rsidRPr="00EE47D3">
        <w:rPr>
          <w:rFonts w:ascii="Arial" w:hAnsi="Arial" w:cs="Arial"/>
          <w:b/>
          <w:sz w:val="20"/>
          <w:szCs w:val="20"/>
        </w:rPr>
        <w:t>Scope</w:t>
      </w:r>
      <w:r w:rsidR="00232C16" w:rsidRPr="00232C16">
        <w:t xml:space="preserve"> </w:t>
      </w:r>
      <w:r w:rsidR="00232C16">
        <w:t xml:space="preserve">IEC 61008-1:2010+A1:2012+A2:2013 applies to residual current operated circuit-breakers functionally independent of, or functionally dependent on, line voltage, for household and similar uses, not incorporating overcurrent protection (hereafter referred to as RCCBs), for rated voltages not exceeding 440 V </w:t>
      </w:r>
      <w:proofErr w:type="spellStart"/>
      <w:r w:rsidR="00232C16">
        <w:t>a.c.</w:t>
      </w:r>
      <w:proofErr w:type="spellEnd"/>
      <w:r w:rsidR="00232C16">
        <w:t xml:space="preserve"> with rated frequencies of 50 Hz, 60 Hz or 50/60 Hz and rated currents not exceeding 125 A, intended principally for protection against shock hazard. This third edition cancels and replaces the second edition published in 1996, amendment 1 (2002) and amendment 2 (2006). This edition constitutes a technical revision. This edition includes the following significant technical changes with respect to the previous edition:</w:t>
      </w:r>
    </w:p>
    <w:p w14:paraId="68202C55" w14:textId="77777777" w:rsidR="00232C16" w:rsidRDefault="00232C16" w:rsidP="00232C16">
      <w:pPr>
        <w:tabs>
          <w:tab w:val="right" w:leader="dot" w:pos="9000"/>
        </w:tabs>
        <w:autoSpaceDE w:val="0"/>
        <w:autoSpaceDN w:val="0"/>
        <w:adjustRightInd w:val="0"/>
        <w:ind w:left="360"/>
      </w:pPr>
      <w:r>
        <w:t xml:space="preserve">- complete revision of EMC sequences, including the new test T.2.6 already approved in IEC </w:t>
      </w:r>
      <w:proofErr w:type="gramStart"/>
      <w:r>
        <w:t>61543;</w:t>
      </w:r>
      <w:proofErr w:type="gramEnd"/>
    </w:p>
    <w:p w14:paraId="3551A347" w14:textId="77777777" w:rsidR="00232C16" w:rsidRDefault="00232C16" w:rsidP="00232C16">
      <w:pPr>
        <w:tabs>
          <w:tab w:val="right" w:leader="dot" w:pos="9000"/>
        </w:tabs>
        <w:autoSpaceDE w:val="0"/>
        <w:autoSpaceDN w:val="0"/>
        <w:adjustRightInd w:val="0"/>
        <w:ind w:left="360"/>
      </w:pPr>
      <w:r>
        <w:t xml:space="preserve">- clarification of RCDs current/time characteristics reported in Tables 1 and </w:t>
      </w:r>
      <w:proofErr w:type="gramStart"/>
      <w:r>
        <w:t>2;</w:t>
      </w:r>
      <w:proofErr w:type="gramEnd"/>
    </w:p>
    <w:p w14:paraId="17F1B1F0" w14:textId="77777777" w:rsidR="00232C16" w:rsidRDefault="00232C16" w:rsidP="00232C16">
      <w:pPr>
        <w:tabs>
          <w:tab w:val="right" w:leader="dot" w:pos="9000"/>
        </w:tabs>
        <w:autoSpaceDE w:val="0"/>
        <w:autoSpaceDN w:val="0"/>
        <w:adjustRightInd w:val="0"/>
        <w:ind w:left="360"/>
      </w:pPr>
      <w:r>
        <w:t xml:space="preserve">- revision of test procedure for </w:t>
      </w:r>
      <w:proofErr w:type="spellStart"/>
      <w:r>
        <w:t>IΔn</w:t>
      </w:r>
      <w:proofErr w:type="spellEnd"/>
      <w:r>
        <w:t xml:space="preserve"> between 5 A and 200 </w:t>
      </w:r>
      <w:proofErr w:type="gramStart"/>
      <w:r>
        <w:t>A;</w:t>
      </w:r>
      <w:proofErr w:type="gramEnd"/>
    </w:p>
    <w:p w14:paraId="2E44012E" w14:textId="77777777" w:rsidR="00232C16" w:rsidRDefault="00232C16" w:rsidP="00232C16">
      <w:pPr>
        <w:tabs>
          <w:tab w:val="right" w:leader="dot" w:pos="9000"/>
        </w:tabs>
        <w:autoSpaceDE w:val="0"/>
        <w:autoSpaceDN w:val="0"/>
        <w:adjustRightInd w:val="0"/>
        <w:ind w:left="360"/>
      </w:pPr>
      <w:r>
        <w:t xml:space="preserve">- testing procedure regarding the 6mA </w:t>
      </w:r>
      <w:proofErr w:type="spellStart"/>
      <w:r>
        <w:t>d.c.</w:t>
      </w:r>
      <w:proofErr w:type="spellEnd"/>
      <w:r>
        <w:t xml:space="preserve"> current superimposed to the fault </w:t>
      </w:r>
      <w:proofErr w:type="gramStart"/>
      <w:r>
        <w:t>current;</w:t>
      </w:r>
      <w:proofErr w:type="gramEnd"/>
    </w:p>
    <w:p w14:paraId="01EE1602" w14:textId="77777777" w:rsidR="00232C16" w:rsidRDefault="00232C16" w:rsidP="00232C16">
      <w:pPr>
        <w:tabs>
          <w:tab w:val="right" w:leader="dot" w:pos="9000"/>
        </w:tabs>
        <w:autoSpaceDE w:val="0"/>
        <w:autoSpaceDN w:val="0"/>
        <w:adjustRightInd w:val="0"/>
        <w:ind w:left="360"/>
      </w:pPr>
      <w:r>
        <w:t xml:space="preserve">- improvement highlighting RCDs with multiple </w:t>
      </w:r>
      <w:proofErr w:type="gramStart"/>
      <w:r>
        <w:t>sensitivity;</w:t>
      </w:r>
      <w:proofErr w:type="gramEnd"/>
    </w:p>
    <w:p w14:paraId="25CF0B77" w14:textId="77777777" w:rsidR="00232C16" w:rsidRDefault="00232C16" w:rsidP="00232C16">
      <w:pPr>
        <w:tabs>
          <w:tab w:val="right" w:leader="dot" w:pos="9000"/>
        </w:tabs>
        <w:autoSpaceDE w:val="0"/>
        <w:autoSpaceDN w:val="0"/>
        <w:adjustRightInd w:val="0"/>
        <w:ind w:left="360"/>
      </w:pPr>
      <w:r>
        <w:t>- tests for the use of RCCBs in IT systems.</w:t>
      </w:r>
    </w:p>
    <w:p w14:paraId="5F3BEBD5" w14:textId="77777777" w:rsidR="00232C16" w:rsidRDefault="00232C16" w:rsidP="00232C16">
      <w:pPr>
        <w:tabs>
          <w:tab w:val="right" w:leader="dot" w:pos="9000"/>
        </w:tabs>
        <w:autoSpaceDE w:val="0"/>
        <w:autoSpaceDN w:val="0"/>
        <w:adjustRightInd w:val="0"/>
        <w:ind w:left="360"/>
      </w:pPr>
      <w:r>
        <w:t>This consolidated version consists of the third edition (2010), its amendment 1 (2012), its amendment 2 (2013) and the corrigendum of January 2014. Therefore, no need to order amendments in addition to this publication.</w:t>
      </w:r>
    </w:p>
    <w:p w14:paraId="2645006B" w14:textId="7B9FFCA0" w:rsidR="009A769C" w:rsidRDefault="00B02A45" w:rsidP="006373BA">
      <w:pPr>
        <w:tabs>
          <w:tab w:val="right" w:leader="dot" w:pos="9000"/>
        </w:tabs>
        <w:autoSpaceDE w:val="0"/>
        <w:autoSpaceDN w:val="0"/>
        <w:adjustRightInd w:val="0"/>
        <w:ind w:left="360"/>
      </w:pPr>
      <w:hyperlink r:id="rId21" w:history="1">
        <w:r w:rsidR="00232C16" w:rsidRPr="001037D4">
          <w:rPr>
            <w:rStyle w:val="Hyperlink"/>
          </w:rPr>
          <w:t>https://webstore.iec.ch/publication/4264</w:t>
        </w:r>
      </w:hyperlink>
    </w:p>
    <w:p w14:paraId="469FE821" w14:textId="77777777" w:rsidR="00232C16" w:rsidRDefault="00232C16" w:rsidP="006373BA">
      <w:pPr>
        <w:tabs>
          <w:tab w:val="right" w:leader="dot" w:pos="9000"/>
        </w:tabs>
        <w:autoSpaceDE w:val="0"/>
        <w:autoSpaceDN w:val="0"/>
        <w:adjustRightInd w:val="0"/>
        <w:ind w:left="360"/>
      </w:pPr>
    </w:p>
    <w:p w14:paraId="7723624F" w14:textId="7F5FC895" w:rsidR="00F84510" w:rsidRPr="0071045E" w:rsidRDefault="00F84510"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232C16" w:rsidRPr="00232C16">
        <w:rPr>
          <w:rFonts w:ascii="Arial" w:hAnsi="Arial" w:cs="Arial"/>
          <w:sz w:val="20"/>
          <w:szCs w:val="20"/>
          <w:u w:val="dotted"/>
        </w:rPr>
        <w:t>IEC 60898-3:2019</w:t>
      </w:r>
    </w:p>
    <w:p w14:paraId="237F5E65" w14:textId="0218C824" w:rsidR="00F84510" w:rsidRPr="006373BA" w:rsidRDefault="00F84510" w:rsidP="00F84510">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232C16" w:rsidRPr="00232C16">
        <w:rPr>
          <w:rFonts w:ascii="Arial" w:hAnsi="Arial" w:cs="Arial"/>
          <w:sz w:val="20"/>
          <w:szCs w:val="20"/>
          <w:u w:val="dotted"/>
        </w:rPr>
        <w:t>Electrical accessories - Circuit-breakers for overcurrent protection for household and similar installations - Part 3: Circuit-breakers for DC operation</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69C6A3AA" w14:textId="77777777" w:rsidR="00232C16" w:rsidRDefault="00F84510" w:rsidP="00232C16">
      <w:pPr>
        <w:tabs>
          <w:tab w:val="right" w:leader="dot" w:pos="9000"/>
        </w:tabs>
        <w:autoSpaceDE w:val="0"/>
        <w:autoSpaceDN w:val="0"/>
        <w:adjustRightInd w:val="0"/>
        <w:ind w:left="360"/>
      </w:pPr>
      <w:r w:rsidRPr="00EE47D3">
        <w:rPr>
          <w:rFonts w:ascii="Arial" w:hAnsi="Arial" w:cs="Arial"/>
          <w:b/>
          <w:sz w:val="20"/>
          <w:szCs w:val="20"/>
        </w:rPr>
        <w:lastRenderedPageBreak/>
        <w:t>Scope</w:t>
      </w:r>
      <w:r w:rsidRPr="00EE47D3">
        <w:rPr>
          <w:rFonts w:ascii="Arial" w:hAnsi="Arial" w:cs="Arial"/>
          <w:sz w:val="20"/>
          <w:szCs w:val="20"/>
        </w:rPr>
        <w:t xml:space="preserve">: </w:t>
      </w:r>
      <w:r w:rsidR="00232C16">
        <w:t>IEC 60898-3:2019(E) applies to DC circuit-breakers, having a rated DC voltage not exceeding 440 V, a rated current not exceeding 125 A and a rated short-circuit capacity not exceeding 10 000 A.</w:t>
      </w:r>
    </w:p>
    <w:p w14:paraId="6B55A7B3" w14:textId="77777777" w:rsidR="00232C16" w:rsidRDefault="00232C16" w:rsidP="00232C16">
      <w:pPr>
        <w:tabs>
          <w:tab w:val="right" w:leader="dot" w:pos="9000"/>
        </w:tabs>
        <w:autoSpaceDE w:val="0"/>
        <w:autoSpaceDN w:val="0"/>
        <w:adjustRightInd w:val="0"/>
        <w:ind w:left="360"/>
      </w:pPr>
      <w:r>
        <w:t xml:space="preserve">These circuit-breakers are intended for the protection against </w:t>
      </w:r>
      <w:proofErr w:type="spellStart"/>
      <w:r>
        <w:t>overcurrents</w:t>
      </w:r>
      <w:proofErr w:type="spellEnd"/>
      <w:r>
        <w:t xml:space="preserve"> of wiring installations of buildings and similar applications; they are designed for use by uninstructed people and for not being maintained.</w:t>
      </w:r>
    </w:p>
    <w:p w14:paraId="74DF1726" w14:textId="189D4612" w:rsidR="004D328C" w:rsidRDefault="00B02A45" w:rsidP="006373BA">
      <w:pPr>
        <w:tabs>
          <w:tab w:val="right" w:leader="dot" w:pos="9000"/>
        </w:tabs>
        <w:autoSpaceDE w:val="0"/>
        <w:autoSpaceDN w:val="0"/>
        <w:adjustRightInd w:val="0"/>
        <w:ind w:left="360"/>
      </w:pPr>
      <w:hyperlink r:id="rId22" w:history="1">
        <w:r w:rsidR="00232C16" w:rsidRPr="001037D4">
          <w:rPr>
            <w:rStyle w:val="Hyperlink"/>
          </w:rPr>
          <w:t>https://webstore.iec.ch/publication/27206</w:t>
        </w:r>
      </w:hyperlink>
    </w:p>
    <w:p w14:paraId="62172CFF" w14:textId="77777777" w:rsidR="00232C16" w:rsidRDefault="00232C16" w:rsidP="006373BA">
      <w:pPr>
        <w:tabs>
          <w:tab w:val="right" w:leader="dot" w:pos="9000"/>
        </w:tabs>
        <w:autoSpaceDE w:val="0"/>
        <w:autoSpaceDN w:val="0"/>
        <w:adjustRightInd w:val="0"/>
        <w:ind w:left="360"/>
      </w:pPr>
    </w:p>
    <w:p w14:paraId="1126EC7C" w14:textId="4375C212" w:rsidR="004D328C" w:rsidRPr="0071045E" w:rsidRDefault="004D328C"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232C16" w:rsidRPr="00232C16">
        <w:rPr>
          <w:rFonts w:ascii="Arial" w:hAnsi="Arial" w:cs="Arial"/>
          <w:sz w:val="20"/>
          <w:szCs w:val="20"/>
          <w:u w:val="dotted"/>
        </w:rPr>
        <w:t>IEC 61009-1</w:t>
      </w:r>
      <w:r w:rsidRPr="00F84510">
        <w:rPr>
          <w:rFonts w:ascii="Arial" w:hAnsi="Arial" w:cs="Arial"/>
          <w:sz w:val="20"/>
          <w:szCs w:val="20"/>
          <w:u w:val="dotted"/>
        </w:rPr>
        <w:t>:201</w:t>
      </w:r>
      <w:r w:rsidR="00232C16">
        <w:rPr>
          <w:rFonts w:ascii="Arial" w:hAnsi="Arial" w:cs="Arial"/>
          <w:sz w:val="20"/>
          <w:szCs w:val="20"/>
          <w:u w:val="dotted"/>
        </w:rPr>
        <w:t>3</w:t>
      </w:r>
    </w:p>
    <w:p w14:paraId="1D4B0221" w14:textId="69DB647C" w:rsidR="004D328C" w:rsidRPr="006373BA" w:rsidRDefault="004D328C" w:rsidP="004D328C">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B74746" w:rsidRPr="00B74746">
        <w:rPr>
          <w:rFonts w:ascii="Arial" w:hAnsi="Arial" w:cs="Arial"/>
          <w:sz w:val="20"/>
          <w:szCs w:val="20"/>
          <w:u w:val="dotted"/>
        </w:rPr>
        <w:t xml:space="preserve">Residual current operated circuit-breakers with integral </w:t>
      </w:r>
      <w:proofErr w:type="spellStart"/>
      <w:r w:rsidR="00B74746" w:rsidRPr="00B74746">
        <w:rPr>
          <w:rFonts w:ascii="Arial" w:hAnsi="Arial" w:cs="Arial"/>
          <w:sz w:val="20"/>
          <w:szCs w:val="20"/>
          <w:u w:val="dotted"/>
        </w:rPr>
        <w:t>overcurrentprotection</w:t>
      </w:r>
      <w:proofErr w:type="spellEnd"/>
      <w:r w:rsidR="00B74746" w:rsidRPr="00B74746">
        <w:rPr>
          <w:rFonts w:ascii="Arial" w:hAnsi="Arial" w:cs="Arial"/>
          <w:sz w:val="20"/>
          <w:szCs w:val="20"/>
          <w:u w:val="dotted"/>
        </w:rPr>
        <w:t xml:space="preserve"> for household and similar uses (RCBOs) - Part 1: General rules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8A39ACF" w14:textId="77777777" w:rsidR="00B74746" w:rsidRDefault="004D328C" w:rsidP="00B74746">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B74746">
        <w:t xml:space="preserve">IEC 61009-1:2010+A1:2012+A2:2013 applies to residual current operated circuit breakers with integral overcurrent protection functionally independent of, or functionally dependent on, line voltage for household and similar uses (hereafter referred to as RCBOs), for rated voltages not exceeding 440 V </w:t>
      </w:r>
      <w:proofErr w:type="spellStart"/>
      <w:r w:rsidR="00B74746">
        <w:t>a.c.</w:t>
      </w:r>
      <w:proofErr w:type="spellEnd"/>
      <w:r w:rsidR="00B74746">
        <w:t xml:space="preserve"> with rated frequencies of 50 Hz, 60 Hz or 50/60 Hz and rated currents not exceeding 125 A and rated short circuit capacities not exceeding 25 000 A for operation at 50 Hz or 60 Hz. This third edition cancels and replaces the second edition, published in 1996, amendment 1 (2002) and amendment 2 (2006). It constitutes a technical revision. This edition includes the following significant technical changes with respect to the previous edition:</w:t>
      </w:r>
    </w:p>
    <w:p w14:paraId="4776CDF7" w14:textId="77777777" w:rsidR="00B74746" w:rsidRDefault="00B74746" w:rsidP="00B74746">
      <w:pPr>
        <w:tabs>
          <w:tab w:val="right" w:leader="dot" w:pos="9000"/>
        </w:tabs>
        <w:autoSpaceDE w:val="0"/>
        <w:autoSpaceDN w:val="0"/>
        <w:adjustRightInd w:val="0"/>
        <w:ind w:left="360"/>
      </w:pPr>
      <w:r>
        <w:t xml:space="preserve">- complete revision of EMC sequences, including the new test T.2.6, already approved in IEC </w:t>
      </w:r>
      <w:proofErr w:type="gramStart"/>
      <w:r>
        <w:t>61543;</w:t>
      </w:r>
      <w:proofErr w:type="gramEnd"/>
    </w:p>
    <w:p w14:paraId="33C8639C" w14:textId="77777777" w:rsidR="00B74746" w:rsidRDefault="00B74746" w:rsidP="00B74746">
      <w:pPr>
        <w:tabs>
          <w:tab w:val="right" w:leader="dot" w:pos="9000"/>
        </w:tabs>
        <w:autoSpaceDE w:val="0"/>
        <w:autoSpaceDN w:val="0"/>
        <w:adjustRightInd w:val="0"/>
        <w:ind w:left="360"/>
      </w:pPr>
      <w:r>
        <w:t xml:space="preserve">- clarification of RCDs current/time characteristics reported in Tables 2 and </w:t>
      </w:r>
      <w:proofErr w:type="gramStart"/>
      <w:r>
        <w:t>3;</w:t>
      </w:r>
      <w:proofErr w:type="gramEnd"/>
    </w:p>
    <w:p w14:paraId="29A21A36" w14:textId="77777777" w:rsidR="00B74746" w:rsidRDefault="00B74746" w:rsidP="00B74746">
      <w:pPr>
        <w:tabs>
          <w:tab w:val="right" w:leader="dot" w:pos="9000"/>
        </w:tabs>
        <w:autoSpaceDE w:val="0"/>
        <w:autoSpaceDN w:val="0"/>
        <w:adjustRightInd w:val="0"/>
        <w:ind w:left="360"/>
      </w:pPr>
      <w:r>
        <w:t xml:space="preserve">- revision of test procedure for </w:t>
      </w:r>
      <w:proofErr w:type="spellStart"/>
      <w:r>
        <w:t>IΔn</w:t>
      </w:r>
      <w:proofErr w:type="spellEnd"/>
      <w:r>
        <w:t xml:space="preserve"> between 5 A and 200 </w:t>
      </w:r>
      <w:proofErr w:type="gramStart"/>
      <w:r>
        <w:t>A;</w:t>
      </w:r>
      <w:proofErr w:type="gramEnd"/>
    </w:p>
    <w:p w14:paraId="4AD4487B" w14:textId="77777777" w:rsidR="00B74746" w:rsidRDefault="00B74746" w:rsidP="00B74746">
      <w:pPr>
        <w:tabs>
          <w:tab w:val="right" w:leader="dot" w:pos="9000"/>
        </w:tabs>
        <w:autoSpaceDE w:val="0"/>
        <w:autoSpaceDN w:val="0"/>
        <w:adjustRightInd w:val="0"/>
        <w:ind w:left="360"/>
      </w:pPr>
      <w:r>
        <w:t xml:space="preserve">- tests for the use of RCBOs in IT </w:t>
      </w:r>
      <w:proofErr w:type="gramStart"/>
      <w:r>
        <w:t>systems;</w:t>
      </w:r>
      <w:proofErr w:type="gramEnd"/>
    </w:p>
    <w:p w14:paraId="4CED7FBC" w14:textId="77777777" w:rsidR="00B74746" w:rsidRDefault="00B74746" w:rsidP="00B74746">
      <w:pPr>
        <w:tabs>
          <w:tab w:val="right" w:leader="dot" w:pos="9000"/>
        </w:tabs>
        <w:autoSpaceDE w:val="0"/>
        <w:autoSpaceDN w:val="0"/>
        <w:adjustRightInd w:val="0"/>
        <w:ind w:left="360"/>
      </w:pPr>
      <w:r>
        <w:t xml:space="preserve">- testing procedure regarding the 6mA </w:t>
      </w:r>
      <w:proofErr w:type="spellStart"/>
      <w:r>
        <w:t>d.c.</w:t>
      </w:r>
      <w:proofErr w:type="spellEnd"/>
      <w:r>
        <w:t xml:space="preserve"> current superimposed to the fault </w:t>
      </w:r>
      <w:proofErr w:type="gramStart"/>
      <w:r>
        <w:t>current;</w:t>
      </w:r>
      <w:proofErr w:type="gramEnd"/>
    </w:p>
    <w:p w14:paraId="4E4A1C19" w14:textId="77777777" w:rsidR="00B74746" w:rsidRDefault="00B74746" w:rsidP="00B74746">
      <w:pPr>
        <w:tabs>
          <w:tab w:val="right" w:leader="dot" w:pos="9000"/>
        </w:tabs>
        <w:autoSpaceDE w:val="0"/>
        <w:autoSpaceDN w:val="0"/>
        <w:adjustRightInd w:val="0"/>
        <w:ind w:left="360"/>
      </w:pPr>
      <w:r>
        <w:t xml:space="preserve">- improvement highlighting RCDs with multiple </w:t>
      </w:r>
      <w:proofErr w:type="gramStart"/>
      <w:r>
        <w:t>sensitivity;</w:t>
      </w:r>
      <w:proofErr w:type="gramEnd"/>
    </w:p>
    <w:p w14:paraId="1BBDDE01" w14:textId="77777777" w:rsidR="00B74746" w:rsidRDefault="00B74746" w:rsidP="00B74746">
      <w:pPr>
        <w:tabs>
          <w:tab w:val="right" w:leader="dot" w:pos="9000"/>
        </w:tabs>
        <w:autoSpaceDE w:val="0"/>
        <w:autoSpaceDN w:val="0"/>
        <w:adjustRightInd w:val="0"/>
        <w:ind w:left="360"/>
      </w:pPr>
      <w:r>
        <w:t>- some alignments with IEC 60898-1.</w:t>
      </w:r>
    </w:p>
    <w:p w14:paraId="238CD38E" w14:textId="6580BBAE" w:rsidR="006373BA" w:rsidRDefault="00B02A45" w:rsidP="006373BA">
      <w:pPr>
        <w:tabs>
          <w:tab w:val="right" w:leader="dot" w:pos="9000"/>
        </w:tabs>
        <w:autoSpaceDE w:val="0"/>
        <w:autoSpaceDN w:val="0"/>
        <w:adjustRightInd w:val="0"/>
        <w:ind w:left="360"/>
      </w:pPr>
      <w:hyperlink r:id="rId23" w:history="1">
        <w:r w:rsidR="00B74746" w:rsidRPr="001037D4">
          <w:rPr>
            <w:rStyle w:val="Hyperlink"/>
          </w:rPr>
          <w:t>https://webstore.iec.ch/publication/4273</w:t>
        </w:r>
      </w:hyperlink>
    </w:p>
    <w:p w14:paraId="45AF8939" w14:textId="77777777" w:rsidR="00B74746" w:rsidRDefault="00B74746" w:rsidP="006373BA">
      <w:pPr>
        <w:tabs>
          <w:tab w:val="right" w:leader="dot" w:pos="9000"/>
        </w:tabs>
        <w:autoSpaceDE w:val="0"/>
        <w:autoSpaceDN w:val="0"/>
        <w:adjustRightInd w:val="0"/>
        <w:ind w:left="360"/>
      </w:pPr>
    </w:p>
    <w:p w14:paraId="5D787E29" w14:textId="09E1FCEF" w:rsidR="004D328C" w:rsidRPr="0071045E" w:rsidRDefault="004D328C" w:rsidP="00724286">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00B74746" w:rsidRPr="00B74746">
        <w:rPr>
          <w:rFonts w:ascii="Arial" w:hAnsi="Arial" w:cs="Arial"/>
          <w:sz w:val="20"/>
          <w:szCs w:val="20"/>
          <w:u w:val="dotted"/>
        </w:rPr>
        <w:t>IEC 61009-2-1:1991</w:t>
      </w:r>
    </w:p>
    <w:p w14:paraId="728CDE95" w14:textId="32872973" w:rsidR="004D328C" w:rsidRPr="006373BA" w:rsidRDefault="004D328C" w:rsidP="004D328C">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00B74746" w:rsidRPr="00B74746">
        <w:rPr>
          <w:rFonts w:ascii="Arial" w:hAnsi="Arial" w:cs="Arial"/>
          <w:sz w:val="20"/>
          <w:szCs w:val="20"/>
          <w:u w:val="dotted"/>
        </w:rPr>
        <w:t>Residual current operated circuit-breakers with integral overcurrent protection for household and similar uses (RCBO's) - Part 2-1: Applicability of the general rules to RCBO's functionally independent of line voltage</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2143E55A" w14:textId="580C7041" w:rsidR="004D328C" w:rsidRDefault="004D328C" w:rsidP="004D328C">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rsidR="0055707B">
        <w:t>This Part of IEC 61009 supplements or modifies the corresponding clauses in IEC 1009-1 to cover its applicability to RCBO's functionally independent of line voltage.</w:t>
      </w:r>
    </w:p>
    <w:p w14:paraId="5C52544A" w14:textId="02CC4DEE" w:rsidR="004D328C" w:rsidRDefault="00B02A45" w:rsidP="006373BA">
      <w:pPr>
        <w:tabs>
          <w:tab w:val="right" w:leader="dot" w:pos="9000"/>
        </w:tabs>
        <w:autoSpaceDE w:val="0"/>
        <w:autoSpaceDN w:val="0"/>
        <w:adjustRightInd w:val="0"/>
        <w:ind w:left="360"/>
      </w:pPr>
      <w:hyperlink r:id="rId24" w:history="1">
        <w:r w:rsidR="0055707B" w:rsidRPr="001037D4">
          <w:rPr>
            <w:rStyle w:val="Hyperlink"/>
          </w:rPr>
          <w:t>https://webstore.iec.ch/publication/4274</w:t>
        </w:r>
      </w:hyperlink>
    </w:p>
    <w:p w14:paraId="72D665B2" w14:textId="26084D63" w:rsidR="0055707B" w:rsidRDefault="0055707B" w:rsidP="006373BA">
      <w:pPr>
        <w:tabs>
          <w:tab w:val="right" w:leader="dot" w:pos="9000"/>
        </w:tabs>
        <w:autoSpaceDE w:val="0"/>
        <w:autoSpaceDN w:val="0"/>
        <w:adjustRightInd w:val="0"/>
        <w:ind w:left="360"/>
      </w:pPr>
    </w:p>
    <w:p w14:paraId="7D449E87" w14:textId="00D99387" w:rsidR="0055707B" w:rsidRPr="0071045E" w:rsidRDefault="0055707B" w:rsidP="0055707B">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55707B">
        <w:rPr>
          <w:rFonts w:ascii="Arial" w:hAnsi="Arial" w:cs="Arial"/>
          <w:sz w:val="20"/>
          <w:szCs w:val="20"/>
          <w:u w:val="dotted"/>
        </w:rPr>
        <w:t>IEC 61009-2-2:1991</w:t>
      </w:r>
    </w:p>
    <w:p w14:paraId="4C8290C3" w14:textId="3CE3AAD4" w:rsidR="0055707B" w:rsidRPr="006373BA" w:rsidRDefault="0055707B" w:rsidP="0055707B">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55707B">
        <w:rPr>
          <w:rFonts w:ascii="Arial" w:hAnsi="Arial" w:cs="Arial"/>
          <w:sz w:val="20"/>
          <w:szCs w:val="20"/>
          <w:u w:val="dotted"/>
        </w:rPr>
        <w:t xml:space="preserve">Residual current operated circuit-breakers with integral overcurrent protection for household and similar uses (RCBO's) - Part 2-2: Applicability of the general rules to RCBO's functionally dependent </w:t>
      </w:r>
      <w:proofErr w:type="gramStart"/>
      <w:r w:rsidRPr="0055707B">
        <w:rPr>
          <w:rFonts w:ascii="Arial" w:hAnsi="Arial" w:cs="Arial"/>
          <w:sz w:val="20"/>
          <w:szCs w:val="20"/>
          <w:u w:val="dotted"/>
        </w:rPr>
        <w:t>on line</w:t>
      </w:r>
      <w:proofErr w:type="gramEnd"/>
      <w:r w:rsidRPr="0055707B">
        <w:rPr>
          <w:rFonts w:ascii="Arial" w:hAnsi="Arial" w:cs="Arial"/>
          <w:sz w:val="20"/>
          <w:szCs w:val="20"/>
          <w:u w:val="dotted"/>
        </w:rPr>
        <w:t xml:space="preserve"> voltage</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7F85C16" w14:textId="7892BAF1" w:rsidR="0055707B" w:rsidRDefault="0055707B" w:rsidP="0055707B">
      <w:pPr>
        <w:tabs>
          <w:tab w:val="right" w:leader="dot" w:pos="9000"/>
        </w:tabs>
        <w:autoSpaceDE w:val="0"/>
        <w:autoSpaceDN w:val="0"/>
        <w:adjustRightInd w:val="0"/>
        <w:ind w:left="360"/>
      </w:pPr>
      <w:r w:rsidRPr="00EE47D3">
        <w:rPr>
          <w:rFonts w:ascii="Arial" w:hAnsi="Arial" w:cs="Arial"/>
          <w:b/>
          <w:sz w:val="20"/>
          <w:szCs w:val="20"/>
        </w:rPr>
        <w:lastRenderedPageBreak/>
        <w:t>Scope</w:t>
      </w:r>
      <w:r w:rsidRPr="00EE47D3">
        <w:rPr>
          <w:rFonts w:ascii="Arial" w:hAnsi="Arial" w:cs="Arial"/>
          <w:sz w:val="20"/>
          <w:szCs w:val="20"/>
        </w:rPr>
        <w:t xml:space="preserve">: </w:t>
      </w:r>
      <w:r>
        <w:t xml:space="preserve">This part of IEC 61009 supplements or modifies the corresponding clauses in IEC 61009-1 to cover its applicability to RCBO's functionally dependent </w:t>
      </w:r>
      <w:proofErr w:type="gramStart"/>
      <w:r>
        <w:t>on line</w:t>
      </w:r>
      <w:proofErr w:type="gramEnd"/>
      <w:r>
        <w:t xml:space="preserve"> voltage.</w:t>
      </w:r>
    </w:p>
    <w:p w14:paraId="278D92C7" w14:textId="6D4D4689" w:rsidR="0055707B" w:rsidRDefault="00B02A45" w:rsidP="006373BA">
      <w:pPr>
        <w:tabs>
          <w:tab w:val="right" w:leader="dot" w:pos="9000"/>
        </w:tabs>
        <w:autoSpaceDE w:val="0"/>
        <w:autoSpaceDN w:val="0"/>
        <w:adjustRightInd w:val="0"/>
        <w:ind w:left="360"/>
      </w:pPr>
      <w:hyperlink r:id="rId25" w:history="1">
        <w:r w:rsidR="0055707B" w:rsidRPr="001037D4">
          <w:rPr>
            <w:rStyle w:val="Hyperlink"/>
          </w:rPr>
          <w:t>https://webstore.iec.ch/publication/4275</w:t>
        </w:r>
      </w:hyperlink>
    </w:p>
    <w:p w14:paraId="4897DB86" w14:textId="04CD70EF" w:rsidR="0055707B" w:rsidRDefault="0055707B" w:rsidP="006373BA">
      <w:pPr>
        <w:tabs>
          <w:tab w:val="right" w:leader="dot" w:pos="9000"/>
        </w:tabs>
        <w:autoSpaceDE w:val="0"/>
        <w:autoSpaceDN w:val="0"/>
        <w:adjustRightInd w:val="0"/>
        <w:ind w:left="360"/>
      </w:pPr>
    </w:p>
    <w:p w14:paraId="31DCCDAB" w14:textId="183B9984" w:rsidR="0055707B" w:rsidRPr="0071045E" w:rsidRDefault="0055707B" w:rsidP="0055707B">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55707B">
        <w:rPr>
          <w:rFonts w:ascii="Arial" w:hAnsi="Arial" w:cs="Arial"/>
          <w:sz w:val="20"/>
          <w:szCs w:val="20"/>
          <w:u w:val="dotted"/>
        </w:rPr>
        <w:t>IEC 63052:2019</w:t>
      </w:r>
    </w:p>
    <w:p w14:paraId="7ECAF521" w14:textId="1B831C31" w:rsidR="0055707B" w:rsidRPr="006373BA" w:rsidRDefault="0055707B" w:rsidP="0055707B">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55707B">
        <w:rPr>
          <w:rFonts w:ascii="Arial" w:hAnsi="Arial" w:cs="Arial"/>
          <w:sz w:val="20"/>
          <w:szCs w:val="20"/>
          <w:u w:val="dotted"/>
        </w:rPr>
        <w:t>Power frequency overvoltage protective devices (POPs) for household and similar applications</w:t>
      </w:r>
      <w:r>
        <w:rPr>
          <w:rFonts w:ascii="Arial" w:hAnsi="Arial" w:cs="Arial"/>
          <w:sz w:val="20"/>
          <w:szCs w:val="20"/>
          <w:u w:val="dotted"/>
        </w:rPr>
        <w:t xml:space="preserve">, </w:t>
      </w:r>
      <w:r w:rsidRPr="0071045E">
        <w:rPr>
          <w:rFonts w:ascii="Arial" w:hAnsi="Arial" w:cs="Arial"/>
          <w:sz w:val="20"/>
          <w:szCs w:val="20"/>
          <w:shd w:val="clear" w:color="auto" w:fill="FFFFFF"/>
        </w:rPr>
        <w:t>First Edition</w:t>
      </w:r>
    </w:p>
    <w:p w14:paraId="4B2AF54A" w14:textId="1116A73F" w:rsidR="0055707B" w:rsidRDefault="0055707B" w:rsidP="0055707B">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IEC 63052:2019 applies to devices for power frequency overvoltage protection (hereafter referred to as "POP") for household and similar uses, with a rated frequency of 50 Hz, 60 Hz or 50/60 Hz, with rated voltage not exceeding 230 V AC (between phase and neutral), and with rated current not exceeding 63 A, either consisting of a functional unit in combination with a main protective device (MPD), or as one single device having opening means able to open the protected circuit in specified conditions.</w:t>
      </w:r>
      <w:r>
        <w:br/>
        <w:t>The main protective device is a circuit-breaker, an RCCB or an RCBO.</w:t>
      </w:r>
      <w:r>
        <w:br/>
        <w:t>The contents of the corrigendum of November 2019 have been included in this copy.</w:t>
      </w:r>
    </w:p>
    <w:p w14:paraId="4A10ECED" w14:textId="415A0811" w:rsidR="0055707B" w:rsidRDefault="00B02A45" w:rsidP="0055707B">
      <w:pPr>
        <w:tabs>
          <w:tab w:val="right" w:leader="dot" w:pos="9000"/>
        </w:tabs>
        <w:autoSpaceDE w:val="0"/>
        <w:autoSpaceDN w:val="0"/>
        <w:adjustRightInd w:val="0"/>
        <w:ind w:left="360"/>
      </w:pPr>
      <w:hyperlink r:id="rId26" w:history="1">
        <w:r w:rsidR="0055707B" w:rsidRPr="001037D4">
          <w:rPr>
            <w:rStyle w:val="Hyperlink"/>
          </w:rPr>
          <w:t>https://webstore.iec.ch/publication/26395</w:t>
        </w:r>
      </w:hyperlink>
    </w:p>
    <w:p w14:paraId="35F452F6" w14:textId="791F7896" w:rsidR="008A3BD3" w:rsidRDefault="008A3BD3" w:rsidP="0055707B">
      <w:pPr>
        <w:tabs>
          <w:tab w:val="right" w:leader="dot" w:pos="9000"/>
        </w:tabs>
        <w:autoSpaceDE w:val="0"/>
        <w:autoSpaceDN w:val="0"/>
        <w:adjustRightInd w:val="0"/>
        <w:ind w:left="360"/>
      </w:pPr>
    </w:p>
    <w:p w14:paraId="17DE8F23" w14:textId="40633F8B" w:rsidR="008A3BD3" w:rsidRPr="0071045E" w:rsidRDefault="008A3BD3" w:rsidP="008A3BD3">
      <w:pPr>
        <w:numPr>
          <w:ilvl w:val="0"/>
          <w:numId w:val="1"/>
        </w:numPr>
        <w:autoSpaceDE w:val="0"/>
        <w:autoSpaceDN w:val="0"/>
        <w:adjustRightInd w:val="0"/>
        <w:ind w:left="900" w:hanging="540"/>
        <w:rPr>
          <w:rFonts w:ascii="Arial" w:hAnsi="Arial" w:cs="Arial"/>
          <w:sz w:val="20"/>
          <w:szCs w:val="20"/>
        </w:rPr>
      </w:pPr>
      <w:r w:rsidRPr="0071045E">
        <w:rPr>
          <w:rFonts w:ascii="Arial" w:hAnsi="Arial" w:cs="Arial"/>
          <w:b/>
          <w:sz w:val="20"/>
          <w:szCs w:val="20"/>
        </w:rPr>
        <w:t>Number</w:t>
      </w:r>
      <w:r w:rsidRPr="0071045E">
        <w:rPr>
          <w:rFonts w:ascii="Arial" w:hAnsi="Arial" w:cs="Arial"/>
          <w:sz w:val="20"/>
          <w:szCs w:val="20"/>
        </w:rPr>
        <w:t xml:space="preserve">: </w:t>
      </w:r>
      <w:r w:rsidRPr="008A3BD3">
        <w:rPr>
          <w:rFonts w:ascii="Arial" w:hAnsi="Arial" w:cs="Arial"/>
          <w:color w:val="FF0000"/>
          <w:sz w:val="20"/>
          <w:szCs w:val="20"/>
          <w:u w:val="dotted"/>
        </w:rPr>
        <w:t xml:space="preserve">IEC 60826:2017 </w:t>
      </w:r>
      <w:r w:rsidRPr="00E50228">
        <w:rPr>
          <w:rFonts w:ascii="Arial" w:hAnsi="Arial" w:cs="Arial"/>
          <w:sz w:val="20"/>
          <w:szCs w:val="20"/>
          <w:u w:val="dotted"/>
        </w:rPr>
        <w:t xml:space="preserve">to replace KS </w:t>
      </w:r>
      <w:r w:rsidRPr="00CE4853">
        <w:rPr>
          <w:rFonts w:ascii="Arial" w:hAnsi="Arial" w:cs="Arial"/>
          <w:sz w:val="20"/>
          <w:szCs w:val="20"/>
          <w:u w:val="dotted"/>
        </w:rPr>
        <w:t>IEC 61936-1:20</w:t>
      </w:r>
      <w:r>
        <w:rPr>
          <w:rFonts w:ascii="Arial" w:hAnsi="Arial" w:cs="Arial"/>
          <w:sz w:val="20"/>
          <w:szCs w:val="20"/>
          <w:u w:val="dotted"/>
        </w:rPr>
        <w:t>14</w:t>
      </w:r>
    </w:p>
    <w:p w14:paraId="50260230" w14:textId="04197730" w:rsidR="008A3BD3" w:rsidRPr="006373BA" w:rsidRDefault="008A3BD3" w:rsidP="008A3BD3">
      <w:pPr>
        <w:autoSpaceDE w:val="0"/>
        <w:autoSpaceDN w:val="0"/>
        <w:adjustRightInd w:val="0"/>
        <w:ind w:left="900"/>
        <w:rPr>
          <w:rFonts w:ascii="Arial" w:hAnsi="Arial" w:cs="Arial"/>
          <w:sz w:val="20"/>
          <w:szCs w:val="20"/>
          <w:shd w:val="clear" w:color="auto" w:fill="FFFFFF"/>
        </w:rPr>
      </w:pPr>
      <w:r w:rsidRPr="0071045E">
        <w:rPr>
          <w:rFonts w:ascii="Arial" w:hAnsi="Arial" w:cs="Arial"/>
          <w:b/>
          <w:sz w:val="20"/>
          <w:szCs w:val="20"/>
        </w:rPr>
        <w:t>Title</w:t>
      </w:r>
      <w:r w:rsidRPr="0071045E">
        <w:rPr>
          <w:rFonts w:ascii="Arial" w:hAnsi="Arial" w:cs="Arial"/>
          <w:sz w:val="20"/>
          <w:szCs w:val="20"/>
        </w:rPr>
        <w:t>:</w:t>
      </w:r>
      <w:r w:rsidRPr="0071045E">
        <w:rPr>
          <w:rFonts w:ascii="Arial" w:hAnsi="Arial" w:cs="Arial"/>
          <w:sz w:val="20"/>
          <w:szCs w:val="20"/>
        </w:rPr>
        <w:tab/>
      </w:r>
      <w:r w:rsidRPr="008A3BD3">
        <w:rPr>
          <w:rFonts w:ascii="Arial" w:hAnsi="Arial" w:cs="Arial"/>
          <w:sz w:val="20"/>
          <w:szCs w:val="20"/>
          <w:u w:val="dotted"/>
        </w:rPr>
        <w:t>Design criteria of overhead transmission lines</w:t>
      </w:r>
      <w:r>
        <w:rPr>
          <w:rFonts w:ascii="Arial" w:hAnsi="Arial" w:cs="Arial"/>
          <w:sz w:val="20"/>
          <w:szCs w:val="20"/>
          <w:u w:val="dotted"/>
        </w:rPr>
        <w:t xml:space="preserve">, </w:t>
      </w:r>
      <w:r>
        <w:rPr>
          <w:rFonts w:ascii="Arial" w:hAnsi="Arial" w:cs="Arial"/>
          <w:sz w:val="20"/>
          <w:szCs w:val="20"/>
          <w:shd w:val="clear" w:color="auto" w:fill="FFFFFF"/>
        </w:rPr>
        <w:t>Second</w:t>
      </w:r>
      <w:r w:rsidRPr="0071045E">
        <w:rPr>
          <w:rFonts w:ascii="Arial" w:hAnsi="Arial" w:cs="Arial"/>
          <w:sz w:val="20"/>
          <w:szCs w:val="20"/>
          <w:shd w:val="clear" w:color="auto" w:fill="FFFFFF"/>
        </w:rPr>
        <w:t xml:space="preserve"> Edition</w:t>
      </w:r>
    </w:p>
    <w:p w14:paraId="5D2EC86C" w14:textId="0C786A38" w:rsidR="008A3BD3" w:rsidRDefault="008A3BD3" w:rsidP="008A3BD3">
      <w:pPr>
        <w:tabs>
          <w:tab w:val="right" w:leader="dot" w:pos="9000"/>
        </w:tabs>
        <w:autoSpaceDE w:val="0"/>
        <w:autoSpaceDN w:val="0"/>
        <w:adjustRightInd w:val="0"/>
        <w:ind w:left="360"/>
      </w:pPr>
      <w:r w:rsidRPr="00EE47D3">
        <w:rPr>
          <w:rFonts w:ascii="Arial" w:hAnsi="Arial" w:cs="Arial"/>
          <w:b/>
          <w:sz w:val="20"/>
          <w:szCs w:val="20"/>
        </w:rPr>
        <w:t>Scope</w:t>
      </w:r>
      <w:r w:rsidRPr="00EE47D3">
        <w:rPr>
          <w:rFonts w:ascii="Arial" w:hAnsi="Arial" w:cs="Arial"/>
          <w:sz w:val="20"/>
          <w:szCs w:val="20"/>
        </w:rPr>
        <w:t xml:space="preserve">: </w:t>
      </w:r>
      <w:r>
        <w:t>IEC 60826:2017 RLV contains both the official IEC International Standard and its Redline version. The Redline version is available in English only and provides you with a quick and easy way to compare all the changes between the official IEC Standard and its previous edition.</w:t>
      </w:r>
      <w:r>
        <w:br/>
      </w:r>
      <w:r>
        <w:br/>
        <w:t xml:space="preserve">IEC 60826:2017: specifies the loading and strength requirements of overhead lines derived from reliability-based design principles. These requirements apply to lines 45 kV and </w:t>
      </w:r>
      <w:proofErr w:type="gramStart"/>
      <w:r>
        <w:t>above, but</w:t>
      </w:r>
      <w:proofErr w:type="gramEnd"/>
      <w:r>
        <w:t xml:space="preserve"> can also be applied to lines with a lower nominal voltage.</w:t>
      </w:r>
      <w:r>
        <w:br/>
        <w:t>This document also provides a framework for the preparation of national standards dealing with overhead transmission lines, using reliability concepts and employing probabilistic or semi-probabilistic methods. These national standards will need to establish the local climatic data for the use and application of this standard, in addition to other data that are country- specific.</w:t>
      </w:r>
      <w:r>
        <w:br/>
        <w:t>Although the design criteria in this standard apply to new lines, many concepts can be used to address the design and reliability requirements for refurbishment, upgrading and uprating of existing lines.</w:t>
      </w:r>
      <w:r>
        <w:br/>
        <w:t>This document does not cover the detailed design of line components such as supports, foundations, conductors or insulators strings.</w:t>
      </w:r>
      <w:r>
        <w:br/>
        <w:t>This fourth edition cancels and replaces the third edition published in 2003. It constitutes a technical revision.</w:t>
      </w:r>
      <w:r>
        <w:br/>
        <w:t xml:space="preserve">The main technical changes </w:t>
      </w:r>
      <w:proofErr w:type="gramStart"/>
      <w:r>
        <w:t>with regard to</w:t>
      </w:r>
      <w:proofErr w:type="gramEnd"/>
      <w:r>
        <w:t xml:space="preserve"> the previous edition are as follows:</w:t>
      </w:r>
      <w:r>
        <w:br/>
        <w:t>This standard has been further simplified by removing many informative annexes and theoretical details that can now be found in CIGRE Technical Brochure 178 and referred to as needed in the text of the standard. Many revisions have also been made that reflect the users experience in the application of this standard, together with information about amplification of wind speed due to escarpments. The annexes dealing with icing data have also been updated using new work by CIGRE.</w:t>
      </w:r>
    </w:p>
    <w:p w14:paraId="47620ECC" w14:textId="642A41DD" w:rsidR="008A3BD3" w:rsidRDefault="00B02A45" w:rsidP="0055707B">
      <w:pPr>
        <w:tabs>
          <w:tab w:val="right" w:leader="dot" w:pos="9000"/>
        </w:tabs>
        <w:autoSpaceDE w:val="0"/>
        <w:autoSpaceDN w:val="0"/>
        <w:adjustRightInd w:val="0"/>
        <w:ind w:left="360"/>
      </w:pPr>
      <w:hyperlink r:id="rId27" w:history="1">
        <w:r w:rsidR="008A3BD3" w:rsidRPr="001037D4">
          <w:rPr>
            <w:rStyle w:val="Hyperlink"/>
          </w:rPr>
          <w:t>https://webstore.iec.ch/publication/59954</w:t>
        </w:r>
      </w:hyperlink>
    </w:p>
    <w:p w14:paraId="1B162A71" w14:textId="77777777" w:rsidR="008A3BD3" w:rsidRDefault="008A3BD3" w:rsidP="0055707B">
      <w:pPr>
        <w:tabs>
          <w:tab w:val="right" w:leader="dot" w:pos="9000"/>
        </w:tabs>
        <w:autoSpaceDE w:val="0"/>
        <w:autoSpaceDN w:val="0"/>
        <w:adjustRightInd w:val="0"/>
        <w:ind w:left="360"/>
      </w:pPr>
    </w:p>
    <w:p w14:paraId="25213162" w14:textId="77777777" w:rsidR="008A3BD3" w:rsidRDefault="008A3BD3" w:rsidP="0055707B">
      <w:pPr>
        <w:tabs>
          <w:tab w:val="right" w:leader="dot" w:pos="9000"/>
        </w:tabs>
        <w:autoSpaceDE w:val="0"/>
        <w:autoSpaceDN w:val="0"/>
        <w:adjustRightInd w:val="0"/>
        <w:ind w:left="360"/>
      </w:pPr>
    </w:p>
    <w:p w14:paraId="07F40A6B" w14:textId="77777777" w:rsidR="0055707B" w:rsidRDefault="0055707B" w:rsidP="0055707B">
      <w:pPr>
        <w:tabs>
          <w:tab w:val="right" w:leader="dot" w:pos="9000"/>
        </w:tabs>
        <w:autoSpaceDE w:val="0"/>
        <w:autoSpaceDN w:val="0"/>
        <w:adjustRightInd w:val="0"/>
        <w:ind w:left="360"/>
      </w:pPr>
    </w:p>
    <w:p w14:paraId="58723EB7" w14:textId="77777777" w:rsidR="0055707B" w:rsidRDefault="0055707B" w:rsidP="006373BA">
      <w:pPr>
        <w:tabs>
          <w:tab w:val="right" w:leader="dot" w:pos="9000"/>
        </w:tabs>
        <w:autoSpaceDE w:val="0"/>
        <w:autoSpaceDN w:val="0"/>
        <w:adjustRightInd w:val="0"/>
        <w:ind w:left="360"/>
      </w:pPr>
    </w:p>
    <w:p w14:paraId="30A3FF87" w14:textId="77777777" w:rsidR="0055707B" w:rsidRDefault="0055707B" w:rsidP="006373BA">
      <w:pPr>
        <w:tabs>
          <w:tab w:val="right" w:leader="dot" w:pos="9000"/>
        </w:tabs>
        <w:autoSpaceDE w:val="0"/>
        <w:autoSpaceDN w:val="0"/>
        <w:adjustRightInd w:val="0"/>
        <w:ind w:left="360"/>
      </w:pPr>
    </w:p>
    <w:p w14:paraId="1BB93472" w14:textId="77777777" w:rsidR="0055707B" w:rsidRDefault="0055707B" w:rsidP="006373BA">
      <w:pPr>
        <w:tabs>
          <w:tab w:val="right" w:leader="dot" w:pos="9000"/>
        </w:tabs>
        <w:autoSpaceDE w:val="0"/>
        <w:autoSpaceDN w:val="0"/>
        <w:adjustRightInd w:val="0"/>
        <w:ind w:left="360"/>
      </w:pPr>
    </w:p>
    <w:p w14:paraId="2B0703A7" w14:textId="77777777" w:rsidR="006373BA" w:rsidRDefault="006373BA" w:rsidP="006373BA">
      <w:pPr>
        <w:tabs>
          <w:tab w:val="right" w:leader="dot" w:pos="9000"/>
        </w:tabs>
        <w:autoSpaceDE w:val="0"/>
        <w:autoSpaceDN w:val="0"/>
        <w:adjustRightInd w:val="0"/>
        <w:ind w:left="360"/>
      </w:pPr>
    </w:p>
    <w:p w14:paraId="19E8B45F" w14:textId="77777777" w:rsidR="006373BA" w:rsidRDefault="006373BA" w:rsidP="006373BA">
      <w:pPr>
        <w:tabs>
          <w:tab w:val="right" w:leader="dot" w:pos="9000"/>
        </w:tabs>
        <w:autoSpaceDE w:val="0"/>
        <w:autoSpaceDN w:val="0"/>
        <w:adjustRightInd w:val="0"/>
        <w:ind w:left="360"/>
      </w:pPr>
    </w:p>
    <w:p w14:paraId="7467B731" w14:textId="77777777" w:rsidR="006373BA" w:rsidRPr="0071045E" w:rsidRDefault="006373BA" w:rsidP="006373BA">
      <w:pPr>
        <w:autoSpaceDE w:val="0"/>
        <w:autoSpaceDN w:val="0"/>
        <w:adjustRightInd w:val="0"/>
        <w:ind w:left="900"/>
        <w:rPr>
          <w:rFonts w:ascii="Arial" w:hAnsi="Arial" w:cs="Arial"/>
          <w:sz w:val="20"/>
          <w:szCs w:val="20"/>
        </w:rPr>
      </w:pPr>
    </w:p>
    <w:p w14:paraId="18C45D7C" w14:textId="77777777" w:rsidR="0071045E" w:rsidRDefault="0071045E" w:rsidP="00A17AC8">
      <w:pPr>
        <w:tabs>
          <w:tab w:val="right" w:leader="dot" w:pos="9000"/>
        </w:tabs>
        <w:autoSpaceDE w:val="0"/>
        <w:autoSpaceDN w:val="0"/>
        <w:adjustRightInd w:val="0"/>
        <w:rPr>
          <w:rFonts w:ascii="Arial" w:hAnsi="Arial" w:cs="Arial"/>
          <w:sz w:val="20"/>
          <w:szCs w:val="20"/>
        </w:rPr>
      </w:pPr>
    </w:p>
    <w:p w14:paraId="28F173C0" w14:textId="77777777" w:rsidR="00742808" w:rsidRDefault="00742808" w:rsidP="008804E0">
      <w:pPr>
        <w:tabs>
          <w:tab w:val="right" w:leader="dot" w:pos="9000"/>
        </w:tabs>
        <w:autoSpaceDE w:val="0"/>
        <w:autoSpaceDN w:val="0"/>
        <w:adjustRightInd w:val="0"/>
        <w:ind w:left="360"/>
        <w:rPr>
          <w:rFonts w:ascii="Arial" w:hAnsi="Arial" w:cs="Arial"/>
          <w:sz w:val="20"/>
          <w:szCs w:val="20"/>
        </w:rPr>
      </w:pPr>
    </w:p>
    <w:p w14:paraId="178C89D0" w14:textId="77777777" w:rsidR="00E369C8" w:rsidRDefault="00E369C8" w:rsidP="008804E0">
      <w:pPr>
        <w:tabs>
          <w:tab w:val="right" w:leader="dot" w:pos="9000"/>
        </w:tabs>
        <w:autoSpaceDE w:val="0"/>
        <w:autoSpaceDN w:val="0"/>
        <w:adjustRightInd w:val="0"/>
        <w:ind w:left="360"/>
        <w:rPr>
          <w:rFonts w:ascii="Arial" w:hAnsi="Arial" w:cs="Arial"/>
          <w:sz w:val="20"/>
          <w:szCs w:val="20"/>
        </w:rPr>
      </w:pPr>
    </w:p>
    <w:p w14:paraId="24B0CED6" w14:textId="77777777" w:rsidR="00A94A7D" w:rsidRDefault="00A94A7D">
      <w:pPr>
        <w:spacing w:before="0" w:after="0"/>
        <w:jc w:val="left"/>
        <w:rPr>
          <w:rFonts w:ascii="Arial" w:hAnsi="Arial" w:cs="Arial"/>
          <w:b/>
          <w:sz w:val="20"/>
          <w:szCs w:val="20"/>
        </w:rPr>
      </w:pPr>
    </w:p>
    <w:p w14:paraId="2DFBA94E" w14:textId="77777777" w:rsidR="00A94A7D" w:rsidRDefault="00A94A7D">
      <w:pPr>
        <w:spacing w:before="0" w:after="0"/>
        <w:jc w:val="left"/>
        <w:rPr>
          <w:rFonts w:ascii="Arial" w:hAnsi="Arial" w:cs="Arial"/>
          <w:b/>
          <w:sz w:val="20"/>
          <w:szCs w:val="20"/>
        </w:rPr>
      </w:pPr>
    </w:p>
    <w:p w14:paraId="2A9AECB4" w14:textId="77777777" w:rsidR="00E774BD" w:rsidRDefault="00E774BD">
      <w:pPr>
        <w:spacing w:before="0" w:after="0"/>
        <w:jc w:val="left"/>
        <w:rPr>
          <w:rFonts w:ascii="Arial" w:hAnsi="Arial" w:cs="Arial"/>
          <w:b/>
          <w:sz w:val="20"/>
          <w:szCs w:val="20"/>
        </w:rPr>
        <w:sectPr w:rsidR="00E774BD" w:rsidSect="00E70218">
          <w:pgSz w:w="11909" w:h="16834" w:code="9"/>
          <w:pgMar w:top="1260" w:right="1440" w:bottom="1440" w:left="1440" w:header="720" w:footer="720" w:gutter="0"/>
          <w:pgNumType w:start="1"/>
          <w:cols w:space="720"/>
          <w:titlePg/>
          <w:docGrid w:linePitch="360"/>
        </w:sectPr>
      </w:pPr>
    </w:p>
    <w:p w14:paraId="1477874A" w14:textId="77777777" w:rsidR="001D7A55" w:rsidRPr="000112E3" w:rsidRDefault="00351549" w:rsidP="001D7A55">
      <w:pPr>
        <w:autoSpaceDE w:val="0"/>
        <w:autoSpaceDN w:val="0"/>
        <w:adjustRightInd w:val="0"/>
        <w:jc w:val="center"/>
        <w:rPr>
          <w:rFonts w:ascii="Arial" w:hAnsi="Arial" w:cs="Arial"/>
          <w:b/>
          <w:lang w:val="en-GB"/>
        </w:rPr>
      </w:pPr>
      <w:r w:rsidRPr="00351549">
        <w:rPr>
          <w:rFonts w:ascii="Arial" w:hAnsi="Arial" w:cs="Arial"/>
          <w:b/>
          <w:lang w:val="en-GB"/>
        </w:rPr>
        <w:lastRenderedPageBreak/>
        <w:t>ADOPTION PROPOSAL</w:t>
      </w:r>
    </w:p>
    <w:tbl>
      <w:tblPr>
        <w:tblpPr w:leftFromText="180" w:rightFromText="180" w:vertAnchor="text" w:horzAnchor="margin" w:tblpXSpec="center" w:tblpY="110"/>
        <w:tblW w:w="15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890"/>
        <w:gridCol w:w="1800"/>
        <w:gridCol w:w="2520"/>
        <w:gridCol w:w="3690"/>
        <w:gridCol w:w="4410"/>
      </w:tblGrid>
      <w:tr w:rsidR="0071045E" w14:paraId="3182FEAB" w14:textId="77777777" w:rsidTr="0071045E">
        <w:trPr>
          <w:tblHeader/>
        </w:trPr>
        <w:tc>
          <w:tcPr>
            <w:tcW w:w="1440" w:type="dxa"/>
          </w:tcPr>
          <w:p w14:paraId="2EE78922" w14:textId="77777777" w:rsidR="0071045E" w:rsidRPr="001D7A55" w:rsidRDefault="0071045E" w:rsidP="0071045E">
            <w:pPr>
              <w:jc w:val="left"/>
              <w:rPr>
                <w:rFonts w:ascii="Arial" w:hAnsi="Arial" w:cs="Arial"/>
                <w:b/>
                <w:sz w:val="20"/>
              </w:rPr>
            </w:pPr>
            <w:r>
              <w:rPr>
                <w:rFonts w:ascii="Arial" w:hAnsi="Arial" w:cs="Arial"/>
                <w:b/>
                <w:sz w:val="20"/>
              </w:rPr>
              <w:t>S/No.</w:t>
            </w:r>
          </w:p>
        </w:tc>
        <w:tc>
          <w:tcPr>
            <w:tcW w:w="1890" w:type="dxa"/>
          </w:tcPr>
          <w:p w14:paraId="03849793" w14:textId="77777777" w:rsidR="0071045E" w:rsidRPr="001D7A55" w:rsidRDefault="0071045E" w:rsidP="0071045E">
            <w:pPr>
              <w:jc w:val="left"/>
              <w:rPr>
                <w:rFonts w:ascii="Arial" w:hAnsi="Arial" w:cs="Arial"/>
                <w:b/>
                <w:sz w:val="20"/>
              </w:rPr>
            </w:pPr>
            <w:r w:rsidRPr="001D7A55">
              <w:rPr>
                <w:rFonts w:ascii="Arial" w:hAnsi="Arial" w:cs="Arial"/>
                <w:b/>
                <w:sz w:val="20"/>
              </w:rPr>
              <w:t>Standard Number</w:t>
            </w:r>
          </w:p>
        </w:tc>
        <w:tc>
          <w:tcPr>
            <w:tcW w:w="1800" w:type="dxa"/>
          </w:tcPr>
          <w:p w14:paraId="10B79B0D"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acceptable as presented</w:t>
            </w:r>
          </w:p>
        </w:tc>
        <w:tc>
          <w:tcPr>
            <w:tcW w:w="2520" w:type="dxa"/>
          </w:tcPr>
          <w:p w14:paraId="6EC4017C" w14:textId="77777777" w:rsidR="0071045E" w:rsidRPr="001D7A55" w:rsidRDefault="0071045E" w:rsidP="0071045E">
            <w:pPr>
              <w:jc w:val="left"/>
              <w:rPr>
                <w:rFonts w:ascii="Arial" w:hAnsi="Arial" w:cs="Arial"/>
                <w:b/>
                <w:sz w:val="20"/>
              </w:rPr>
            </w:pPr>
            <w:r w:rsidRPr="001D7A55">
              <w:rPr>
                <w:rFonts w:ascii="Arial" w:hAnsi="Arial" w:cs="Arial"/>
                <w:b/>
                <w:sz w:val="20"/>
                <w:szCs w:val="20"/>
              </w:rPr>
              <w:t>Adoption proposal not acceptable</w:t>
            </w:r>
          </w:p>
        </w:tc>
        <w:tc>
          <w:tcPr>
            <w:tcW w:w="3690" w:type="dxa"/>
          </w:tcPr>
          <w:p w14:paraId="7079E1FD" w14:textId="77777777" w:rsidR="0071045E" w:rsidRPr="001D7A55" w:rsidRDefault="0071045E" w:rsidP="0071045E">
            <w:pPr>
              <w:jc w:val="left"/>
              <w:rPr>
                <w:rFonts w:ascii="Arial" w:hAnsi="Arial" w:cs="Arial"/>
                <w:b/>
                <w:sz w:val="20"/>
              </w:rPr>
            </w:pPr>
            <w:r>
              <w:rPr>
                <w:rFonts w:ascii="Arial" w:hAnsi="Arial" w:cs="Arial"/>
                <w:b/>
                <w:sz w:val="20"/>
              </w:rPr>
              <w:t>Reason why adoption proposal not acceptable</w:t>
            </w:r>
          </w:p>
        </w:tc>
        <w:tc>
          <w:tcPr>
            <w:tcW w:w="4410" w:type="dxa"/>
          </w:tcPr>
          <w:p w14:paraId="0EDF8F24" w14:textId="77777777" w:rsidR="0071045E" w:rsidRPr="001D7A55" w:rsidRDefault="0071045E" w:rsidP="0071045E">
            <w:pPr>
              <w:jc w:val="left"/>
              <w:rPr>
                <w:rFonts w:ascii="Arial" w:hAnsi="Arial" w:cs="Arial"/>
                <w:b/>
                <w:sz w:val="20"/>
              </w:rPr>
            </w:pPr>
            <w:r w:rsidRPr="001D7A55">
              <w:rPr>
                <w:rFonts w:ascii="Arial" w:hAnsi="Arial" w:cs="Arial"/>
                <w:b/>
                <w:sz w:val="20"/>
              </w:rPr>
              <w:t>Proposed Change</w:t>
            </w:r>
            <w:r>
              <w:rPr>
                <w:rFonts w:ascii="Arial" w:hAnsi="Arial" w:cs="Arial"/>
                <w:b/>
                <w:sz w:val="20"/>
              </w:rPr>
              <w:t>/recommendation(s)</w:t>
            </w:r>
          </w:p>
        </w:tc>
      </w:tr>
      <w:tr w:rsidR="0071045E" w14:paraId="7B28738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970AE81"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42E3502C" w14:textId="5E79E6FD" w:rsidR="0071045E" w:rsidRPr="0071045E" w:rsidRDefault="008F4949" w:rsidP="0071045E">
            <w:pPr>
              <w:jc w:val="left"/>
              <w:rPr>
                <w:rFonts w:ascii="Arial Narrow" w:hAnsi="Arial Narrow" w:cs="Arial"/>
                <w:sz w:val="22"/>
                <w:szCs w:val="22"/>
              </w:rPr>
            </w:pPr>
            <w:r w:rsidRPr="008F4949">
              <w:rPr>
                <w:rFonts w:ascii="Arial Narrow" w:hAnsi="Arial Narrow" w:cs="Arial"/>
                <w:sz w:val="22"/>
                <w:szCs w:val="22"/>
              </w:rPr>
              <w:t xml:space="preserve">IEC </w:t>
            </w:r>
            <w:r w:rsidR="007229D0">
              <w:rPr>
                <w:rFonts w:ascii="Arial Narrow" w:hAnsi="Arial Narrow" w:cs="Arial"/>
                <w:sz w:val="22"/>
                <w:szCs w:val="22"/>
              </w:rPr>
              <w:t>60670</w:t>
            </w:r>
            <w:r w:rsidR="00FC64A4">
              <w:rPr>
                <w:rFonts w:ascii="Arial Narrow" w:hAnsi="Arial Narrow" w:cs="Arial"/>
                <w:sz w:val="22"/>
                <w:szCs w:val="22"/>
              </w:rPr>
              <w:t>-21:2016</w:t>
            </w:r>
          </w:p>
          <w:p w14:paraId="25878280" w14:textId="77777777" w:rsidR="0071045E" w:rsidRPr="00C407BA" w:rsidRDefault="0071045E" w:rsidP="0071045E">
            <w:pPr>
              <w:jc w:val="left"/>
              <w:rPr>
                <w:rFonts w:ascii="Arial Narrow" w:hAnsi="Arial Narrow"/>
                <w:color w:val="000000"/>
                <w:sz w:val="22"/>
                <w:szCs w:val="22"/>
              </w:rPr>
            </w:pPr>
          </w:p>
        </w:tc>
        <w:tc>
          <w:tcPr>
            <w:tcW w:w="1800" w:type="dxa"/>
            <w:tcBorders>
              <w:top w:val="nil"/>
              <w:left w:val="single" w:sz="4" w:space="0" w:color="auto"/>
              <w:bottom w:val="single" w:sz="4" w:space="0" w:color="auto"/>
              <w:right w:val="single" w:sz="4" w:space="0" w:color="auto"/>
            </w:tcBorders>
            <w:shd w:val="clear" w:color="000000" w:fill="C4D79B"/>
          </w:tcPr>
          <w:p w14:paraId="5AA62C29"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33F8FB8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1D76E8B"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70B8C347" w14:textId="77777777" w:rsidR="0071045E" w:rsidRDefault="0071045E" w:rsidP="0071045E">
            <w:pPr>
              <w:rPr>
                <w:rFonts w:ascii="Calibri" w:hAnsi="Calibri"/>
                <w:color w:val="000000"/>
                <w:sz w:val="22"/>
                <w:szCs w:val="22"/>
              </w:rPr>
            </w:pPr>
          </w:p>
        </w:tc>
      </w:tr>
      <w:tr w:rsidR="0071045E" w14:paraId="6FC8F03D"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9E3E751" w14:textId="77777777" w:rsidR="0071045E" w:rsidRPr="00CF7A06" w:rsidRDefault="0071045E" w:rsidP="00724286">
            <w:pPr>
              <w:pStyle w:val="ListParagraph"/>
              <w:numPr>
                <w:ilvl w:val="0"/>
                <w:numId w:val="2"/>
              </w:numPr>
              <w:rPr>
                <w:rFonts w:ascii="Arial" w:hAnsi="Arial" w:cs="Arial"/>
                <w:sz w:val="20"/>
                <w:szCs w:val="20"/>
                <w:u w:val="dotted"/>
              </w:rPr>
            </w:pPr>
          </w:p>
        </w:tc>
        <w:tc>
          <w:tcPr>
            <w:tcW w:w="1890" w:type="dxa"/>
            <w:tcBorders>
              <w:top w:val="single" w:sz="4" w:space="0" w:color="auto"/>
              <w:left w:val="single" w:sz="4" w:space="0" w:color="auto"/>
              <w:bottom w:val="single" w:sz="4" w:space="0" w:color="auto"/>
              <w:right w:val="single" w:sz="4" w:space="0" w:color="auto"/>
            </w:tcBorders>
            <w:shd w:val="clear" w:color="auto" w:fill="auto"/>
            <w:hideMark/>
          </w:tcPr>
          <w:p w14:paraId="56B5D010" w14:textId="2C0F14B9"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 xml:space="preserve">IEC </w:t>
            </w:r>
            <w:r w:rsidR="00FC64A4">
              <w:rPr>
                <w:rFonts w:ascii="Arial Narrow" w:hAnsi="Arial Narrow" w:cs="Arial"/>
                <w:sz w:val="22"/>
                <w:szCs w:val="22"/>
              </w:rPr>
              <w:t>60670-22:2015</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17FBEB14" w14:textId="77777777" w:rsidR="0071045E" w:rsidRDefault="0071045E" w:rsidP="0071045E">
            <w:pPr>
              <w:rPr>
                <w:rFonts w:ascii="Calibri" w:hAnsi="Calibri"/>
                <w:color w:val="000000"/>
                <w:sz w:val="22"/>
                <w:szCs w:val="22"/>
              </w:rPr>
            </w:pPr>
          </w:p>
        </w:tc>
        <w:tc>
          <w:tcPr>
            <w:tcW w:w="2520" w:type="dxa"/>
            <w:tcBorders>
              <w:top w:val="single" w:sz="4" w:space="0" w:color="auto"/>
              <w:left w:val="single" w:sz="4" w:space="0" w:color="auto"/>
              <w:bottom w:val="single" w:sz="4" w:space="0" w:color="auto"/>
              <w:right w:val="single" w:sz="4" w:space="0" w:color="auto"/>
            </w:tcBorders>
            <w:shd w:val="clear" w:color="auto" w:fill="auto"/>
          </w:tcPr>
          <w:p w14:paraId="36761C02" w14:textId="77777777" w:rsidR="0071045E" w:rsidRDefault="0071045E" w:rsidP="0071045E">
            <w:pPr>
              <w:rPr>
                <w:rFonts w:ascii="Calibri" w:hAnsi="Calibri"/>
                <w:color w:val="000000"/>
                <w:sz w:val="22"/>
                <w:szCs w:val="22"/>
              </w:rPr>
            </w:pP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6C1D45FA" w14:textId="77777777" w:rsidR="0071045E" w:rsidRDefault="0071045E" w:rsidP="0071045E">
            <w:pPr>
              <w:rPr>
                <w:rFonts w:ascii="Calibri" w:hAnsi="Calibri"/>
                <w:color w:val="000000"/>
                <w:sz w:val="22"/>
                <w:szCs w:val="22"/>
              </w:rPr>
            </w:pP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A126C13" w14:textId="77777777" w:rsidR="0071045E" w:rsidRDefault="0071045E" w:rsidP="0071045E">
            <w:pPr>
              <w:rPr>
                <w:rFonts w:ascii="Calibri" w:hAnsi="Calibri"/>
                <w:color w:val="000000"/>
                <w:sz w:val="22"/>
                <w:szCs w:val="22"/>
              </w:rPr>
            </w:pPr>
          </w:p>
        </w:tc>
      </w:tr>
      <w:tr w:rsidR="0071045E" w14:paraId="279EFE7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0AB53E1D"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000000" w:fill="C4D79B"/>
          </w:tcPr>
          <w:p w14:paraId="7034591B" w14:textId="32F2EE7B" w:rsidR="0071045E" w:rsidRPr="00C407BA" w:rsidRDefault="00FC64A4" w:rsidP="0071045E">
            <w:pPr>
              <w:jc w:val="left"/>
              <w:rPr>
                <w:rFonts w:ascii="Arial Narrow" w:hAnsi="Arial Narrow"/>
                <w:color w:val="000000"/>
                <w:sz w:val="22"/>
                <w:szCs w:val="22"/>
              </w:rPr>
            </w:pPr>
            <w:r>
              <w:rPr>
                <w:rFonts w:ascii="Arial Narrow" w:hAnsi="Arial Narrow" w:cs="Arial"/>
                <w:sz w:val="22"/>
                <w:szCs w:val="22"/>
              </w:rPr>
              <w:t>IEC 60670-23:2016</w:t>
            </w:r>
          </w:p>
        </w:tc>
        <w:tc>
          <w:tcPr>
            <w:tcW w:w="1800" w:type="dxa"/>
            <w:tcBorders>
              <w:top w:val="nil"/>
              <w:left w:val="single" w:sz="4" w:space="0" w:color="auto"/>
              <w:bottom w:val="single" w:sz="4" w:space="0" w:color="auto"/>
              <w:right w:val="single" w:sz="4" w:space="0" w:color="auto"/>
            </w:tcBorders>
            <w:shd w:val="clear" w:color="000000" w:fill="C4D79B"/>
          </w:tcPr>
          <w:p w14:paraId="234B50FA" w14:textId="77777777" w:rsidR="0071045E" w:rsidRPr="00892734"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000000" w:fill="C4D79B"/>
          </w:tcPr>
          <w:p w14:paraId="1B6E5D84" w14:textId="77777777" w:rsidR="0071045E" w:rsidRPr="00892734"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000000" w:fill="C4D79B"/>
          </w:tcPr>
          <w:p w14:paraId="74064A7F" w14:textId="77777777" w:rsidR="0071045E" w:rsidRPr="00892734"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000000" w:fill="C4D79B"/>
          </w:tcPr>
          <w:p w14:paraId="3064D729" w14:textId="77777777" w:rsidR="0071045E" w:rsidRPr="00892734" w:rsidRDefault="0071045E" w:rsidP="0071045E">
            <w:pPr>
              <w:rPr>
                <w:rFonts w:ascii="Calibri" w:hAnsi="Calibri"/>
                <w:color w:val="000000"/>
                <w:sz w:val="22"/>
                <w:szCs w:val="22"/>
              </w:rPr>
            </w:pPr>
          </w:p>
        </w:tc>
      </w:tr>
      <w:tr w:rsidR="0071045E" w14:paraId="2915D540"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tcPr>
          <w:p w14:paraId="1994C20C"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3DD59277" w14:textId="27DFF7B7"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61</w:t>
            </w:r>
            <w:r w:rsidR="00FC64A4">
              <w:rPr>
                <w:rFonts w:ascii="Arial Narrow" w:hAnsi="Arial Narrow" w:cs="Arial"/>
                <w:sz w:val="22"/>
                <w:szCs w:val="22"/>
              </w:rPr>
              <w:t>936</w:t>
            </w:r>
            <w:r w:rsidRPr="008F4949">
              <w:rPr>
                <w:rFonts w:ascii="Arial Narrow" w:hAnsi="Arial Narrow" w:cs="Arial"/>
                <w:sz w:val="22"/>
                <w:szCs w:val="22"/>
              </w:rPr>
              <w:t>-</w:t>
            </w:r>
            <w:r w:rsidR="00FC64A4">
              <w:rPr>
                <w:rFonts w:ascii="Arial Narrow" w:hAnsi="Arial Narrow" w:cs="Arial"/>
                <w:sz w:val="22"/>
                <w:szCs w:val="22"/>
              </w:rPr>
              <w:t>1</w:t>
            </w:r>
            <w:r w:rsidRPr="008F4949">
              <w:rPr>
                <w:rFonts w:ascii="Arial Narrow" w:hAnsi="Arial Narrow" w:cs="Arial"/>
                <w:sz w:val="22"/>
                <w:szCs w:val="22"/>
              </w:rPr>
              <w:t>:20</w:t>
            </w:r>
            <w:r w:rsidR="00FC64A4">
              <w:rPr>
                <w:rFonts w:ascii="Arial Narrow" w:hAnsi="Arial Narrow" w:cs="Arial"/>
                <w:sz w:val="22"/>
                <w:szCs w:val="22"/>
              </w:rPr>
              <w:t>21</w:t>
            </w:r>
          </w:p>
        </w:tc>
        <w:tc>
          <w:tcPr>
            <w:tcW w:w="1800" w:type="dxa"/>
            <w:tcBorders>
              <w:top w:val="nil"/>
              <w:left w:val="single" w:sz="4" w:space="0" w:color="auto"/>
              <w:bottom w:val="single" w:sz="4" w:space="0" w:color="auto"/>
              <w:right w:val="single" w:sz="4" w:space="0" w:color="auto"/>
            </w:tcBorders>
            <w:shd w:val="clear" w:color="auto" w:fill="auto"/>
          </w:tcPr>
          <w:p w14:paraId="4560BAD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2AEDB61C"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7C701361"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2A46DD1" w14:textId="77777777" w:rsidR="0071045E" w:rsidRDefault="0071045E" w:rsidP="0071045E">
            <w:pPr>
              <w:rPr>
                <w:rFonts w:ascii="Calibri" w:hAnsi="Calibri"/>
                <w:color w:val="000000"/>
                <w:sz w:val="22"/>
                <w:szCs w:val="22"/>
              </w:rPr>
            </w:pPr>
          </w:p>
        </w:tc>
      </w:tr>
      <w:tr w:rsidR="0071045E" w14:paraId="70107606"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45A2C880"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6BA89ED" w14:textId="25AA5C88"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IEC 6</w:t>
            </w:r>
            <w:r w:rsidR="00351E4A">
              <w:rPr>
                <w:rFonts w:ascii="Arial Narrow" w:hAnsi="Arial Narrow" w:cs="Arial"/>
                <w:sz w:val="22"/>
                <w:szCs w:val="22"/>
              </w:rPr>
              <w:t>0034-3</w:t>
            </w:r>
            <w:r w:rsidRPr="008F4949">
              <w:rPr>
                <w:rFonts w:ascii="Arial Narrow" w:hAnsi="Arial Narrow" w:cs="Arial"/>
                <w:sz w:val="22"/>
                <w:szCs w:val="22"/>
              </w:rPr>
              <w:t>:20</w:t>
            </w:r>
            <w:r w:rsidR="00351E4A">
              <w:rPr>
                <w:rFonts w:ascii="Arial Narrow" w:hAnsi="Arial Narrow" w:cs="Arial"/>
                <w:sz w:val="22"/>
                <w:szCs w:val="22"/>
              </w:rPr>
              <w:t>20</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D4A3418"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22BD653F"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56E1E45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3020898" w14:textId="77777777" w:rsidR="0071045E" w:rsidRDefault="0071045E" w:rsidP="0071045E">
            <w:pPr>
              <w:rPr>
                <w:rFonts w:ascii="Calibri" w:hAnsi="Calibri"/>
                <w:color w:val="000000"/>
                <w:sz w:val="22"/>
                <w:szCs w:val="22"/>
              </w:rPr>
            </w:pPr>
          </w:p>
        </w:tc>
      </w:tr>
      <w:tr w:rsidR="0071045E" w14:paraId="1A897A2C"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428CB6F8"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B542C6D" w14:textId="7AF2AABF" w:rsidR="0071045E" w:rsidRPr="00C407BA" w:rsidRDefault="008F4949" w:rsidP="0071045E">
            <w:pPr>
              <w:jc w:val="left"/>
              <w:rPr>
                <w:rFonts w:ascii="Arial Narrow" w:hAnsi="Arial Narrow"/>
                <w:color w:val="000000"/>
                <w:sz w:val="22"/>
                <w:szCs w:val="22"/>
              </w:rPr>
            </w:pPr>
            <w:r w:rsidRPr="008F4949">
              <w:rPr>
                <w:rFonts w:ascii="Arial Narrow" w:hAnsi="Arial Narrow" w:cs="Arial"/>
                <w:sz w:val="22"/>
                <w:szCs w:val="22"/>
              </w:rPr>
              <w:t xml:space="preserve">IEC </w:t>
            </w:r>
            <w:r w:rsidR="00351E4A">
              <w:rPr>
                <w:rFonts w:ascii="Arial Narrow" w:hAnsi="Arial Narrow" w:cs="Arial"/>
                <w:sz w:val="22"/>
                <w:szCs w:val="22"/>
              </w:rPr>
              <w:t>60309-1</w:t>
            </w:r>
            <w:r w:rsidRPr="008F4949">
              <w:rPr>
                <w:rFonts w:ascii="Arial Narrow" w:hAnsi="Arial Narrow" w:cs="Arial"/>
                <w:sz w:val="22"/>
                <w:szCs w:val="22"/>
              </w:rPr>
              <w:t>:20</w:t>
            </w:r>
            <w:r w:rsidR="00351E4A">
              <w:rPr>
                <w:rFonts w:ascii="Arial Narrow" w:hAnsi="Arial Narrow" w:cs="Arial"/>
                <w:sz w:val="22"/>
                <w:szCs w:val="22"/>
              </w:rPr>
              <w:t>21</w:t>
            </w:r>
          </w:p>
        </w:tc>
        <w:tc>
          <w:tcPr>
            <w:tcW w:w="1800" w:type="dxa"/>
            <w:tcBorders>
              <w:top w:val="nil"/>
              <w:left w:val="single" w:sz="4" w:space="0" w:color="auto"/>
              <w:bottom w:val="single" w:sz="4" w:space="0" w:color="auto"/>
              <w:right w:val="single" w:sz="4" w:space="0" w:color="auto"/>
            </w:tcBorders>
            <w:shd w:val="clear" w:color="auto" w:fill="auto"/>
          </w:tcPr>
          <w:p w14:paraId="57390D64"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42C38D38"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630D79A7"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1700F37B" w14:textId="77777777" w:rsidR="0071045E" w:rsidRDefault="0071045E" w:rsidP="0071045E">
            <w:pPr>
              <w:rPr>
                <w:rFonts w:ascii="Calibri" w:hAnsi="Calibri"/>
                <w:color w:val="000000"/>
                <w:sz w:val="22"/>
                <w:szCs w:val="22"/>
              </w:rPr>
            </w:pPr>
          </w:p>
        </w:tc>
      </w:tr>
      <w:tr w:rsidR="0071045E" w14:paraId="230FCA51" w14:textId="77777777" w:rsidTr="0071045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7209E36" w14:textId="77777777" w:rsidR="0071045E" w:rsidRPr="00CF7A06" w:rsidRDefault="0071045E"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962483F" w14:textId="46C33B5A" w:rsidR="0071045E" w:rsidRPr="00C407BA" w:rsidRDefault="00351E4A" w:rsidP="0071045E">
            <w:pPr>
              <w:jc w:val="left"/>
              <w:rPr>
                <w:rFonts w:ascii="Arial Narrow" w:hAnsi="Arial Narrow"/>
                <w:color w:val="000000"/>
                <w:sz w:val="22"/>
                <w:szCs w:val="22"/>
              </w:rPr>
            </w:pPr>
            <w:r w:rsidRPr="008F4949">
              <w:rPr>
                <w:rFonts w:ascii="Arial Narrow" w:hAnsi="Arial Narrow" w:cs="Arial"/>
                <w:sz w:val="22"/>
                <w:szCs w:val="22"/>
              </w:rPr>
              <w:t xml:space="preserve">IEC </w:t>
            </w:r>
            <w:r>
              <w:rPr>
                <w:rFonts w:ascii="Arial Narrow" w:hAnsi="Arial Narrow" w:cs="Arial"/>
                <w:sz w:val="22"/>
                <w:szCs w:val="22"/>
              </w:rPr>
              <w:t>60309-2</w:t>
            </w:r>
            <w:r w:rsidRPr="008F4949">
              <w:rPr>
                <w:rFonts w:ascii="Arial Narrow" w:hAnsi="Arial Narrow" w:cs="Arial"/>
                <w:sz w:val="22"/>
                <w:szCs w:val="22"/>
              </w:rPr>
              <w:t>:20</w:t>
            </w:r>
            <w:r>
              <w:rPr>
                <w:rFonts w:ascii="Arial Narrow" w:hAnsi="Arial Narrow" w:cs="Arial"/>
                <w:sz w:val="22"/>
                <w:szCs w:val="22"/>
              </w:rPr>
              <w:t>21</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3A7A6F6E" w14:textId="77777777" w:rsidR="0071045E" w:rsidRDefault="0071045E" w:rsidP="0071045E">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611A0F0" w14:textId="77777777" w:rsidR="0071045E" w:rsidRDefault="0071045E" w:rsidP="0071045E">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D57BFB9" w14:textId="77777777" w:rsidR="0071045E" w:rsidRDefault="0071045E" w:rsidP="0071045E">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A63004F" w14:textId="77777777" w:rsidR="0071045E" w:rsidRDefault="0071045E" w:rsidP="0071045E">
            <w:pPr>
              <w:rPr>
                <w:rFonts w:ascii="Calibri" w:hAnsi="Calibri"/>
                <w:color w:val="000000"/>
                <w:sz w:val="22"/>
                <w:szCs w:val="22"/>
              </w:rPr>
            </w:pPr>
          </w:p>
        </w:tc>
      </w:tr>
      <w:tr w:rsidR="00F41519" w14:paraId="4E268868"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651078D0"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43F7A3C5" w14:textId="076A0215" w:rsidR="00F41519" w:rsidRPr="00C407BA" w:rsidRDefault="00351E4A" w:rsidP="0035540C">
            <w:pPr>
              <w:jc w:val="left"/>
              <w:rPr>
                <w:rFonts w:ascii="Arial Narrow" w:hAnsi="Arial Narrow"/>
                <w:color w:val="000000"/>
                <w:sz w:val="22"/>
                <w:szCs w:val="22"/>
              </w:rPr>
            </w:pPr>
            <w:r w:rsidRPr="008F4949">
              <w:rPr>
                <w:rFonts w:ascii="Arial Narrow" w:hAnsi="Arial Narrow" w:cs="Arial"/>
                <w:sz w:val="22"/>
                <w:szCs w:val="22"/>
              </w:rPr>
              <w:t xml:space="preserve">IEC </w:t>
            </w:r>
            <w:r>
              <w:rPr>
                <w:rFonts w:ascii="Arial Narrow" w:hAnsi="Arial Narrow" w:cs="Arial"/>
                <w:sz w:val="22"/>
                <w:szCs w:val="22"/>
              </w:rPr>
              <w:t>60309-4</w:t>
            </w:r>
            <w:r w:rsidRPr="008F4949">
              <w:rPr>
                <w:rFonts w:ascii="Arial Narrow" w:hAnsi="Arial Narrow" w:cs="Arial"/>
                <w:sz w:val="22"/>
                <w:szCs w:val="22"/>
              </w:rPr>
              <w:t>:20</w:t>
            </w:r>
            <w:r>
              <w:rPr>
                <w:rFonts w:ascii="Arial Narrow" w:hAnsi="Arial Narrow" w:cs="Arial"/>
                <w:sz w:val="22"/>
                <w:szCs w:val="22"/>
              </w:rPr>
              <w:t>21</w:t>
            </w:r>
          </w:p>
        </w:tc>
        <w:tc>
          <w:tcPr>
            <w:tcW w:w="1800" w:type="dxa"/>
            <w:tcBorders>
              <w:top w:val="nil"/>
              <w:left w:val="single" w:sz="4" w:space="0" w:color="auto"/>
              <w:bottom w:val="single" w:sz="4" w:space="0" w:color="auto"/>
              <w:right w:val="single" w:sz="4" w:space="0" w:color="auto"/>
            </w:tcBorders>
            <w:shd w:val="clear" w:color="auto" w:fill="auto"/>
          </w:tcPr>
          <w:p w14:paraId="0E529F1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12AE5674"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453767D9"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7997C326" w14:textId="77777777" w:rsidR="00F41519" w:rsidRDefault="00F41519" w:rsidP="0035540C">
            <w:pPr>
              <w:rPr>
                <w:rFonts w:ascii="Calibri" w:hAnsi="Calibri"/>
                <w:color w:val="000000"/>
                <w:sz w:val="22"/>
                <w:szCs w:val="22"/>
              </w:rPr>
            </w:pPr>
          </w:p>
        </w:tc>
      </w:tr>
      <w:tr w:rsidR="00F41519" w14:paraId="2044B18B"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74BE48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758A2A30" w14:textId="49B9873A" w:rsidR="00F41519" w:rsidRPr="00C407BA" w:rsidRDefault="00351E4A" w:rsidP="0035540C">
            <w:pPr>
              <w:jc w:val="left"/>
              <w:rPr>
                <w:rFonts w:ascii="Arial Narrow" w:hAnsi="Arial Narrow"/>
                <w:color w:val="000000"/>
                <w:sz w:val="22"/>
                <w:szCs w:val="22"/>
              </w:rPr>
            </w:pPr>
            <w:r w:rsidRPr="008F4949">
              <w:rPr>
                <w:rFonts w:ascii="Arial Narrow" w:hAnsi="Arial Narrow" w:cs="Arial"/>
                <w:sz w:val="22"/>
                <w:szCs w:val="22"/>
              </w:rPr>
              <w:t xml:space="preserve">IEC </w:t>
            </w:r>
            <w:r>
              <w:rPr>
                <w:rFonts w:ascii="Arial Narrow" w:hAnsi="Arial Narrow" w:cs="Arial"/>
                <w:sz w:val="22"/>
                <w:szCs w:val="22"/>
              </w:rPr>
              <w:t>60309-5</w:t>
            </w:r>
            <w:r w:rsidRPr="008F4949">
              <w:rPr>
                <w:rFonts w:ascii="Arial Narrow" w:hAnsi="Arial Narrow" w:cs="Arial"/>
                <w:sz w:val="22"/>
                <w:szCs w:val="22"/>
              </w:rPr>
              <w:t>:20</w:t>
            </w:r>
            <w:r>
              <w:rPr>
                <w:rFonts w:ascii="Arial Narrow" w:hAnsi="Arial Narrow" w:cs="Arial"/>
                <w:sz w:val="22"/>
                <w:szCs w:val="22"/>
              </w:rPr>
              <w:t>17</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08160E8"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E6F8CA9"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6873E3D8"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40F8B501" w14:textId="77777777" w:rsidR="00F41519" w:rsidRDefault="00F41519" w:rsidP="0035540C">
            <w:pPr>
              <w:rPr>
                <w:rFonts w:ascii="Calibri" w:hAnsi="Calibri"/>
                <w:color w:val="000000"/>
                <w:sz w:val="22"/>
                <w:szCs w:val="22"/>
              </w:rPr>
            </w:pPr>
          </w:p>
        </w:tc>
      </w:tr>
      <w:tr w:rsidR="00F41519" w14:paraId="44319BB5"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B04273D"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59622208" w14:textId="6E97532D" w:rsidR="00F41519" w:rsidRPr="00C407BA" w:rsidRDefault="00F41519" w:rsidP="0035540C">
            <w:pPr>
              <w:jc w:val="left"/>
              <w:rPr>
                <w:rFonts w:ascii="Arial Narrow" w:hAnsi="Arial Narrow"/>
                <w:color w:val="000000"/>
                <w:sz w:val="22"/>
                <w:szCs w:val="22"/>
              </w:rPr>
            </w:pPr>
            <w:r w:rsidRPr="00F41519">
              <w:rPr>
                <w:rFonts w:ascii="Arial Narrow" w:hAnsi="Arial Narrow" w:cs="Arial"/>
                <w:sz w:val="22"/>
                <w:szCs w:val="22"/>
              </w:rPr>
              <w:t>IEC 6</w:t>
            </w:r>
            <w:r w:rsidR="00F97529">
              <w:rPr>
                <w:rFonts w:ascii="Arial Narrow" w:hAnsi="Arial Narrow" w:cs="Arial"/>
                <w:sz w:val="22"/>
                <w:szCs w:val="22"/>
              </w:rPr>
              <w:t>2444</w:t>
            </w:r>
            <w:r w:rsidRPr="00F41519">
              <w:rPr>
                <w:rFonts w:ascii="Arial Narrow" w:hAnsi="Arial Narrow" w:cs="Arial"/>
                <w:sz w:val="22"/>
                <w:szCs w:val="22"/>
              </w:rPr>
              <w:t>:201</w:t>
            </w:r>
            <w:r w:rsidR="00F97529">
              <w:rPr>
                <w:rFonts w:ascii="Arial Narrow" w:hAnsi="Arial Narrow" w:cs="Arial"/>
                <w:sz w:val="22"/>
                <w:szCs w:val="22"/>
              </w:rPr>
              <w:t>0</w:t>
            </w:r>
          </w:p>
        </w:tc>
        <w:tc>
          <w:tcPr>
            <w:tcW w:w="1800" w:type="dxa"/>
            <w:tcBorders>
              <w:top w:val="nil"/>
              <w:left w:val="single" w:sz="4" w:space="0" w:color="auto"/>
              <w:bottom w:val="single" w:sz="4" w:space="0" w:color="auto"/>
              <w:right w:val="single" w:sz="4" w:space="0" w:color="auto"/>
            </w:tcBorders>
            <w:shd w:val="clear" w:color="auto" w:fill="auto"/>
          </w:tcPr>
          <w:p w14:paraId="24C062B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0397460C"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D66E5BE"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F888A61" w14:textId="77777777" w:rsidR="00F41519" w:rsidRDefault="00F41519" w:rsidP="0035540C">
            <w:pPr>
              <w:rPr>
                <w:rFonts w:ascii="Calibri" w:hAnsi="Calibri"/>
                <w:color w:val="000000"/>
                <w:sz w:val="22"/>
                <w:szCs w:val="22"/>
              </w:rPr>
            </w:pPr>
          </w:p>
        </w:tc>
      </w:tr>
      <w:tr w:rsidR="00F41519" w14:paraId="048F42D4"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3E2F3AE2"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34F2B88F" w14:textId="4642744B" w:rsidR="00F41519" w:rsidRPr="00C407BA" w:rsidRDefault="00F41519" w:rsidP="0035540C">
            <w:pPr>
              <w:jc w:val="left"/>
              <w:rPr>
                <w:rFonts w:ascii="Arial Narrow" w:hAnsi="Arial Narrow"/>
                <w:color w:val="000000"/>
                <w:sz w:val="22"/>
                <w:szCs w:val="22"/>
              </w:rPr>
            </w:pPr>
            <w:r w:rsidRPr="00F41519">
              <w:rPr>
                <w:rFonts w:ascii="Arial Narrow" w:hAnsi="Arial Narrow"/>
                <w:color w:val="000000"/>
                <w:sz w:val="22"/>
                <w:szCs w:val="22"/>
              </w:rPr>
              <w:t>IEC 61</w:t>
            </w:r>
            <w:r w:rsidR="00F97529">
              <w:rPr>
                <w:rFonts w:ascii="Arial Narrow" w:hAnsi="Arial Narrow"/>
                <w:color w:val="000000"/>
                <w:sz w:val="22"/>
                <w:szCs w:val="22"/>
              </w:rPr>
              <w:t>921</w:t>
            </w:r>
            <w:r w:rsidRPr="00F41519">
              <w:rPr>
                <w:rFonts w:ascii="Arial Narrow" w:hAnsi="Arial Narrow"/>
                <w:color w:val="000000"/>
                <w:sz w:val="22"/>
                <w:szCs w:val="22"/>
              </w:rPr>
              <w:t>:201</w:t>
            </w:r>
            <w:r w:rsidR="00F97529">
              <w:rPr>
                <w:rFonts w:ascii="Arial Narrow" w:hAnsi="Arial Narrow"/>
                <w:color w:val="000000"/>
                <w:sz w:val="22"/>
                <w:szCs w:val="22"/>
              </w:rPr>
              <w:t>7</w:t>
            </w:r>
            <w:r w:rsidRPr="00F41519">
              <w:rPr>
                <w:rFonts w:ascii="Arial Narrow" w:hAnsi="Arial Narrow"/>
                <w:color w:val="000000"/>
                <w:sz w:val="22"/>
                <w:szCs w:val="22"/>
              </w:rPr>
              <w:t> </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5E9F123A"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178B1177"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4D29C644"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56A7F5D8" w14:textId="77777777" w:rsidR="00F41519" w:rsidRDefault="00F41519" w:rsidP="0035540C">
            <w:pPr>
              <w:rPr>
                <w:rFonts w:ascii="Calibri" w:hAnsi="Calibri"/>
                <w:color w:val="000000"/>
                <w:sz w:val="22"/>
                <w:szCs w:val="22"/>
              </w:rPr>
            </w:pPr>
          </w:p>
        </w:tc>
      </w:tr>
      <w:tr w:rsidR="00F41519" w14:paraId="77A8EAFD"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07036CF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29776704" w14:textId="551C42FC" w:rsidR="00F41519" w:rsidRPr="00C407BA" w:rsidRDefault="00F41519" w:rsidP="0035540C">
            <w:pPr>
              <w:jc w:val="left"/>
              <w:rPr>
                <w:rFonts w:ascii="Arial Narrow" w:hAnsi="Arial Narrow"/>
                <w:color w:val="000000"/>
                <w:sz w:val="22"/>
                <w:szCs w:val="22"/>
              </w:rPr>
            </w:pPr>
            <w:r w:rsidRPr="00F41519">
              <w:rPr>
                <w:rFonts w:ascii="Arial Narrow" w:hAnsi="Arial Narrow"/>
                <w:sz w:val="22"/>
                <w:szCs w:val="22"/>
              </w:rPr>
              <w:t>IEC 61</w:t>
            </w:r>
            <w:r w:rsidR="00F97529">
              <w:rPr>
                <w:rFonts w:ascii="Arial Narrow" w:hAnsi="Arial Narrow"/>
                <w:sz w:val="22"/>
                <w:szCs w:val="22"/>
              </w:rPr>
              <w:t>008-2-1</w:t>
            </w:r>
            <w:r w:rsidRPr="00F41519">
              <w:rPr>
                <w:rFonts w:ascii="Arial Narrow" w:hAnsi="Arial Narrow"/>
                <w:sz w:val="22"/>
                <w:szCs w:val="22"/>
              </w:rPr>
              <w:t>:</w:t>
            </w:r>
            <w:r w:rsidR="00F97529">
              <w:rPr>
                <w:rFonts w:ascii="Arial Narrow" w:hAnsi="Arial Narrow"/>
                <w:sz w:val="22"/>
                <w:szCs w:val="22"/>
              </w:rPr>
              <w:t>1990</w:t>
            </w:r>
          </w:p>
        </w:tc>
        <w:tc>
          <w:tcPr>
            <w:tcW w:w="1800" w:type="dxa"/>
            <w:tcBorders>
              <w:top w:val="nil"/>
              <w:left w:val="single" w:sz="4" w:space="0" w:color="auto"/>
              <w:bottom w:val="single" w:sz="4" w:space="0" w:color="auto"/>
              <w:right w:val="single" w:sz="4" w:space="0" w:color="auto"/>
            </w:tcBorders>
            <w:shd w:val="clear" w:color="auto" w:fill="auto"/>
          </w:tcPr>
          <w:p w14:paraId="64B7DBE4"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7C7BB90E"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31773843"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5B624A7" w14:textId="77777777" w:rsidR="00F41519" w:rsidRDefault="00F41519" w:rsidP="0035540C">
            <w:pPr>
              <w:rPr>
                <w:rFonts w:ascii="Calibri" w:hAnsi="Calibri"/>
                <w:color w:val="000000"/>
                <w:sz w:val="22"/>
                <w:szCs w:val="22"/>
              </w:rPr>
            </w:pPr>
          </w:p>
        </w:tc>
      </w:tr>
      <w:tr w:rsidR="00F41519" w14:paraId="6CDFD3BE"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264BE153" w14:textId="77777777" w:rsidR="00F41519" w:rsidRPr="00CF7A06" w:rsidRDefault="00F4151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480FF8E8" w14:textId="080679CE" w:rsidR="00F41519" w:rsidRPr="00C407BA" w:rsidRDefault="00F97529" w:rsidP="0035540C">
            <w:pPr>
              <w:jc w:val="left"/>
              <w:rPr>
                <w:rFonts w:ascii="Arial Narrow" w:hAnsi="Arial Narrow"/>
                <w:color w:val="000000"/>
                <w:sz w:val="22"/>
                <w:szCs w:val="22"/>
              </w:rPr>
            </w:pPr>
            <w:r w:rsidRPr="00F41519">
              <w:rPr>
                <w:rFonts w:ascii="Arial Narrow" w:hAnsi="Arial Narrow"/>
                <w:sz w:val="22"/>
                <w:szCs w:val="22"/>
              </w:rPr>
              <w:t>IEC 61</w:t>
            </w:r>
            <w:r>
              <w:rPr>
                <w:rFonts w:ascii="Arial Narrow" w:hAnsi="Arial Narrow"/>
                <w:sz w:val="22"/>
                <w:szCs w:val="22"/>
              </w:rPr>
              <w:t>008-2-2</w:t>
            </w:r>
            <w:r w:rsidRPr="00F41519">
              <w:rPr>
                <w:rFonts w:ascii="Arial Narrow" w:hAnsi="Arial Narrow"/>
                <w:sz w:val="22"/>
                <w:szCs w:val="22"/>
              </w:rPr>
              <w:t>:</w:t>
            </w:r>
            <w:r>
              <w:rPr>
                <w:rFonts w:ascii="Arial Narrow" w:hAnsi="Arial Narrow"/>
                <w:sz w:val="22"/>
                <w:szCs w:val="22"/>
              </w:rPr>
              <w:t>1990</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27CCA843" w14:textId="77777777" w:rsidR="00F41519" w:rsidRDefault="00F41519" w:rsidP="0035540C">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715FCCDB" w14:textId="77777777" w:rsidR="00F41519" w:rsidRDefault="00F41519" w:rsidP="0035540C">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0342E872" w14:textId="77777777" w:rsidR="00F41519" w:rsidRDefault="00F41519" w:rsidP="0035540C">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8DC0CB2" w14:textId="77777777" w:rsidR="00F41519" w:rsidRDefault="00F41519" w:rsidP="0035540C">
            <w:pPr>
              <w:rPr>
                <w:rFonts w:ascii="Calibri" w:hAnsi="Calibri"/>
                <w:color w:val="000000"/>
                <w:sz w:val="22"/>
                <w:szCs w:val="22"/>
              </w:rPr>
            </w:pPr>
          </w:p>
        </w:tc>
      </w:tr>
      <w:tr w:rsidR="00A806F3" w14:paraId="19D4E223"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1619C79D"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760B8296" w14:textId="00D0A1AE" w:rsidR="00A806F3" w:rsidRPr="00C407BA" w:rsidRDefault="00F97529" w:rsidP="00A806F3">
            <w:pPr>
              <w:jc w:val="left"/>
              <w:rPr>
                <w:rFonts w:ascii="Arial Narrow" w:hAnsi="Arial Narrow"/>
                <w:color w:val="000000"/>
                <w:sz w:val="22"/>
                <w:szCs w:val="22"/>
              </w:rPr>
            </w:pPr>
            <w:r w:rsidRPr="00F41519">
              <w:rPr>
                <w:rFonts w:ascii="Arial Narrow" w:hAnsi="Arial Narrow"/>
                <w:sz w:val="22"/>
                <w:szCs w:val="22"/>
              </w:rPr>
              <w:t>IEC 61</w:t>
            </w:r>
            <w:r>
              <w:rPr>
                <w:rFonts w:ascii="Arial Narrow" w:hAnsi="Arial Narrow"/>
                <w:sz w:val="22"/>
                <w:szCs w:val="22"/>
              </w:rPr>
              <w:t>008-1</w:t>
            </w:r>
            <w:r w:rsidRPr="00F41519">
              <w:rPr>
                <w:rFonts w:ascii="Arial Narrow" w:hAnsi="Arial Narrow"/>
                <w:sz w:val="22"/>
                <w:szCs w:val="22"/>
              </w:rPr>
              <w:t>:</w:t>
            </w:r>
            <w:r>
              <w:rPr>
                <w:rFonts w:ascii="Arial Narrow" w:hAnsi="Arial Narrow"/>
                <w:sz w:val="22"/>
                <w:szCs w:val="22"/>
              </w:rPr>
              <w:t>2013</w:t>
            </w:r>
          </w:p>
        </w:tc>
        <w:tc>
          <w:tcPr>
            <w:tcW w:w="1800" w:type="dxa"/>
            <w:tcBorders>
              <w:top w:val="nil"/>
              <w:left w:val="single" w:sz="4" w:space="0" w:color="auto"/>
              <w:bottom w:val="single" w:sz="4" w:space="0" w:color="auto"/>
              <w:right w:val="single" w:sz="4" w:space="0" w:color="auto"/>
            </w:tcBorders>
            <w:shd w:val="clear" w:color="auto" w:fill="auto"/>
          </w:tcPr>
          <w:p w14:paraId="329DA94E"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6574F611"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5310D71F"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48199E26" w14:textId="77777777" w:rsidR="00A806F3" w:rsidRDefault="00A806F3" w:rsidP="00A806F3">
            <w:pPr>
              <w:rPr>
                <w:rFonts w:ascii="Calibri" w:hAnsi="Calibri"/>
                <w:color w:val="000000"/>
                <w:sz w:val="22"/>
                <w:szCs w:val="22"/>
              </w:rPr>
            </w:pPr>
          </w:p>
        </w:tc>
      </w:tr>
      <w:tr w:rsidR="00A806F3" w14:paraId="3CCD17DC"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16F41363"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C98790F" w14:textId="0E8FDF4A" w:rsidR="00A806F3" w:rsidRPr="00C407BA" w:rsidRDefault="00A806F3" w:rsidP="00A806F3">
            <w:pPr>
              <w:jc w:val="left"/>
              <w:rPr>
                <w:rFonts w:ascii="Arial Narrow" w:hAnsi="Arial Narrow"/>
                <w:color w:val="000000"/>
                <w:sz w:val="22"/>
                <w:szCs w:val="22"/>
              </w:rPr>
            </w:pPr>
            <w:r w:rsidRPr="008F4949">
              <w:rPr>
                <w:rFonts w:ascii="Arial Narrow" w:hAnsi="Arial Narrow"/>
                <w:sz w:val="22"/>
                <w:szCs w:val="22"/>
              </w:rPr>
              <w:t>IEC 60898-</w:t>
            </w:r>
            <w:r w:rsidR="00F97529">
              <w:rPr>
                <w:rFonts w:ascii="Arial Narrow" w:hAnsi="Arial Narrow"/>
                <w:sz w:val="22"/>
                <w:szCs w:val="22"/>
              </w:rPr>
              <w:t>3</w:t>
            </w:r>
            <w:r w:rsidRPr="008F4949">
              <w:rPr>
                <w:rFonts w:ascii="Arial Narrow" w:hAnsi="Arial Narrow"/>
                <w:sz w:val="22"/>
                <w:szCs w:val="22"/>
              </w:rPr>
              <w:t>:20</w:t>
            </w:r>
            <w:r w:rsidR="00F97529">
              <w:rPr>
                <w:rFonts w:ascii="Arial Narrow" w:hAnsi="Arial Narrow"/>
                <w:sz w:val="22"/>
                <w:szCs w:val="22"/>
              </w:rPr>
              <w:t>19</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706901D9"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0778D407"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416ABD20"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36E65163" w14:textId="77777777" w:rsidR="00A806F3" w:rsidRDefault="00A806F3" w:rsidP="00A806F3">
            <w:pPr>
              <w:rPr>
                <w:rFonts w:ascii="Calibri" w:hAnsi="Calibri"/>
                <w:color w:val="000000"/>
                <w:sz w:val="22"/>
                <w:szCs w:val="22"/>
              </w:rPr>
            </w:pPr>
          </w:p>
        </w:tc>
      </w:tr>
      <w:tr w:rsidR="00A806F3" w14:paraId="2D9C8762"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2319250C"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16AEF3D6" w14:textId="5C7F8AB8" w:rsidR="00A806F3" w:rsidRPr="00C407BA" w:rsidRDefault="00A806F3" w:rsidP="00A806F3">
            <w:pPr>
              <w:jc w:val="left"/>
              <w:rPr>
                <w:rFonts w:ascii="Arial Narrow" w:hAnsi="Arial Narrow"/>
                <w:color w:val="000000"/>
                <w:sz w:val="22"/>
                <w:szCs w:val="22"/>
              </w:rPr>
            </w:pPr>
            <w:r w:rsidRPr="00F41519">
              <w:rPr>
                <w:rFonts w:ascii="Arial Narrow" w:hAnsi="Arial Narrow" w:cs="Arial"/>
                <w:sz w:val="22"/>
                <w:szCs w:val="22"/>
              </w:rPr>
              <w:t>IEC 61009-1:2013</w:t>
            </w:r>
          </w:p>
        </w:tc>
        <w:tc>
          <w:tcPr>
            <w:tcW w:w="1800" w:type="dxa"/>
            <w:tcBorders>
              <w:top w:val="nil"/>
              <w:left w:val="single" w:sz="4" w:space="0" w:color="auto"/>
              <w:bottom w:val="single" w:sz="4" w:space="0" w:color="auto"/>
              <w:right w:val="single" w:sz="4" w:space="0" w:color="auto"/>
            </w:tcBorders>
            <w:shd w:val="clear" w:color="auto" w:fill="auto"/>
          </w:tcPr>
          <w:p w14:paraId="50CD0E3E"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65A82E86"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000DA7E5"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26EEAE2C" w14:textId="77777777" w:rsidR="00A806F3" w:rsidRDefault="00A806F3" w:rsidP="00A806F3">
            <w:pPr>
              <w:rPr>
                <w:rFonts w:ascii="Calibri" w:hAnsi="Calibri"/>
                <w:color w:val="000000"/>
                <w:sz w:val="22"/>
                <w:szCs w:val="22"/>
              </w:rPr>
            </w:pPr>
          </w:p>
        </w:tc>
      </w:tr>
      <w:tr w:rsidR="00F97529" w14:paraId="1D123CC0"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7AF3AB0D" w14:textId="77777777" w:rsidR="00F97529" w:rsidRPr="00CF7A06" w:rsidRDefault="00F97529"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70F60470" w14:textId="7A31DD61" w:rsidR="00F97529" w:rsidRPr="00F41519" w:rsidRDefault="00F97529" w:rsidP="00A806F3">
            <w:pPr>
              <w:jc w:val="left"/>
              <w:rPr>
                <w:rFonts w:ascii="Arial Narrow" w:hAnsi="Arial Narrow" w:cs="Arial"/>
                <w:sz w:val="22"/>
                <w:szCs w:val="22"/>
              </w:rPr>
            </w:pPr>
            <w:r w:rsidRPr="00F41519">
              <w:rPr>
                <w:rFonts w:ascii="Arial Narrow" w:hAnsi="Arial Narrow" w:cs="Arial"/>
                <w:sz w:val="22"/>
                <w:szCs w:val="22"/>
              </w:rPr>
              <w:t>IEC 61009-</w:t>
            </w:r>
            <w:r>
              <w:rPr>
                <w:rFonts w:ascii="Arial Narrow" w:hAnsi="Arial Narrow" w:cs="Arial"/>
                <w:sz w:val="22"/>
                <w:szCs w:val="22"/>
              </w:rPr>
              <w:t>2-1</w:t>
            </w:r>
            <w:r w:rsidRPr="00F41519">
              <w:rPr>
                <w:rFonts w:ascii="Arial Narrow" w:hAnsi="Arial Narrow" w:cs="Arial"/>
                <w:sz w:val="22"/>
                <w:szCs w:val="22"/>
              </w:rPr>
              <w:t>:</w:t>
            </w:r>
            <w:r>
              <w:rPr>
                <w:rFonts w:ascii="Arial Narrow" w:hAnsi="Arial Narrow" w:cs="Arial"/>
                <w:sz w:val="22"/>
                <w:szCs w:val="22"/>
              </w:rPr>
              <w:t>1991</w:t>
            </w:r>
          </w:p>
        </w:tc>
        <w:tc>
          <w:tcPr>
            <w:tcW w:w="1800" w:type="dxa"/>
            <w:tcBorders>
              <w:top w:val="nil"/>
              <w:left w:val="single" w:sz="4" w:space="0" w:color="auto"/>
              <w:bottom w:val="single" w:sz="4" w:space="0" w:color="auto"/>
              <w:right w:val="single" w:sz="4" w:space="0" w:color="auto"/>
            </w:tcBorders>
            <w:shd w:val="clear" w:color="auto" w:fill="auto"/>
          </w:tcPr>
          <w:p w14:paraId="29152883" w14:textId="77777777" w:rsidR="00F97529" w:rsidRDefault="00F97529"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2BBFEBC1" w14:textId="77777777" w:rsidR="00F97529" w:rsidRDefault="00F97529"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7CC40D7F" w14:textId="77777777" w:rsidR="00F97529" w:rsidRDefault="00F97529"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0846BECC" w14:textId="77777777" w:rsidR="00F97529" w:rsidRDefault="00F97529" w:rsidP="00A806F3">
            <w:pPr>
              <w:rPr>
                <w:rFonts w:ascii="Calibri" w:hAnsi="Calibri"/>
                <w:color w:val="000000"/>
                <w:sz w:val="22"/>
                <w:szCs w:val="22"/>
              </w:rPr>
            </w:pPr>
          </w:p>
        </w:tc>
      </w:tr>
      <w:tr w:rsidR="00F97529" w14:paraId="2001DA54"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070F2DBE" w14:textId="77777777" w:rsidR="00F97529" w:rsidRPr="00CF7A06" w:rsidRDefault="00F97529" w:rsidP="00F97529">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6C5A7696" w14:textId="5AFB3F37" w:rsidR="00F97529" w:rsidRPr="00F41519" w:rsidRDefault="00F97529" w:rsidP="00F97529">
            <w:pPr>
              <w:jc w:val="left"/>
              <w:rPr>
                <w:rFonts w:ascii="Arial Narrow" w:hAnsi="Arial Narrow" w:cs="Arial"/>
                <w:sz w:val="22"/>
                <w:szCs w:val="22"/>
              </w:rPr>
            </w:pPr>
            <w:r w:rsidRPr="00F41519">
              <w:rPr>
                <w:rFonts w:ascii="Arial Narrow" w:hAnsi="Arial Narrow" w:cs="Arial"/>
                <w:sz w:val="22"/>
                <w:szCs w:val="22"/>
              </w:rPr>
              <w:t>IEC 61009-</w:t>
            </w:r>
            <w:r>
              <w:rPr>
                <w:rFonts w:ascii="Arial Narrow" w:hAnsi="Arial Narrow" w:cs="Arial"/>
                <w:sz w:val="22"/>
                <w:szCs w:val="22"/>
              </w:rPr>
              <w:t>2-2</w:t>
            </w:r>
            <w:r w:rsidRPr="00F41519">
              <w:rPr>
                <w:rFonts w:ascii="Arial Narrow" w:hAnsi="Arial Narrow" w:cs="Arial"/>
                <w:sz w:val="22"/>
                <w:szCs w:val="22"/>
              </w:rPr>
              <w:t>:</w:t>
            </w:r>
            <w:r>
              <w:rPr>
                <w:rFonts w:ascii="Arial Narrow" w:hAnsi="Arial Narrow" w:cs="Arial"/>
                <w:sz w:val="22"/>
                <w:szCs w:val="22"/>
              </w:rPr>
              <w:t>1991</w:t>
            </w:r>
          </w:p>
        </w:tc>
        <w:tc>
          <w:tcPr>
            <w:tcW w:w="1800" w:type="dxa"/>
            <w:tcBorders>
              <w:top w:val="nil"/>
              <w:left w:val="single" w:sz="4" w:space="0" w:color="auto"/>
              <w:bottom w:val="single" w:sz="4" w:space="0" w:color="auto"/>
              <w:right w:val="single" w:sz="4" w:space="0" w:color="auto"/>
            </w:tcBorders>
            <w:shd w:val="clear" w:color="auto" w:fill="auto"/>
          </w:tcPr>
          <w:p w14:paraId="65844AE8" w14:textId="77777777" w:rsidR="00F97529" w:rsidRDefault="00F97529" w:rsidP="00F97529">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1F3A8E36" w14:textId="77777777" w:rsidR="00F97529" w:rsidRDefault="00F97529" w:rsidP="00F97529">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246E5E9F" w14:textId="77777777" w:rsidR="00F97529" w:rsidRDefault="00F97529" w:rsidP="00F97529">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3930CBA9" w14:textId="77777777" w:rsidR="00F97529" w:rsidRDefault="00F97529" w:rsidP="00F97529">
            <w:pPr>
              <w:rPr>
                <w:rFonts w:ascii="Calibri" w:hAnsi="Calibri"/>
                <w:color w:val="000000"/>
                <w:sz w:val="22"/>
                <w:szCs w:val="22"/>
              </w:rPr>
            </w:pPr>
          </w:p>
        </w:tc>
      </w:tr>
      <w:tr w:rsidR="00F97529" w14:paraId="23B7A388"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auto"/>
          </w:tcPr>
          <w:p w14:paraId="304E0199" w14:textId="77777777" w:rsidR="00F97529" w:rsidRPr="00CF7A06" w:rsidRDefault="00F97529" w:rsidP="00F97529">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auto"/>
          </w:tcPr>
          <w:p w14:paraId="3BA00FF7" w14:textId="73B50B3A" w:rsidR="00F97529" w:rsidRPr="00F41519" w:rsidRDefault="00F97529" w:rsidP="00F97529">
            <w:pPr>
              <w:jc w:val="left"/>
              <w:rPr>
                <w:rFonts w:ascii="Arial Narrow" w:hAnsi="Arial Narrow" w:cs="Arial"/>
                <w:sz w:val="22"/>
                <w:szCs w:val="22"/>
              </w:rPr>
            </w:pPr>
            <w:r w:rsidRPr="00F41519">
              <w:rPr>
                <w:rFonts w:ascii="Arial Narrow" w:hAnsi="Arial Narrow" w:cs="Arial"/>
                <w:sz w:val="22"/>
                <w:szCs w:val="22"/>
              </w:rPr>
              <w:t>IEC 6</w:t>
            </w:r>
            <w:r>
              <w:rPr>
                <w:rFonts w:ascii="Arial Narrow" w:hAnsi="Arial Narrow" w:cs="Arial"/>
                <w:sz w:val="22"/>
                <w:szCs w:val="22"/>
              </w:rPr>
              <w:t>3052</w:t>
            </w:r>
            <w:r w:rsidRPr="00F41519">
              <w:rPr>
                <w:rFonts w:ascii="Arial Narrow" w:hAnsi="Arial Narrow" w:cs="Arial"/>
                <w:sz w:val="22"/>
                <w:szCs w:val="22"/>
              </w:rPr>
              <w:t>:</w:t>
            </w:r>
            <w:r>
              <w:rPr>
                <w:rFonts w:ascii="Arial Narrow" w:hAnsi="Arial Narrow" w:cs="Arial"/>
                <w:sz w:val="22"/>
                <w:szCs w:val="22"/>
              </w:rPr>
              <w:t>2019</w:t>
            </w:r>
          </w:p>
        </w:tc>
        <w:tc>
          <w:tcPr>
            <w:tcW w:w="1800" w:type="dxa"/>
            <w:tcBorders>
              <w:top w:val="nil"/>
              <w:left w:val="single" w:sz="4" w:space="0" w:color="auto"/>
              <w:bottom w:val="single" w:sz="4" w:space="0" w:color="auto"/>
              <w:right w:val="single" w:sz="4" w:space="0" w:color="auto"/>
            </w:tcBorders>
            <w:shd w:val="clear" w:color="auto" w:fill="auto"/>
          </w:tcPr>
          <w:p w14:paraId="06915837" w14:textId="77777777" w:rsidR="00F97529" w:rsidRDefault="00F97529" w:rsidP="00F97529">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auto"/>
          </w:tcPr>
          <w:p w14:paraId="10F1F586" w14:textId="77777777" w:rsidR="00F97529" w:rsidRDefault="00F97529" w:rsidP="00F97529">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auto"/>
          </w:tcPr>
          <w:p w14:paraId="2D64CA5B" w14:textId="77777777" w:rsidR="00F97529" w:rsidRDefault="00F97529" w:rsidP="00F97529">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auto"/>
          </w:tcPr>
          <w:p w14:paraId="0EB3D323" w14:textId="77777777" w:rsidR="00F97529" w:rsidRDefault="00F97529" w:rsidP="00F97529">
            <w:pPr>
              <w:rPr>
                <w:rFonts w:ascii="Calibri" w:hAnsi="Calibri"/>
                <w:color w:val="000000"/>
                <w:sz w:val="22"/>
                <w:szCs w:val="22"/>
              </w:rPr>
            </w:pPr>
          </w:p>
        </w:tc>
      </w:tr>
      <w:tr w:rsidR="00A806F3" w14:paraId="2F512F20" w14:textId="77777777" w:rsidTr="003554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auto" w:fill="C2D69B" w:themeFill="accent3" w:themeFillTint="99"/>
          </w:tcPr>
          <w:p w14:paraId="690280F5" w14:textId="77777777" w:rsidR="00A806F3" w:rsidRPr="00CF7A06" w:rsidRDefault="00A806F3" w:rsidP="00724286">
            <w:pPr>
              <w:pStyle w:val="ListParagraph"/>
              <w:numPr>
                <w:ilvl w:val="0"/>
                <w:numId w:val="2"/>
              </w:numPr>
              <w:rPr>
                <w:rFonts w:ascii="Calibri" w:hAnsi="Calibri"/>
                <w:color w:val="000000"/>
                <w:sz w:val="22"/>
                <w:szCs w:val="22"/>
              </w:rPr>
            </w:pPr>
          </w:p>
        </w:tc>
        <w:tc>
          <w:tcPr>
            <w:tcW w:w="1890" w:type="dxa"/>
            <w:tcBorders>
              <w:top w:val="nil"/>
              <w:left w:val="single" w:sz="4" w:space="0" w:color="auto"/>
              <w:bottom w:val="single" w:sz="4" w:space="0" w:color="auto"/>
              <w:right w:val="single" w:sz="4" w:space="0" w:color="auto"/>
            </w:tcBorders>
            <w:shd w:val="clear" w:color="auto" w:fill="C2D69B" w:themeFill="accent3" w:themeFillTint="99"/>
          </w:tcPr>
          <w:p w14:paraId="201A265A" w14:textId="2CDABCC8" w:rsidR="00A806F3" w:rsidRPr="00C407BA" w:rsidRDefault="00F97529" w:rsidP="00A806F3">
            <w:pPr>
              <w:jc w:val="left"/>
              <w:rPr>
                <w:rFonts w:ascii="Arial Narrow" w:hAnsi="Arial Narrow"/>
                <w:color w:val="000000"/>
                <w:sz w:val="22"/>
                <w:szCs w:val="22"/>
              </w:rPr>
            </w:pPr>
            <w:r>
              <w:rPr>
                <w:rFonts w:ascii="Arial Narrow" w:hAnsi="Arial Narrow"/>
                <w:color w:val="000000"/>
                <w:sz w:val="22"/>
                <w:szCs w:val="22"/>
              </w:rPr>
              <w:t xml:space="preserve">IEC </w:t>
            </w:r>
            <w:r w:rsidR="00A95D4E">
              <w:rPr>
                <w:rFonts w:ascii="Arial Narrow" w:hAnsi="Arial Narrow"/>
                <w:color w:val="000000"/>
                <w:sz w:val="22"/>
                <w:szCs w:val="22"/>
              </w:rPr>
              <w:t>60826:2017</w:t>
            </w:r>
          </w:p>
        </w:tc>
        <w:tc>
          <w:tcPr>
            <w:tcW w:w="1800" w:type="dxa"/>
            <w:tcBorders>
              <w:top w:val="nil"/>
              <w:left w:val="single" w:sz="4" w:space="0" w:color="auto"/>
              <w:bottom w:val="single" w:sz="4" w:space="0" w:color="auto"/>
              <w:right w:val="single" w:sz="4" w:space="0" w:color="auto"/>
            </w:tcBorders>
            <w:shd w:val="clear" w:color="auto" w:fill="C2D69B" w:themeFill="accent3" w:themeFillTint="99"/>
          </w:tcPr>
          <w:p w14:paraId="263DFB07" w14:textId="77777777" w:rsidR="00A806F3" w:rsidRDefault="00A806F3" w:rsidP="00A806F3">
            <w:pPr>
              <w:rPr>
                <w:rFonts w:ascii="Calibri" w:hAnsi="Calibri"/>
                <w:color w:val="000000"/>
                <w:sz w:val="22"/>
                <w:szCs w:val="22"/>
              </w:rPr>
            </w:pPr>
          </w:p>
        </w:tc>
        <w:tc>
          <w:tcPr>
            <w:tcW w:w="2520" w:type="dxa"/>
            <w:tcBorders>
              <w:top w:val="nil"/>
              <w:left w:val="single" w:sz="4" w:space="0" w:color="auto"/>
              <w:bottom w:val="single" w:sz="4" w:space="0" w:color="auto"/>
              <w:right w:val="single" w:sz="4" w:space="0" w:color="auto"/>
            </w:tcBorders>
            <w:shd w:val="clear" w:color="auto" w:fill="C2D69B" w:themeFill="accent3" w:themeFillTint="99"/>
          </w:tcPr>
          <w:p w14:paraId="32D3F517" w14:textId="77777777" w:rsidR="00A806F3" w:rsidRDefault="00A806F3" w:rsidP="00A806F3">
            <w:pPr>
              <w:rPr>
                <w:rFonts w:ascii="Calibri" w:hAnsi="Calibri"/>
                <w:color w:val="000000"/>
                <w:sz w:val="22"/>
                <w:szCs w:val="22"/>
              </w:rPr>
            </w:pPr>
          </w:p>
        </w:tc>
        <w:tc>
          <w:tcPr>
            <w:tcW w:w="3690" w:type="dxa"/>
            <w:tcBorders>
              <w:top w:val="nil"/>
              <w:left w:val="single" w:sz="4" w:space="0" w:color="auto"/>
              <w:bottom w:val="single" w:sz="4" w:space="0" w:color="auto"/>
              <w:right w:val="single" w:sz="4" w:space="0" w:color="auto"/>
            </w:tcBorders>
            <w:shd w:val="clear" w:color="auto" w:fill="C2D69B" w:themeFill="accent3" w:themeFillTint="99"/>
          </w:tcPr>
          <w:p w14:paraId="086E3A04" w14:textId="77777777" w:rsidR="00A806F3" w:rsidRDefault="00A806F3" w:rsidP="00A806F3">
            <w:pPr>
              <w:rPr>
                <w:rFonts w:ascii="Calibri" w:hAnsi="Calibri"/>
                <w:color w:val="000000"/>
                <w:sz w:val="22"/>
                <w:szCs w:val="22"/>
              </w:rPr>
            </w:pPr>
          </w:p>
        </w:tc>
        <w:tc>
          <w:tcPr>
            <w:tcW w:w="4410" w:type="dxa"/>
            <w:tcBorders>
              <w:top w:val="nil"/>
              <w:left w:val="single" w:sz="4" w:space="0" w:color="auto"/>
              <w:bottom w:val="single" w:sz="4" w:space="0" w:color="auto"/>
              <w:right w:val="single" w:sz="4" w:space="0" w:color="auto"/>
            </w:tcBorders>
            <w:shd w:val="clear" w:color="auto" w:fill="C2D69B" w:themeFill="accent3" w:themeFillTint="99"/>
          </w:tcPr>
          <w:p w14:paraId="07B469F2" w14:textId="77777777" w:rsidR="00A806F3" w:rsidRDefault="00A806F3" w:rsidP="00A806F3">
            <w:pPr>
              <w:rPr>
                <w:rFonts w:ascii="Calibri" w:hAnsi="Calibri"/>
                <w:color w:val="000000"/>
                <w:sz w:val="22"/>
                <w:szCs w:val="22"/>
              </w:rPr>
            </w:pPr>
          </w:p>
        </w:tc>
      </w:tr>
    </w:tbl>
    <w:p w14:paraId="588999AB" w14:textId="77777777" w:rsidR="00A806F3" w:rsidRDefault="00A806F3" w:rsidP="00A806F3">
      <w:pPr>
        <w:jc w:val="left"/>
        <w:rPr>
          <w:rFonts w:ascii="Arial" w:hAnsi="Arial" w:cs="Arial"/>
          <w:sz w:val="20"/>
        </w:rPr>
      </w:pPr>
    </w:p>
    <w:p w14:paraId="074FB8CB" w14:textId="77777777" w:rsidR="00E774BD" w:rsidRDefault="00E774BD" w:rsidP="00E774BD">
      <w:pPr>
        <w:jc w:val="left"/>
        <w:rPr>
          <w:rFonts w:ascii="Arial" w:hAnsi="Arial" w:cs="Arial"/>
          <w:sz w:val="20"/>
        </w:rPr>
      </w:pPr>
    </w:p>
    <w:p w14:paraId="3BE5A6F0" w14:textId="77777777" w:rsidR="001D7A55" w:rsidRDefault="001D7A55" w:rsidP="001D7A55">
      <w:pPr>
        <w:autoSpaceDE w:val="0"/>
        <w:autoSpaceDN w:val="0"/>
        <w:adjustRightInd w:val="0"/>
        <w:jc w:val="left"/>
        <w:rPr>
          <w:rFonts w:ascii="Arial" w:hAnsi="Arial" w:cs="Arial"/>
          <w:sz w:val="20"/>
        </w:rPr>
      </w:pPr>
    </w:p>
    <w:p w14:paraId="74420BC4" w14:textId="77777777" w:rsidR="00904334" w:rsidRDefault="00904334">
      <w:pPr>
        <w:spacing w:before="0" w:after="0"/>
        <w:jc w:val="left"/>
        <w:rPr>
          <w:rFonts w:ascii="Arial" w:hAnsi="Arial" w:cs="Arial"/>
          <w:b/>
          <w:sz w:val="20"/>
          <w:szCs w:val="20"/>
        </w:rPr>
      </w:pPr>
    </w:p>
    <w:tbl>
      <w:tblPr>
        <w:tblW w:w="9396" w:type="dxa"/>
        <w:tblInd w:w="18" w:type="dxa"/>
        <w:tblLayout w:type="fixed"/>
        <w:tblLook w:val="04A0" w:firstRow="1" w:lastRow="0" w:firstColumn="1" w:lastColumn="0" w:noHBand="0" w:noVBand="1"/>
      </w:tblPr>
      <w:tblGrid>
        <w:gridCol w:w="2788"/>
        <w:gridCol w:w="2774"/>
        <w:gridCol w:w="928"/>
        <w:gridCol w:w="2906"/>
      </w:tblGrid>
      <w:tr w:rsidR="001D7A55" w:rsidRPr="00652429" w14:paraId="3FC10EBC" w14:textId="77777777" w:rsidTr="00166644">
        <w:tc>
          <w:tcPr>
            <w:tcW w:w="2788" w:type="dxa"/>
            <w:vAlign w:val="center"/>
          </w:tcPr>
          <w:p w14:paraId="24CA6274"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Name and (of respondent)</w:t>
            </w:r>
          </w:p>
        </w:tc>
        <w:tc>
          <w:tcPr>
            <w:tcW w:w="2774" w:type="dxa"/>
          </w:tcPr>
          <w:p w14:paraId="032FC68C" w14:textId="77777777" w:rsidR="001D7A55" w:rsidRPr="00652429" w:rsidRDefault="001D7A55" w:rsidP="00166644">
            <w:pPr>
              <w:tabs>
                <w:tab w:val="right" w:leader="dot" w:pos="2557"/>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5AE0AA7F"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Position</w:t>
            </w:r>
          </w:p>
        </w:tc>
        <w:tc>
          <w:tcPr>
            <w:tcW w:w="2906" w:type="dxa"/>
          </w:tcPr>
          <w:p w14:paraId="77F9A878" w14:textId="77777777" w:rsidR="001D7A55" w:rsidRPr="00652429" w:rsidRDefault="001D7A55" w:rsidP="00166644">
            <w:pPr>
              <w:tabs>
                <w:tab w:val="right" w:leader="dot" w:pos="2744"/>
              </w:tabs>
              <w:autoSpaceDE w:val="0"/>
              <w:autoSpaceDN w:val="0"/>
              <w:adjustRightInd w:val="0"/>
              <w:rPr>
                <w:rFonts w:ascii="Arial" w:hAnsi="Arial" w:cs="Arial"/>
                <w:sz w:val="20"/>
                <w:szCs w:val="20"/>
              </w:rPr>
            </w:pPr>
            <w:r w:rsidRPr="00652429">
              <w:rPr>
                <w:rFonts w:ascii="Arial" w:hAnsi="Arial" w:cs="Arial"/>
                <w:sz w:val="20"/>
                <w:szCs w:val="20"/>
              </w:rPr>
              <w:tab/>
            </w:r>
          </w:p>
        </w:tc>
      </w:tr>
      <w:tr w:rsidR="001D7A55" w:rsidRPr="00652429" w14:paraId="53714893" w14:textId="77777777" w:rsidTr="00166644">
        <w:tc>
          <w:tcPr>
            <w:tcW w:w="2788" w:type="dxa"/>
            <w:vAlign w:val="center"/>
          </w:tcPr>
          <w:p w14:paraId="6C5F27F9" w14:textId="77777777" w:rsidR="001D7A55" w:rsidRPr="00652429" w:rsidRDefault="001D7A55" w:rsidP="00166644">
            <w:pPr>
              <w:autoSpaceDE w:val="0"/>
              <w:autoSpaceDN w:val="0"/>
              <w:adjustRightInd w:val="0"/>
              <w:jc w:val="left"/>
              <w:rPr>
                <w:rFonts w:ascii="Arial" w:hAnsi="Arial" w:cs="Arial"/>
                <w:sz w:val="20"/>
                <w:szCs w:val="20"/>
              </w:rPr>
            </w:pPr>
            <w:r w:rsidRPr="00652429">
              <w:rPr>
                <w:rFonts w:ascii="Arial" w:hAnsi="Arial" w:cs="Arial"/>
                <w:sz w:val="20"/>
                <w:szCs w:val="20"/>
              </w:rPr>
              <w:t>Signature</w:t>
            </w:r>
          </w:p>
        </w:tc>
        <w:tc>
          <w:tcPr>
            <w:tcW w:w="2774" w:type="dxa"/>
          </w:tcPr>
          <w:p w14:paraId="198D67F5" w14:textId="77777777" w:rsidR="001D7A55" w:rsidRPr="00652429" w:rsidRDefault="001D7A55" w:rsidP="00166644">
            <w:pPr>
              <w:tabs>
                <w:tab w:val="right" w:leader="dot" w:pos="2556"/>
              </w:tabs>
              <w:autoSpaceDE w:val="0"/>
              <w:autoSpaceDN w:val="0"/>
              <w:adjustRightInd w:val="0"/>
              <w:rPr>
                <w:rFonts w:ascii="Arial" w:hAnsi="Arial" w:cs="Arial"/>
                <w:sz w:val="20"/>
                <w:szCs w:val="20"/>
              </w:rPr>
            </w:pPr>
            <w:r w:rsidRPr="00652429">
              <w:rPr>
                <w:rFonts w:ascii="Arial" w:hAnsi="Arial" w:cs="Arial"/>
                <w:sz w:val="20"/>
                <w:szCs w:val="20"/>
              </w:rPr>
              <w:tab/>
            </w:r>
          </w:p>
        </w:tc>
        <w:tc>
          <w:tcPr>
            <w:tcW w:w="928" w:type="dxa"/>
          </w:tcPr>
          <w:p w14:paraId="60D9D614" w14:textId="77777777" w:rsidR="001D7A55" w:rsidRPr="00652429" w:rsidRDefault="001D7A55" w:rsidP="00166644">
            <w:pPr>
              <w:autoSpaceDE w:val="0"/>
              <w:autoSpaceDN w:val="0"/>
              <w:adjustRightInd w:val="0"/>
              <w:jc w:val="left"/>
              <w:rPr>
                <w:rFonts w:ascii="Arial" w:hAnsi="Arial" w:cs="Arial"/>
                <w:sz w:val="20"/>
                <w:szCs w:val="20"/>
              </w:rPr>
            </w:pPr>
          </w:p>
        </w:tc>
        <w:tc>
          <w:tcPr>
            <w:tcW w:w="2906" w:type="dxa"/>
          </w:tcPr>
          <w:p w14:paraId="1FF6A053" w14:textId="77777777" w:rsidR="001D7A55" w:rsidRPr="00652429" w:rsidRDefault="001D7A55" w:rsidP="00166644">
            <w:pPr>
              <w:autoSpaceDE w:val="0"/>
              <w:autoSpaceDN w:val="0"/>
              <w:adjustRightInd w:val="0"/>
              <w:rPr>
                <w:rFonts w:ascii="Arial" w:hAnsi="Arial" w:cs="Arial"/>
                <w:sz w:val="20"/>
                <w:szCs w:val="20"/>
              </w:rPr>
            </w:pPr>
          </w:p>
        </w:tc>
      </w:tr>
    </w:tbl>
    <w:p w14:paraId="3BFA00A0"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lastRenderedPageBreak/>
        <w:t xml:space="preserve">On behalf of: </w:t>
      </w:r>
      <w:r>
        <w:rPr>
          <w:rFonts w:ascii="Arial" w:hAnsi="Arial" w:cs="Arial"/>
          <w:sz w:val="20"/>
          <w:szCs w:val="20"/>
        </w:rPr>
        <w:tab/>
        <w:t>(Name of organization)</w:t>
      </w:r>
    </w:p>
    <w:p w14:paraId="00F6D012" w14:textId="77777777" w:rsidR="001D7A55" w:rsidRDefault="001D7A55" w:rsidP="001D7A55">
      <w:pPr>
        <w:tabs>
          <w:tab w:val="right" w:leader="dot" w:pos="9000"/>
        </w:tabs>
        <w:autoSpaceDE w:val="0"/>
        <w:autoSpaceDN w:val="0"/>
        <w:adjustRightInd w:val="0"/>
        <w:rPr>
          <w:rFonts w:ascii="Arial" w:hAnsi="Arial" w:cs="Arial"/>
          <w:sz w:val="20"/>
          <w:szCs w:val="20"/>
        </w:rPr>
      </w:pPr>
    </w:p>
    <w:p w14:paraId="17990321" w14:textId="77777777" w:rsidR="001D7A55" w:rsidRDefault="001D7A55" w:rsidP="001D7A55">
      <w:pPr>
        <w:tabs>
          <w:tab w:val="right" w:leader="dot" w:pos="9000"/>
        </w:tabs>
        <w:autoSpaceDE w:val="0"/>
        <w:autoSpaceDN w:val="0"/>
        <w:adjustRightInd w:val="0"/>
        <w:rPr>
          <w:rFonts w:ascii="Arial" w:hAnsi="Arial" w:cs="Arial"/>
          <w:sz w:val="20"/>
          <w:szCs w:val="20"/>
        </w:rPr>
      </w:pPr>
      <w:r>
        <w:rPr>
          <w:rFonts w:ascii="Arial" w:hAnsi="Arial" w:cs="Arial"/>
          <w:sz w:val="20"/>
          <w:szCs w:val="20"/>
        </w:rPr>
        <w:t>Date (&amp; stamp):</w:t>
      </w:r>
      <w:r>
        <w:rPr>
          <w:rFonts w:ascii="Arial" w:hAnsi="Arial" w:cs="Arial"/>
          <w:sz w:val="20"/>
          <w:szCs w:val="20"/>
        </w:rPr>
        <w:tab/>
      </w:r>
    </w:p>
    <w:p w14:paraId="6419D27E" w14:textId="77777777" w:rsidR="001D7A55" w:rsidRDefault="001D7A55" w:rsidP="001D7A55">
      <w:pPr>
        <w:tabs>
          <w:tab w:val="right" w:leader="dot" w:pos="3600"/>
        </w:tabs>
        <w:autoSpaceDE w:val="0"/>
        <w:autoSpaceDN w:val="0"/>
        <w:adjustRightInd w:val="0"/>
        <w:rPr>
          <w:rFonts w:ascii="Arial" w:hAnsi="Arial" w:cs="Arial"/>
          <w:b/>
          <w:bCs/>
          <w:sz w:val="20"/>
          <w:szCs w:val="20"/>
        </w:rPr>
      </w:pPr>
    </w:p>
    <w:p w14:paraId="4DAD1862" w14:textId="77777777" w:rsidR="00904334" w:rsidRDefault="00904334" w:rsidP="00476061">
      <w:pPr>
        <w:tabs>
          <w:tab w:val="right" w:leader="dot" w:pos="9000"/>
        </w:tabs>
        <w:autoSpaceDE w:val="0"/>
        <w:autoSpaceDN w:val="0"/>
        <w:adjustRightInd w:val="0"/>
        <w:ind w:left="360"/>
        <w:rPr>
          <w:rFonts w:ascii="Arial" w:hAnsi="Arial" w:cs="Arial"/>
          <w:sz w:val="20"/>
          <w:szCs w:val="20"/>
        </w:rPr>
      </w:pPr>
    </w:p>
    <w:sectPr w:rsidR="00904334" w:rsidSect="00E774BD">
      <w:headerReference w:type="first" r:id="rId28"/>
      <w:pgSz w:w="16834" w:h="11909" w:orient="landscape" w:code="9"/>
      <w:pgMar w:top="1440" w:right="126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4A0D3" w14:textId="77777777" w:rsidR="00B02A45" w:rsidRDefault="00B02A45">
      <w:r>
        <w:separator/>
      </w:r>
    </w:p>
  </w:endnote>
  <w:endnote w:type="continuationSeparator" w:id="0">
    <w:p w14:paraId="1D1AF3AB" w14:textId="77777777" w:rsidR="00B02A45" w:rsidRDefault="00B0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DE642" w14:textId="77777777" w:rsidR="00B02A45" w:rsidRDefault="00B02A45">
      <w:r>
        <w:separator/>
      </w:r>
    </w:p>
  </w:footnote>
  <w:footnote w:type="continuationSeparator" w:id="0">
    <w:p w14:paraId="71B74CDE" w14:textId="77777777" w:rsidR="00B02A45" w:rsidRDefault="00B02A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13"/>
      <w:gridCol w:w="4478"/>
    </w:tblGrid>
    <w:tr w:rsidR="00981A51" w:rsidRPr="00E70218" w14:paraId="40EC7F84" w14:textId="77777777" w:rsidTr="00166644">
      <w:trPr>
        <w:trHeight w:val="368"/>
      </w:trPr>
      <w:tc>
        <w:tcPr>
          <w:tcW w:w="7155" w:type="dxa"/>
          <w:tcBorders>
            <w:top w:val="single" w:sz="4" w:space="0" w:color="auto"/>
            <w:left w:val="single" w:sz="4" w:space="0" w:color="auto"/>
            <w:bottom w:val="single" w:sz="4" w:space="0" w:color="auto"/>
            <w:right w:val="single" w:sz="4" w:space="0" w:color="auto"/>
          </w:tcBorders>
        </w:tcPr>
        <w:p w14:paraId="09D36C88" w14:textId="3284844F" w:rsidR="00981A51" w:rsidRPr="00E70218" w:rsidRDefault="00981A51" w:rsidP="00422406">
          <w:pPr>
            <w:tabs>
              <w:tab w:val="center" w:pos="4320"/>
              <w:tab w:val="right" w:pos="8640"/>
            </w:tabs>
            <w:rPr>
              <w:rFonts w:ascii="Arial" w:hAnsi="Arial" w:cs="Arial"/>
              <w:sz w:val="20"/>
              <w:szCs w:val="20"/>
            </w:rPr>
          </w:pPr>
          <w:r w:rsidRPr="00A57928">
            <w:rPr>
              <w:rFonts w:ascii="Arial" w:hAnsi="Arial" w:cs="Arial"/>
              <w:b/>
              <w:sz w:val="20"/>
              <w:szCs w:val="20"/>
            </w:rPr>
            <w:t>Circulation date</w:t>
          </w:r>
          <w:r w:rsidR="001B00BC">
            <w:rPr>
              <w:rFonts w:ascii="Arial" w:hAnsi="Arial" w:cs="Arial"/>
              <w:sz w:val="20"/>
              <w:szCs w:val="20"/>
            </w:rPr>
            <w:t>: 20</w:t>
          </w:r>
          <w:r w:rsidR="0071045E">
            <w:rPr>
              <w:rFonts w:ascii="Arial" w:hAnsi="Arial" w:cs="Arial"/>
              <w:sz w:val="20"/>
              <w:szCs w:val="20"/>
            </w:rPr>
            <w:t>2</w:t>
          </w:r>
          <w:r w:rsidR="00AA4CD5">
            <w:rPr>
              <w:rFonts w:ascii="Arial" w:hAnsi="Arial" w:cs="Arial"/>
              <w:sz w:val="20"/>
              <w:szCs w:val="20"/>
            </w:rPr>
            <w:t>1</w:t>
          </w:r>
          <w:r w:rsidR="00422406">
            <w:rPr>
              <w:rFonts w:ascii="Arial" w:hAnsi="Arial" w:cs="Arial"/>
              <w:sz w:val="20"/>
              <w:szCs w:val="20"/>
            </w:rPr>
            <w:t>-0</w:t>
          </w:r>
          <w:r w:rsidR="00AA4CD5">
            <w:rPr>
              <w:rFonts w:ascii="Arial" w:hAnsi="Arial" w:cs="Arial"/>
              <w:sz w:val="20"/>
              <w:szCs w:val="20"/>
            </w:rPr>
            <w:t>1</w:t>
          </w:r>
          <w:r>
            <w:rPr>
              <w:rFonts w:ascii="Arial" w:hAnsi="Arial" w:cs="Arial"/>
              <w:sz w:val="20"/>
              <w:szCs w:val="20"/>
            </w:rPr>
            <w:t>-</w:t>
          </w:r>
          <w:r w:rsidR="00AA4CD5">
            <w:rPr>
              <w:rFonts w:ascii="Arial" w:hAnsi="Arial" w:cs="Arial"/>
              <w:sz w:val="20"/>
              <w:szCs w:val="20"/>
            </w:rPr>
            <w:t>18</w:t>
          </w:r>
        </w:p>
      </w:tc>
      <w:tc>
        <w:tcPr>
          <w:tcW w:w="7155" w:type="dxa"/>
          <w:tcBorders>
            <w:top w:val="single" w:sz="4" w:space="0" w:color="auto"/>
            <w:left w:val="single" w:sz="4" w:space="0" w:color="auto"/>
            <w:bottom w:val="single" w:sz="4" w:space="0" w:color="auto"/>
            <w:right w:val="single" w:sz="4" w:space="0" w:color="auto"/>
          </w:tcBorders>
        </w:tcPr>
        <w:p w14:paraId="0EF75109" w14:textId="21D502F4" w:rsidR="00981A51" w:rsidRPr="00E70218" w:rsidRDefault="00981A51" w:rsidP="00422406">
          <w:pPr>
            <w:tabs>
              <w:tab w:val="center" w:pos="4320"/>
              <w:tab w:val="right" w:pos="8640"/>
            </w:tabs>
            <w:jc w:val="right"/>
            <w:rPr>
              <w:rFonts w:ascii="Arial" w:hAnsi="Arial" w:cs="Arial"/>
              <w:sz w:val="20"/>
              <w:szCs w:val="20"/>
            </w:rPr>
          </w:pPr>
          <w:r w:rsidRPr="00A57928">
            <w:rPr>
              <w:rFonts w:ascii="Arial" w:hAnsi="Arial" w:cs="Arial"/>
              <w:b/>
              <w:sz w:val="20"/>
              <w:szCs w:val="20"/>
            </w:rPr>
            <w:t>Closing date</w:t>
          </w:r>
          <w:r w:rsidR="001B00BC">
            <w:rPr>
              <w:rFonts w:ascii="Arial" w:hAnsi="Arial" w:cs="Arial"/>
              <w:sz w:val="20"/>
              <w:szCs w:val="20"/>
            </w:rPr>
            <w:t>: 20</w:t>
          </w:r>
          <w:r w:rsidR="0071045E">
            <w:rPr>
              <w:rFonts w:ascii="Arial" w:hAnsi="Arial" w:cs="Arial"/>
              <w:sz w:val="20"/>
              <w:szCs w:val="20"/>
            </w:rPr>
            <w:t>2</w:t>
          </w:r>
          <w:r w:rsidR="00AA4CD5">
            <w:rPr>
              <w:rFonts w:ascii="Arial" w:hAnsi="Arial" w:cs="Arial"/>
              <w:sz w:val="20"/>
              <w:szCs w:val="20"/>
            </w:rPr>
            <w:t>1</w:t>
          </w:r>
          <w:r>
            <w:rPr>
              <w:rFonts w:ascii="Arial" w:hAnsi="Arial" w:cs="Arial"/>
              <w:sz w:val="20"/>
              <w:szCs w:val="20"/>
            </w:rPr>
            <w:t>-0</w:t>
          </w:r>
          <w:r w:rsidR="00AA4CD5">
            <w:rPr>
              <w:rFonts w:ascii="Arial" w:hAnsi="Arial" w:cs="Arial"/>
              <w:sz w:val="20"/>
              <w:szCs w:val="20"/>
            </w:rPr>
            <w:t>2</w:t>
          </w:r>
          <w:r>
            <w:rPr>
              <w:rFonts w:ascii="Arial" w:hAnsi="Arial" w:cs="Arial"/>
              <w:sz w:val="20"/>
              <w:szCs w:val="20"/>
            </w:rPr>
            <w:t>-</w:t>
          </w:r>
          <w:r w:rsidR="0071045E">
            <w:rPr>
              <w:rFonts w:ascii="Arial" w:hAnsi="Arial" w:cs="Arial"/>
              <w:sz w:val="20"/>
              <w:szCs w:val="20"/>
            </w:rPr>
            <w:t>1</w:t>
          </w:r>
          <w:r w:rsidR="00AA4CD5">
            <w:rPr>
              <w:rFonts w:ascii="Arial" w:hAnsi="Arial" w:cs="Arial"/>
              <w:sz w:val="20"/>
              <w:szCs w:val="20"/>
            </w:rPr>
            <w:t>8</w:t>
          </w:r>
        </w:p>
      </w:tc>
    </w:tr>
  </w:tbl>
  <w:p w14:paraId="4BE4BC1A" w14:textId="77777777" w:rsidR="00981A51" w:rsidRDefault="00981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50C"/>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7B31"/>
    <w:multiLevelType w:val="multilevel"/>
    <w:tmpl w:val="9370D846"/>
    <w:lvl w:ilvl="0">
      <w:start w:val="1"/>
      <w:numFmt w:val="lowerLetter"/>
      <w:lvlText w:val="%1."/>
      <w:lvlJc w:val="left"/>
      <w:pPr>
        <w:tabs>
          <w:tab w:val="num" w:pos="360"/>
        </w:tabs>
        <w:ind w:left="36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8243135"/>
    <w:multiLevelType w:val="hybridMultilevel"/>
    <w:tmpl w:val="5F00D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F1BD8"/>
    <w:multiLevelType w:val="multilevel"/>
    <w:tmpl w:val="B26A17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5CF047A"/>
    <w:multiLevelType w:val="multilevel"/>
    <w:tmpl w:val="D286E9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fr-FR"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KE"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03F"/>
    <w:rsid w:val="00001C4C"/>
    <w:rsid w:val="000049D4"/>
    <w:rsid w:val="000112E3"/>
    <w:rsid w:val="00014506"/>
    <w:rsid w:val="00014A9C"/>
    <w:rsid w:val="00017A5F"/>
    <w:rsid w:val="000203A3"/>
    <w:rsid w:val="000233D3"/>
    <w:rsid w:val="00024973"/>
    <w:rsid w:val="00024D8A"/>
    <w:rsid w:val="000257D6"/>
    <w:rsid w:val="00031070"/>
    <w:rsid w:val="00033ABB"/>
    <w:rsid w:val="00043B38"/>
    <w:rsid w:val="000457CA"/>
    <w:rsid w:val="00045FC9"/>
    <w:rsid w:val="00050CDC"/>
    <w:rsid w:val="0005647D"/>
    <w:rsid w:val="000569CE"/>
    <w:rsid w:val="00061E5E"/>
    <w:rsid w:val="00065813"/>
    <w:rsid w:val="00067636"/>
    <w:rsid w:val="00067904"/>
    <w:rsid w:val="00072627"/>
    <w:rsid w:val="000751F4"/>
    <w:rsid w:val="00085194"/>
    <w:rsid w:val="000853A4"/>
    <w:rsid w:val="00091BEC"/>
    <w:rsid w:val="00094EDA"/>
    <w:rsid w:val="000A1933"/>
    <w:rsid w:val="000A631A"/>
    <w:rsid w:val="000A708C"/>
    <w:rsid w:val="000B1EA0"/>
    <w:rsid w:val="000B2B82"/>
    <w:rsid w:val="000B6330"/>
    <w:rsid w:val="000B752F"/>
    <w:rsid w:val="000B7C32"/>
    <w:rsid w:val="000B7E0B"/>
    <w:rsid w:val="000C0D75"/>
    <w:rsid w:val="000C0E31"/>
    <w:rsid w:val="000C4F2A"/>
    <w:rsid w:val="000D07C9"/>
    <w:rsid w:val="000D1F40"/>
    <w:rsid w:val="000E1353"/>
    <w:rsid w:val="000E1F73"/>
    <w:rsid w:val="000E52B2"/>
    <w:rsid w:val="000F3EC3"/>
    <w:rsid w:val="000F4963"/>
    <w:rsid w:val="00100E14"/>
    <w:rsid w:val="001056AE"/>
    <w:rsid w:val="00113300"/>
    <w:rsid w:val="00113FB3"/>
    <w:rsid w:val="00117C5F"/>
    <w:rsid w:val="001207E5"/>
    <w:rsid w:val="00121450"/>
    <w:rsid w:val="001272B7"/>
    <w:rsid w:val="00133174"/>
    <w:rsid w:val="00134E92"/>
    <w:rsid w:val="00135631"/>
    <w:rsid w:val="00144EBE"/>
    <w:rsid w:val="0014730D"/>
    <w:rsid w:val="001502DC"/>
    <w:rsid w:val="00164015"/>
    <w:rsid w:val="00165516"/>
    <w:rsid w:val="00165744"/>
    <w:rsid w:val="00170BA4"/>
    <w:rsid w:val="00172583"/>
    <w:rsid w:val="00172CD1"/>
    <w:rsid w:val="00174380"/>
    <w:rsid w:val="00183FFD"/>
    <w:rsid w:val="00184755"/>
    <w:rsid w:val="0019100A"/>
    <w:rsid w:val="001B00BC"/>
    <w:rsid w:val="001B427A"/>
    <w:rsid w:val="001C26F7"/>
    <w:rsid w:val="001C43C7"/>
    <w:rsid w:val="001C6CD8"/>
    <w:rsid w:val="001D1163"/>
    <w:rsid w:val="001D5922"/>
    <w:rsid w:val="001D7A55"/>
    <w:rsid w:val="001E3AC9"/>
    <w:rsid w:val="001E6C12"/>
    <w:rsid w:val="001F42A8"/>
    <w:rsid w:val="001F75F0"/>
    <w:rsid w:val="002000E6"/>
    <w:rsid w:val="00201811"/>
    <w:rsid w:val="002018D3"/>
    <w:rsid w:val="00206162"/>
    <w:rsid w:val="002126B3"/>
    <w:rsid w:val="0021486D"/>
    <w:rsid w:val="00216710"/>
    <w:rsid w:val="00217D2C"/>
    <w:rsid w:val="0022192E"/>
    <w:rsid w:val="002245A2"/>
    <w:rsid w:val="00230E3C"/>
    <w:rsid w:val="002329FB"/>
    <w:rsid w:val="00232C16"/>
    <w:rsid w:val="002338CE"/>
    <w:rsid w:val="00237436"/>
    <w:rsid w:val="00237E02"/>
    <w:rsid w:val="002457BD"/>
    <w:rsid w:val="002477B8"/>
    <w:rsid w:val="0025235F"/>
    <w:rsid w:val="0025434A"/>
    <w:rsid w:val="00262DAC"/>
    <w:rsid w:val="00262DD1"/>
    <w:rsid w:val="00265981"/>
    <w:rsid w:val="002714B6"/>
    <w:rsid w:val="00271AAE"/>
    <w:rsid w:val="002765B2"/>
    <w:rsid w:val="00276B2E"/>
    <w:rsid w:val="002809BF"/>
    <w:rsid w:val="00286543"/>
    <w:rsid w:val="00286F7A"/>
    <w:rsid w:val="00286F99"/>
    <w:rsid w:val="002902DC"/>
    <w:rsid w:val="0029316A"/>
    <w:rsid w:val="00293259"/>
    <w:rsid w:val="002A0DC0"/>
    <w:rsid w:val="002A2AEE"/>
    <w:rsid w:val="002A7B7F"/>
    <w:rsid w:val="002B57BD"/>
    <w:rsid w:val="002B5F4B"/>
    <w:rsid w:val="002B67E9"/>
    <w:rsid w:val="002B6922"/>
    <w:rsid w:val="002B7CC0"/>
    <w:rsid w:val="002C1FFF"/>
    <w:rsid w:val="002C7732"/>
    <w:rsid w:val="002C7CA5"/>
    <w:rsid w:val="002D0102"/>
    <w:rsid w:val="002D02F7"/>
    <w:rsid w:val="002D1C4E"/>
    <w:rsid w:val="002D58FE"/>
    <w:rsid w:val="002E67EB"/>
    <w:rsid w:val="002F4EFE"/>
    <w:rsid w:val="0030471F"/>
    <w:rsid w:val="003107A6"/>
    <w:rsid w:val="00310857"/>
    <w:rsid w:val="00320036"/>
    <w:rsid w:val="0032195B"/>
    <w:rsid w:val="00321F8E"/>
    <w:rsid w:val="00322C20"/>
    <w:rsid w:val="00330EA5"/>
    <w:rsid w:val="003335CB"/>
    <w:rsid w:val="0033382F"/>
    <w:rsid w:val="00336F0F"/>
    <w:rsid w:val="00340F3E"/>
    <w:rsid w:val="003501B9"/>
    <w:rsid w:val="00351549"/>
    <w:rsid w:val="00351E4A"/>
    <w:rsid w:val="003549C8"/>
    <w:rsid w:val="0035612D"/>
    <w:rsid w:val="00357271"/>
    <w:rsid w:val="0036192F"/>
    <w:rsid w:val="00362745"/>
    <w:rsid w:val="00365C47"/>
    <w:rsid w:val="00366719"/>
    <w:rsid w:val="003712E7"/>
    <w:rsid w:val="00371A15"/>
    <w:rsid w:val="00376BC6"/>
    <w:rsid w:val="00382C5D"/>
    <w:rsid w:val="00390617"/>
    <w:rsid w:val="0039453B"/>
    <w:rsid w:val="0039580D"/>
    <w:rsid w:val="003968B0"/>
    <w:rsid w:val="00397264"/>
    <w:rsid w:val="003A0378"/>
    <w:rsid w:val="003A1757"/>
    <w:rsid w:val="003A2E88"/>
    <w:rsid w:val="003A611E"/>
    <w:rsid w:val="003B5F69"/>
    <w:rsid w:val="003C0CCD"/>
    <w:rsid w:val="003C409D"/>
    <w:rsid w:val="003C6CB7"/>
    <w:rsid w:val="003D14BD"/>
    <w:rsid w:val="003D22A3"/>
    <w:rsid w:val="003D3FC8"/>
    <w:rsid w:val="003D54F4"/>
    <w:rsid w:val="003D6633"/>
    <w:rsid w:val="003E0429"/>
    <w:rsid w:val="003E3908"/>
    <w:rsid w:val="003E5D03"/>
    <w:rsid w:val="003E7D58"/>
    <w:rsid w:val="003F4450"/>
    <w:rsid w:val="004078ED"/>
    <w:rsid w:val="00420A22"/>
    <w:rsid w:val="00421376"/>
    <w:rsid w:val="0042240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2929"/>
    <w:rsid w:val="004749C4"/>
    <w:rsid w:val="004749C7"/>
    <w:rsid w:val="00476061"/>
    <w:rsid w:val="004760B0"/>
    <w:rsid w:val="004763E1"/>
    <w:rsid w:val="004829F5"/>
    <w:rsid w:val="004861D0"/>
    <w:rsid w:val="00491684"/>
    <w:rsid w:val="004977E5"/>
    <w:rsid w:val="004A16FE"/>
    <w:rsid w:val="004A494A"/>
    <w:rsid w:val="004B1EE8"/>
    <w:rsid w:val="004B2CAA"/>
    <w:rsid w:val="004C0519"/>
    <w:rsid w:val="004C214F"/>
    <w:rsid w:val="004C332F"/>
    <w:rsid w:val="004C5E07"/>
    <w:rsid w:val="004C72A1"/>
    <w:rsid w:val="004D14C0"/>
    <w:rsid w:val="004D27E3"/>
    <w:rsid w:val="004D328C"/>
    <w:rsid w:val="004E403F"/>
    <w:rsid w:val="004E43F1"/>
    <w:rsid w:val="004E6AD1"/>
    <w:rsid w:val="004F363F"/>
    <w:rsid w:val="004F3DBC"/>
    <w:rsid w:val="0050016F"/>
    <w:rsid w:val="005070EC"/>
    <w:rsid w:val="00507251"/>
    <w:rsid w:val="00507CB4"/>
    <w:rsid w:val="0051043C"/>
    <w:rsid w:val="0051103A"/>
    <w:rsid w:val="00512BAA"/>
    <w:rsid w:val="00516C4C"/>
    <w:rsid w:val="00516C9A"/>
    <w:rsid w:val="0052474F"/>
    <w:rsid w:val="00530888"/>
    <w:rsid w:val="00531F6C"/>
    <w:rsid w:val="00534D58"/>
    <w:rsid w:val="00535750"/>
    <w:rsid w:val="00540417"/>
    <w:rsid w:val="0054230A"/>
    <w:rsid w:val="005446EC"/>
    <w:rsid w:val="00551129"/>
    <w:rsid w:val="005542D7"/>
    <w:rsid w:val="00555EC0"/>
    <w:rsid w:val="0055707B"/>
    <w:rsid w:val="00574BCC"/>
    <w:rsid w:val="00583EB1"/>
    <w:rsid w:val="005842F1"/>
    <w:rsid w:val="00584B21"/>
    <w:rsid w:val="00586F07"/>
    <w:rsid w:val="00591BC3"/>
    <w:rsid w:val="00594742"/>
    <w:rsid w:val="005A03B2"/>
    <w:rsid w:val="005A5141"/>
    <w:rsid w:val="005A5372"/>
    <w:rsid w:val="005A7377"/>
    <w:rsid w:val="005B2345"/>
    <w:rsid w:val="005B4A8E"/>
    <w:rsid w:val="005B7D43"/>
    <w:rsid w:val="005D5638"/>
    <w:rsid w:val="005D5E0B"/>
    <w:rsid w:val="005D6F12"/>
    <w:rsid w:val="005E147E"/>
    <w:rsid w:val="005E1E94"/>
    <w:rsid w:val="005E7364"/>
    <w:rsid w:val="0061060B"/>
    <w:rsid w:val="00612692"/>
    <w:rsid w:val="00612B22"/>
    <w:rsid w:val="00612D33"/>
    <w:rsid w:val="00612D8A"/>
    <w:rsid w:val="00613FDD"/>
    <w:rsid w:val="0061471D"/>
    <w:rsid w:val="00616315"/>
    <w:rsid w:val="00616689"/>
    <w:rsid w:val="00625609"/>
    <w:rsid w:val="006279EA"/>
    <w:rsid w:val="006305A2"/>
    <w:rsid w:val="0063457A"/>
    <w:rsid w:val="006360D9"/>
    <w:rsid w:val="006373BA"/>
    <w:rsid w:val="00640F8B"/>
    <w:rsid w:val="0064298A"/>
    <w:rsid w:val="00643BB9"/>
    <w:rsid w:val="00644D24"/>
    <w:rsid w:val="006459E9"/>
    <w:rsid w:val="00646B24"/>
    <w:rsid w:val="00652429"/>
    <w:rsid w:val="00652BCB"/>
    <w:rsid w:val="00653D4B"/>
    <w:rsid w:val="0065597D"/>
    <w:rsid w:val="00657619"/>
    <w:rsid w:val="006653EF"/>
    <w:rsid w:val="00667C27"/>
    <w:rsid w:val="00670949"/>
    <w:rsid w:val="00675F12"/>
    <w:rsid w:val="00676041"/>
    <w:rsid w:val="006A0F70"/>
    <w:rsid w:val="006A6D3D"/>
    <w:rsid w:val="006A7B4A"/>
    <w:rsid w:val="006B30B4"/>
    <w:rsid w:val="006B3266"/>
    <w:rsid w:val="006B474D"/>
    <w:rsid w:val="006B566C"/>
    <w:rsid w:val="006B57EC"/>
    <w:rsid w:val="006B7CE1"/>
    <w:rsid w:val="006C0675"/>
    <w:rsid w:val="006C378E"/>
    <w:rsid w:val="006C422E"/>
    <w:rsid w:val="006C7DDA"/>
    <w:rsid w:val="006D04AC"/>
    <w:rsid w:val="006D2A77"/>
    <w:rsid w:val="006D2D0C"/>
    <w:rsid w:val="006D52D3"/>
    <w:rsid w:val="006D62AE"/>
    <w:rsid w:val="006E3E65"/>
    <w:rsid w:val="006E4C56"/>
    <w:rsid w:val="006E68B8"/>
    <w:rsid w:val="006F5FD7"/>
    <w:rsid w:val="00700A43"/>
    <w:rsid w:val="00701766"/>
    <w:rsid w:val="00702E41"/>
    <w:rsid w:val="0071045E"/>
    <w:rsid w:val="00711142"/>
    <w:rsid w:val="007113B8"/>
    <w:rsid w:val="00713BFB"/>
    <w:rsid w:val="00713C40"/>
    <w:rsid w:val="0071524D"/>
    <w:rsid w:val="00720E1D"/>
    <w:rsid w:val="007229D0"/>
    <w:rsid w:val="00723285"/>
    <w:rsid w:val="00724286"/>
    <w:rsid w:val="007265F3"/>
    <w:rsid w:val="007275F1"/>
    <w:rsid w:val="00741BEB"/>
    <w:rsid w:val="00742808"/>
    <w:rsid w:val="007455AA"/>
    <w:rsid w:val="00746368"/>
    <w:rsid w:val="007503EA"/>
    <w:rsid w:val="0076175F"/>
    <w:rsid w:val="00771086"/>
    <w:rsid w:val="00771C94"/>
    <w:rsid w:val="00780ED1"/>
    <w:rsid w:val="00792871"/>
    <w:rsid w:val="007A6B3B"/>
    <w:rsid w:val="007A7B22"/>
    <w:rsid w:val="007B4380"/>
    <w:rsid w:val="007B5000"/>
    <w:rsid w:val="007B7ED6"/>
    <w:rsid w:val="007C212E"/>
    <w:rsid w:val="007C2143"/>
    <w:rsid w:val="007C285B"/>
    <w:rsid w:val="007C40B3"/>
    <w:rsid w:val="007C47AD"/>
    <w:rsid w:val="007D13B5"/>
    <w:rsid w:val="007D3AE5"/>
    <w:rsid w:val="007D5564"/>
    <w:rsid w:val="007D5790"/>
    <w:rsid w:val="007D6C8E"/>
    <w:rsid w:val="007D6E10"/>
    <w:rsid w:val="007E0BB9"/>
    <w:rsid w:val="007E3EBA"/>
    <w:rsid w:val="007E4AF0"/>
    <w:rsid w:val="007E64D9"/>
    <w:rsid w:val="007E76DF"/>
    <w:rsid w:val="007F13A1"/>
    <w:rsid w:val="007F28A8"/>
    <w:rsid w:val="007F2F20"/>
    <w:rsid w:val="0080283A"/>
    <w:rsid w:val="00803441"/>
    <w:rsid w:val="008047FE"/>
    <w:rsid w:val="00806004"/>
    <w:rsid w:val="008117C8"/>
    <w:rsid w:val="00817165"/>
    <w:rsid w:val="0081755D"/>
    <w:rsid w:val="00823B72"/>
    <w:rsid w:val="008361CC"/>
    <w:rsid w:val="00837B47"/>
    <w:rsid w:val="008441D1"/>
    <w:rsid w:val="00847E22"/>
    <w:rsid w:val="00850922"/>
    <w:rsid w:val="008553E6"/>
    <w:rsid w:val="0085714A"/>
    <w:rsid w:val="00866AD9"/>
    <w:rsid w:val="008706A1"/>
    <w:rsid w:val="0087118E"/>
    <w:rsid w:val="00873E37"/>
    <w:rsid w:val="00875E8E"/>
    <w:rsid w:val="00876147"/>
    <w:rsid w:val="00876AE1"/>
    <w:rsid w:val="00877F3E"/>
    <w:rsid w:val="008802F9"/>
    <w:rsid w:val="008804E0"/>
    <w:rsid w:val="0088060B"/>
    <w:rsid w:val="008838B5"/>
    <w:rsid w:val="0089066F"/>
    <w:rsid w:val="00893821"/>
    <w:rsid w:val="0089745E"/>
    <w:rsid w:val="008A2A1D"/>
    <w:rsid w:val="008A3BD3"/>
    <w:rsid w:val="008B48FF"/>
    <w:rsid w:val="008B4D15"/>
    <w:rsid w:val="008C0203"/>
    <w:rsid w:val="008C281E"/>
    <w:rsid w:val="008C4C9B"/>
    <w:rsid w:val="008C6CA3"/>
    <w:rsid w:val="008D0120"/>
    <w:rsid w:val="008D530E"/>
    <w:rsid w:val="008D6D41"/>
    <w:rsid w:val="008D75FE"/>
    <w:rsid w:val="008F4949"/>
    <w:rsid w:val="008F7578"/>
    <w:rsid w:val="00901DAA"/>
    <w:rsid w:val="00904334"/>
    <w:rsid w:val="00912F97"/>
    <w:rsid w:val="0091696E"/>
    <w:rsid w:val="009173CA"/>
    <w:rsid w:val="009173D2"/>
    <w:rsid w:val="009274CD"/>
    <w:rsid w:val="0094333F"/>
    <w:rsid w:val="00952184"/>
    <w:rsid w:val="00956998"/>
    <w:rsid w:val="00963907"/>
    <w:rsid w:val="009714B9"/>
    <w:rsid w:val="00975730"/>
    <w:rsid w:val="00980888"/>
    <w:rsid w:val="00981837"/>
    <w:rsid w:val="00981A51"/>
    <w:rsid w:val="00985E0A"/>
    <w:rsid w:val="00993D86"/>
    <w:rsid w:val="00995725"/>
    <w:rsid w:val="009A769C"/>
    <w:rsid w:val="009A7915"/>
    <w:rsid w:val="009A7E25"/>
    <w:rsid w:val="009B0659"/>
    <w:rsid w:val="009B23EB"/>
    <w:rsid w:val="009C5EEB"/>
    <w:rsid w:val="009D0ED1"/>
    <w:rsid w:val="009D2374"/>
    <w:rsid w:val="009D3F9D"/>
    <w:rsid w:val="009E4A6A"/>
    <w:rsid w:val="009E5700"/>
    <w:rsid w:val="009E6659"/>
    <w:rsid w:val="009E699C"/>
    <w:rsid w:val="009E6FCD"/>
    <w:rsid w:val="009F6BFE"/>
    <w:rsid w:val="009F6EC9"/>
    <w:rsid w:val="00A02E61"/>
    <w:rsid w:val="00A04CF6"/>
    <w:rsid w:val="00A0501F"/>
    <w:rsid w:val="00A06678"/>
    <w:rsid w:val="00A06FD7"/>
    <w:rsid w:val="00A11AC8"/>
    <w:rsid w:val="00A15D69"/>
    <w:rsid w:val="00A171F6"/>
    <w:rsid w:val="00A178F7"/>
    <w:rsid w:val="00A17AC8"/>
    <w:rsid w:val="00A20D4F"/>
    <w:rsid w:val="00A21F44"/>
    <w:rsid w:val="00A22773"/>
    <w:rsid w:val="00A2313D"/>
    <w:rsid w:val="00A315D1"/>
    <w:rsid w:val="00A3368A"/>
    <w:rsid w:val="00A35ECF"/>
    <w:rsid w:val="00A37A78"/>
    <w:rsid w:val="00A40390"/>
    <w:rsid w:val="00A415E4"/>
    <w:rsid w:val="00A45C80"/>
    <w:rsid w:val="00A4747A"/>
    <w:rsid w:val="00A53C87"/>
    <w:rsid w:val="00A5542E"/>
    <w:rsid w:val="00A55BBF"/>
    <w:rsid w:val="00A55E21"/>
    <w:rsid w:val="00A5709E"/>
    <w:rsid w:val="00A6324D"/>
    <w:rsid w:val="00A65619"/>
    <w:rsid w:val="00A70C54"/>
    <w:rsid w:val="00A7457B"/>
    <w:rsid w:val="00A806F3"/>
    <w:rsid w:val="00A812FD"/>
    <w:rsid w:val="00A84870"/>
    <w:rsid w:val="00A84BF5"/>
    <w:rsid w:val="00A877F4"/>
    <w:rsid w:val="00A90559"/>
    <w:rsid w:val="00A941F8"/>
    <w:rsid w:val="00A94A7D"/>
    <w:rsid w:val="00A95D4E"/>
    <w:rsid w:val="00A97C24"/>
    <w:rsid w:val="00AA06DE"/>
    <w:rsid w:val="00AA424C"/>
    <w:rsid w:val="00AA48A2"/>
    <w:rsid w:val="00AA4A92"/>
    <w:rsid w:val="00AA4CD5"/>
    <w:rsid w:val="00AA77BE"/>
    <w:rsid w:val="00AB045A"/>
    <w:rsid w:val="00AB1DDF"/>
    <w:rsid w:val="00AB2010"/>
    <w:rsid w:val="00AB4B6A"/>
    <w:rsid w:val="00AC3941"/>
    <w:rsid w:val="00AC5B45"/>
    <w:rsid w:val="00AC7A65"/>
    <w:rsid w:val="00AD3A75"/>
    <w:rsid w:val="00AD6210"/>
    <w:rsid w:val="00AD68F6"/>
    <w:rsid w:val="00AD696E"/>
    <w:rsid w:val="00AE25AA"/>
    <w:rsid w:val="00AE3EDF"/>
    <w:rsid w:val="00AF5C99"/>
    <w:rsid w:val="00AF61A3"/>
    <w:rsid w:val="00B01068"/>
    <w:rsid w:val="00B01A73"/>
    <w:rsid w:val="00B02A45"/>
    <w:rsid w:val="00B049C2"/>
    <w:rsid w:val="00B05A75"/>
    <w:rsid w:val="00B05ACA"/>
    <w:rsid w:val="00B07961"/>
    <w:rsid w:val="00B07F68"/>
    <w:rsid w:val="00B110A0"/>
    <w:rsid w:val="00B14F19"/>
    <w:rsid w:val="00B150E4"/>
    <w:rsid w:val="00B207DE"/>
    <w:rsid w:val="00B23259"/>
    <w:rsid w:val="00B249CE"/>
    <w:rsid w:val="00B25CC9"/>
    <w:rsid w:val="00B402CA"/>
    <w:rsid w:val="00B4095F"/>
    <w:rsid w:val="00B40CB1"/>
    <w:rsid w:val="00B416C9"/>
    <w:rsid w:val="00B43D29"/>
    <w:rsid w:val="00B45778"/>
    <w:rsid w:val="00B45DE1"/>
    <w:rsid w:val="00B466C4"/>
    <w:rsid w:val="00B50EE6"/>
    <w:rsid w:val="00B6163B"/>
    <w:rsid w:val="00B74746"/>
    <w:rsid w:val="00B75282"/>
    <w:rsid w:val="00B76238"/>
    <w:rsid w:val="00B77986"/>
    <w:rsid w:val="00B82057"/>
    <w:rsid w:val="00B83393"/>
    <w:rsid w:val="00B83411"/>
    <w:rsid w:val="00B86095"/>
    <w:rsid w:val="00B97D4A"/>
    <w:rsid w:val="00BA2600"/>
    <w:rsid w:val="00BA2DEC"/>
    <w:rsid w:val="00BA7615"/>
    <w:rsid w:val="00BB56D0"/>
    <w:rsid w:val="00BC1842"/>
    <w:rsid w:val="00BC2BF8"/>
    <w:rsid w:val="00BC3B5B"/>
    <w:rsid w:val="00BC6763"/>
    <w:rsid w:val="00BC7FAD"/>
    <w:rsid w:val="00BD0122"/>
    <w:rsid w:val="00BD1F07"/>
    <w:rsid w:val="00BE51C1"/>
    <w:rsid w:val="00BE599A"/>
    <w:rsid w:val="00BF00D2"/>
    <w:rsid w:val="00BF1573"/>
    <w:rsid w:val="00BF3018"/>
    <w:rsid w:val="00BF322F"/>
    <w:rsid w:val="00BF3DA7"/>
    <w:rsid w:val="00BF421B"/>
    <w:rsid w:val="00BF4A19"/>
    <w:rsid w:val="00BF56B9"/>
    <w:rsid w:val="00C003C4"/>
    <w:rsid w:val="00C01BAB"/>
    <w:rsid w:val="00C01D97"/>
    <w:rsid w:val="00C06AA1"/>
    <w:rsid w:val="00C1013E"/>
    <w:rsid w:val="00C10988"/>
    <w:rsid w:val="00C12AF8"/>
    <w:rsid w:val="00C154EE"/>
    <w:rsid w:val="00C22257"/>
    <w:rsid w:val="00C25ED4"/>
    <w:rsid w:val="00C2745F"/>
    <w:rsid w:val="00C275A4"/>
    <w:rsid w:val="00C32DAA"/>
    <w:rsid w:val="00C34983"/>
    <w:rsid w:val="00C37B36"/>
    <w:rsid w:val="00C40473"/>
    <w:rsid w:val="00C407BA"/>
    <w:rsid w:val="00C43BEF"/>
    <w:rsid w:val="00C4537A"/>
    <w:rsid w:val="00C50777"/>
    <w:rsid w:val="00C52690"/>
    <w:rsid w:val="00C52CD9"/>
    <w:rsid w:val="00C55505"/>
    <w:rsid w:val="00C61B1E"/>
    <w:rsid w:val="00C6271C"/>
    <w:rsid w:val="00C6336C"/>
    <w:rsid w:val="00C64FD2"/>
    <w:rsid w:val="00C657AA"/>
    <w:rsid w:val="00C67F0F"/>
    <w:rsid w:val="00C804BE"/>
    <w:rsid w:val="00C82713"/>
    <w:rsid w:val="00C82E17"/>
    <w:rsid w:val="00C8430F"/>
    <w:rsid w:val="00C867E0"/>
    <w:rsid w:val="00C87176"/>
    <w:rsid w:val="00C872B8"/>
    <w:rsid w:val="00C93720"/>
    <w:rsid w:val="00C93E70"/>
    <w:rsid w:val="00C94C9F"/>
    <w:rsid w:val="00C9519D"/>
    <w:rsid w:val="00C95946"/>
    <w:rsid w:val="00C97951"/>
    <w:rsid w:val="00CA04B1"/>
    <w:rsid w:val="00CA09B0"/>
    <w:rsid w:val="00CA0C93"/>
    <w:rsid w:val="00CA4D31"/>
    <w:rsid w:val="00CA59AD"/>
    <w:rsid w:val="00CB53EF"/>
    <w:rsid w:val="00CB585B"/>
    <w:rsid w:val="00CC0273"/>
    <w:rsid w:val="00CC5C45"/>
    <w:rsid w:val="00CD4B4E"/>
    <w:rsid w:val="00CD4DBA"/>
    <w:rsid w:val="00CE4853"/>
    <w:rsid w:val="00CE5DDA"/>
    <w:rsid w:val="00CE6944"/>
    <w:rsid w:val="00CF0479"/>
    <w:rsid w:val="00CF0C70"/>
    <w:rsid w:val="00CF0E6A"/>
    <w:rsid w:val="00CF1EC4"/>
    <w:rsid w:val="00CF3FFB"/>
    <w:rsid w:val="00CF7A06"/>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0A6A"/>
    <w:rsid w:val="00D67193"/>
    <w:rsid w:val="00D71B5C"/>
    <w:rsid w:val="00D97E74"/>
    <w:rsid w:val="00DA0B61"/>
    <w:rsid w:val="00DA116B"/>
    <w:rsid w:val="00DA1E1C"/>
    <w:rsid w:val="00DA21E1"/>
    <w:rsid w:val="00DA72A5"/>
    <w:rsid w:val="00DA7B6D"/>
    <w:rsid w:val="00DB2839"/>
    <w:rsid w:val="00DB406D"/>
    <w:rsid w:val="00DB64E0"/>
    <w:rsid w:val="00DC0273"/>
    <w:rsid w:val="00DC08CA"/>
    <w:rsid w:val="00DC19BA"/>
    <w:rsid w:val="00DD4D88"/>
    <w:rsid w:val="00DD756A"/>
    <w:rsid w:val="00DE1463"/>
    <w:rsid w:val="00DE4CC1"/>
    <w:rsid w:val="00DE66D1"/>
    <w:rsid w:val="00DF2772"/>
    <w:rsid w:val="00DF37B4"/>
    <w:rsid w:val="00DF4FE2"/>
    <w:rsid w:val="00E00A3B"/>
    <w:rsid w:val="00E14B8C"/>
    <w:rsid w:val="00E16E23"/>
    <w:rsid w:val="00E242B5"/>
    <w:rsid w:val="00E30B52"/>
    <w:rsid w:val="00E33645"/>
    <w:rsid w:val="00E358DD"/>
    <w:rsid w:val="00E369C8"/>
    <w:rsid w:val="00E3709B"/>
    <w:rsid w:val="00E40B8D"/>
    <w:rsid w:val="00E43151"/>
    <w:rsid w:val="00E44699"/>
    <w:rsid w:val="00E452A1"/>
    <w:rsid w:val="00E477AC"/>
    <w:rsid w:val="00E50228"/>
    <w:rsid w:val="00E53416"/>
    <w:rsid w:val="00E54404"/>
    <w:rsid w:val="00E5638E"/>
    <w:rsid w:val="00E66676"/>
    <w:rsid w:val="00E679A7"/>
    <w:rsid w:val="00E67F33"/>
    <w:rsid w:val="00E70218"/>
    <w:rsid w:val="00E74403"/>
    <w:rsid w:val="00E774BD"/>
    <w:rsid w:val="00E80A94"/>
    <w:rsid w:val="00E910C9"/>
    <w:rsid w:val="00E92036"/>
    <w:rsid w:val="00EA0DEB"/>
    <w:rsid w:val="00EA36CB"/>
    <w:rsid w:val="00EA47CB"/>
    <w:rsid w:val="00EA55B6"/>
    <w:rsid w:val="00EA6BAD"/>
    <w:rsid w:val="00EB0FC5"/>
    <w:rsid w:val="00EB1B8B"/>
    <w:rsid w:val="00EB2419"/>
    <w:rsid w:val="00EB56F9"/>
    <w:rsid w:val="00EC0C0B"/>
    <w:rsid w:val="00ED0AE9"/>
    <w:rsid w:val="00ED2C1E"/>
    <w:rsid w:val="00ED5C52"/>
    <w:rsid w:val="00ED61A0"/>
    <w:rsid w:val="00EE47D3"/>
    <w:rsid w:val="00EF3CA1"/>
    <w:rsid w:val="00EF4292"/>
    <w:rsid w:val="00EF5984"/>
    <w:rsid w:val="00EF65F5"/>
    <w:rsid w:val="00EF6948"/>
    <w:rsid w:val="00F0092E"/>
    <w:rsid w:val="00F0627B"/>
    <w:rsid w:val="00F153D8"/>
    <w:rsid w:val="00F1569E"/>
    <w:rsid w:val="00F170F7"/>
    <w:rsid w:val="00F245D3"/>
    <w:rsid w:val="00F25834"/>
    <w:rsid w:val="00F322BF"/>
    <w:rsid w:val="00F3424E"/>
    <w:rsid w:val="00F360CB"/>
    <w:rsid w:val="00F3697C"/>
    <w:rsid w:val="00F41519"/>
    <w:rsid w:val="00F41DE0"/>
    <w:rsid w:val="00F426A9"/>
    <w:rsid w:val="00F44C8D"/>
    <w:rsid w:val="00F5011A"/>
    <w:rsid w:val="00F50DFE"/>
    <w:rsid w:val="00F5354D"/>
    <w:rsid w:val="00F654C5"/>
    <w:rsid w:val="00F71A4F"/>
    <w:rsid w:val="00F7374A"/>
    <w:rsid w:val="00F73767"/>
    <w:rsid w:val="00F84510"/>
    <w:rsid w:val="00F858A8"/>
    <w:rsid w:val="00F909F5"/>
    <w:rsid w:val="00F944E5"/>
    <w:rsid w:val="00F95FC8"/>
    <w:rsid w:val="00F97529"/>
    <w:rsid w:val="00FA0EAF"/>
    <w:rsid w:val="00FB0B10"/>
    <w:rsid w:val="00FB5A3C"/>
    <w:rsid w:val="00FB5D95"/>
    <w:rsid w:val="00FB6878"/>
    <w:rsid w:val="00FB7575"/>
    <w:rsid w:val="00FC1577"/>
    <w:rsid w:val="00FC365E"/>
    <w:rsid w:val="00FC64A4"/>
    <w:rsid w:val="00FC7A84"/>
    <w:rsid w:val="00FD344C"/>
    <w:rsid w:val="00FD6FDB"/>
    <w:rsid w:val="00FE13AF"/>
    <w:rsid w:val="00FE2331"/>
    <w:rsid w:val="00FE5702"/>
    <w:rsid w:val="00FE71CA"/>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50EA0"/>
  <w15:docId w15:val="{900ABEF3-4A26-4A5B-B08C-8C9B3A5D8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jc w:val="both"/>
    </w:pPr>
    <w:rPr>
      <w:sz w:val="24"/>
      <w:szCs w:val="24"/>
    </w:rPr>
  </w:style>
  <w:style w:type="paragraph" w:styleId="Heading1">
    <w:name w:val="heading 1"/>
    <w:basedOn w:val="Normal"/>
    <w:next w:val="Normal"/>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qFormat/>
    <w:pPr>
      <w:keepNext/>
      <w:outlineLvl w:val="2"/>
    </w:pPr>
    <w:rPr>
      <w:rFonts w:ascii="Arial" w:hAnsi="Arial" w:cs="Arial"/>
      <w:b/>
      <w:bCs/>
    </w:rPr>
  </w:style>
  <w:style w:type="paragraph" w:styleId="Heading4">
    <w:name w:val="heading 4"/>
    <w:basedOn w:val="Normal"/>
    <w:next w:val="Normal"/>
    <w:qFormat/>
    <w:pPr>
      <w:keepNext/>
      <w:spacing w:line="480" w:lineRule="auto"/>
      <w:outlineLvl w:val="3"/>
    </w:pPr>
    <w:rPr>
      <w:rFonts w:ascii="Arial" w:hAnsi="Arial" w:cs="Arial"/>
      <w:b/>
      <w:bCs/>
      <w:sz w:val="20"/>
    </w:rPr>
  </w:style>
  <w:style w:type="paragraph" w:styleId="Heading5">
    <w:name w:val="heading 5"/>
    <w:basedOn w:val="Normal"/>
    <w:next w:val="Normal"/>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pPr>
      <w:autoSpaceDE w:val="0"/>
      <w:autoSpaceDN w:val="0"/>
      <w:adjustRightInd w:val="0"/>
      <w:spacing w:line="180" w:lineRule="atLeast"/>
    </w:pPr>
    <w:rPr>
      <w:rFonts w:ascii="Arial" w:hAnsi="Arial" w:cs="Arial"/>
      <w:sz w:val="20"/>
      <w:szCs w:val="20"/>
    </w:rPr>
  </w:style>
  <w:style w:type="paragraph" w:styleId="BodyText3">
    <w:name w:val="Body Text 3"/>
    <w:basedOn w:val="Normal"/>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qFormat/>
    <w:pPr>
      <w:jc w:val="center"/>
    </w:pPr>
    <w:rPr>
      <w:rFonts w:ascii="Arial" w:hAnsi="Arial" w:cs="Arial"/>
      <w:b/>
      <w:bCs/>
    </w:rPr>
  </w:style>
  <w:style w:type="paragraph" w:customStyle="1" w:styleId="QMSHeading2">
    <w:name w:val="QMS Heading 2"/>
    <w:basedOn w:val="Heading2"/>
    <w:next w:val="Normal"/>
    <w:autoRedefine/>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Pr>
      <w:rFonts w:ascii="Times New Roman" w:hAnsi="Times New Roman"/>
      <w:b/>
      <w:bCs/>
      <w:sz w:val="22"/>
      <w:szCs w:val="22"/>
    </w:rPr>
  </w:style>
  <w:style w:type="character" w:styleId="Hyperlink">
    <w:name w:val="Hyperlink"/>
    <w:basedOn w:val="DefaultParagraphFont"/>
    <w:rPr>
      <w:color w:val="0000FF"/>
      <w:u w:val="single"/>
    </w:rPr>
  </w:style>
  <w:style w:type="paragraph" w:styleId="TOC1">
    <w:name w:val="toc 1"/>
    <w:basedOn w:val="Normal"/>
    <w:next w:val="Normal"/>
    <w:autoRedefine/>
    <w:semiHidden/>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basedOn w:val="DefaultParagraphFont"/>
    <w:semiHidden/>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F95FC8"/>
    <w:pPr>
      <w:ind w:left="720"/>
      <w:contextualSpacing/>
    </w:pPr>
  </w:style>
  <w:style w:type="character" w:styleId="UnresolvedMention">
    <w:name w:val="Unresolved Mention"/>
    <w:basedOn w:val="DefaultParagraphFont"/>
    <w:uiPriority w:val="99"/>
    <w:semiHidden/>
    <w:unhideWhenUsed/>
    <w:rsid w:val="003C4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052">
      <w:bodyDiv w:val="1"/>
      <w:marLeft w:val="0"/>
      <w:marRight w:val="0"/>
      <w:marTop w:val="0"/>
      <w:marBottom w:val="0"/>
      <w:divBdr>
        <w:top w:val="none" w:sz="0" w:space="0" w:color="auto"/>
        <w:left w:val="none" w:sz="0" w:space="0" w:color="auto"/>
        <w:bottom w:val="none" w:sz="0" w:space="0" w:color="auto"/>
        <w:right w:val="none" w:sz="0" w:space="0" w:color="auto"/>
      </w:divBdr>
    </w:div>
    <w:div w:id="43868116">
      <w:bodyDiv w:val="1"/>
      <w:marLeft w:val="0"/>
      <w:marRight w:val="0"/>
      <w:marTop w:val="0"/>
      <w:marBottom w:val="0"/>
      <w:divBdr>
        <w:top w:val="none" w:sz="0" w:space="0" w:color="auto"/>
        <w:left w:val="none" w:sz="0" w:space="0" w:color="auto"/>
        <w:bottom w:val="none" w:sz="0" w:space="0" w:color="auto"/>
        <w:right w:val="none" w:sz="0" w:space="0" w:color="auto"/>
      </w:divBdr>
    </w:div>
    <w:div w:id="80222271">
      <w:bodyDiv w:val="1"/>
      <w:marLeft w:val="0"/>
      <w:marRight w:val="0"/>
      <w:marTop w:val="0"/>
      <w:marBottom w:val="0"/>
      <w:divBdr>
        <w:top w:val="none" w:sz="0" w:space="0" w:color="auto"/>
        <w:left w:val="none" w:sz="0" w:space="0" w:color="auto"/>
        <w:bottom w:val="none" w:sz="0" w:space="0" w:color="auto"/>
        <w:right w:val="none" w:sz="0" w:space="0" w:color="auto"/>
      </w:divBdr>
    </w:div>
    <w:div w:id="94978690">
      <w:bodyDiv w:val="1"/>
      <w:marLeft w:val="0"/>
      <w:marRight w:val="0"/>
      <w:marTop w:val="0"/>
      <w:marBottom w:val="0"/>
      <w:divBdr>
        <w:top w:val="none" w:sz="0" w:space="0" w:color="auto"/>
        <w:left w:val="none" w:sz="0" w:space="0" w:color="auto"/>
        <w:bottom w:val="none" w:sz="0" w:space="0" w:color="auto"/>
        <w:right w:val="none" w:sz="0" w:space="0" w:color="auto"/>
      </w:divBdr>
    </w:div>
    <w:div w:id="98767244">
      <w:bodyDiv w:val="1"/>
      <w:marLeft w:val="0"/>
      <w:marRight w:val="0"/>
      <w:marTop w:val="0"/>
      <w:marBottom w:val="0"/>
      <w:divBdr>
        <w:top w:val="none" w:sz="0" w:space="0" w:color="auto"/>
        <w:left w:val="none" w:sz="0" w:space="0" w:color="auto"/>
        <w:bottom w:val="none" w:sz="0" w:space="0" w:color="auto"/>
        <w:right w:val="none" w:sz="0" w:space="0" w:color="auto"/>
      </w:divBdr>
    </w:div>
    <w:div w:id="122045412">
      <w:bodyDiv w:val="1"/>
      <w:marLeft w:val="0"/>
      <w:marRight w:val="0"/>
      <w:marTop w:val="0"/>
      <w:marBottom w:val="0"/>
      <w:divBdr>
        <w:top w:val="none" w:sz="0" w:space="0" w:color="auto"/>
        <w:left w:val="none" w:sz="0" w:space="0" w:color="auto"/>
        <w:bottom w:val="none" w:sz="0" w:space="0" w:color="auto"/>
        <w:right w:val="none" w:sz="0" w:space="0" w:color="auto"/>
      </w:divBdr>
    </w:div>
    <w:div w:id="125050956">
      <w:bodyDiv w:val="1"/>
      <w:marLeft w:val="0"/>
      <w:marRight w:val="0"/>
      <w:marTop w:val="0"/>
      <w:marBottom w:val="0"/>
      <w:divBdr>
        <w:top w:val="none" w:sz="0" w:space="0" w:color="auto"/>
        <w:left w:val="none" w:sz="0" w:space="0" w:color="auto"/>
        <w:bottom w:val="none" w:sz="0" w:space="0" w:color="auto"/>
        <w:right w:val="none" w:sz="0" w:space="0" w:color="auto"/>
      </w:divBdr>
    </w:div>
    <w:div w:id="152265010">
      <w:bodyDiv w:val="1"/>
      <w:marLeft w:val="0"/>
      <w:marRight w:val="0"/>
      <w:marTop w:val="0"/>
      <w:marBottom w:val="0"/>
      <w:divBdr>
        <w:top w:val="none" w:sz="0" w:space="0" w:color="auto"/>
        <w:left w:val="none" w:sz="0" w:space="0" w:color="auto"/>
        <w:bottom w:val="none" w:sz="0" w:space="0" w:color="auto"/>
        <w:right w:val="none" w:sz="0" w:space="0" w:color="auto"/>
      </w:divBdr>
    </w:div>
    <w:div w:id="154341662">
      <w:bodyDiv w:val="1"/>
      <w:marLeft w:val="0"/>
      <w:marRight w:val="0"/>
      <w:marTop w:val="0"/>
      <w:marBottom w:val="0"/>
      <w:divBdr>
        <w:top w:val="none" w:sz="0" w:space="0" w:color="auto"/>
        <w:left w:val="none" w:sz="0" w:space="0" w:color="auto"/>
        <w:bottom w:val="none" w:sz="0" w:space="0" w:color="auto"/>
        <w:right w:val="none" w:sz="0" w:space="0" w:color="auto"/>
      </w:divBdr>
    </w:div>
    <w:div w:id="173619986">
      <w:bodyDiv w:val="1"/>
      <w:marLeft w:val="0"/>
      <w:marRight w:val="0"/>
      <w:marTop w:val="0"/>
      <w:marBottom w:val="0"/>
      <w:divBdr>
        <w:top w:val="none" w:sz="0" w:space="0" w:color="auto"/>
        <w:left w:val="none" w:sz="0" w:space="0" w:color="auto"/>
        <w:bottom w:val="none" w:sz="0" w:space="0" w:color="auto"/>
        <w:right w:val="none" w:sz="0" w:space="0" w:color="auto"/>
      </w:divBdr>
    </w:div>
    <w:div w:id="183132594">
      <w:bodyDiv w:val="1"/>
      <w:marLeft w:val="0"/>
      <w:marRight w:val="0"/>
      <w:marTop w:val="0"/>
      <w:marBottom w:val="0"/>
      <w:divBdr>
        <w:top w:val="none" w:sz="0" w:space="0" w:color="auto"/>
        <w:left w:val="none" w:sz="0" w:space="0" w:color="auto"/>
        <w:bottom w:val="none" w:sz="0" w:space="0" w:color="auto"/>
        <w:right w:val="none" w:sz="0" w:space="0" w:color="auto"/>
      </w:divBdr>
    </w:div>
    <w:div w:id="201555605">
      <w:bodyDiv w:val="1"/>
      <w:marLeft w:val="0"/>
      <w:marRight w:val="0"/>
      <w:marTop w:val="0"/>
      <w:marBottom w:val="0"/>
      <w:divBdr>
        <w:top w:val="none" w:sz="0" w:space="0" w:color="auto"/>
        <w:left w:val="none" w:sz="0" w:space="0" w:color="auto"/>
        <w:bottom w:val="none" w:sz="0" w:space="0" w:color="auto"/>
        <w:right w:val="none" w:sz="0" w:space="0" w:color="auto"/>
      </w:divBdr>
    </w:div>
    <w:div w:id="226838755">
      <w:bodyDiv w:val="1"/>
      <w:marLeft w:val="0"/>
      <w:marRight w:val="0"/>
      <w:marTop w:val="0"/>
      <w:marBottom w:val="0"/>
      <w:divBdr>
        <w:top w:val="none" w:sz="0" w:space="0" w:color="auto"/>
        <w:left w:val="none" w:sz="0" w:space="0" w:color="auto"/>
        <w:bottom w:val="none" w:sz="0" w:space="0" w:color="auto"/>
        <w:right w:val="none" w:sz="0" w:space="0" w:color="auto"/>
      </w:divBdr>
    </w:div>
    <w:div w:id="241525241">
      <w:bodyDiv w:val="1"/>
      <w:marLeft w:val="0"/>
      <w:marRight w:val="0"/>
      <w:marTop w:val="0"/>
      <w:marBottom w:val="0"/>
      <w:divBdr>
        <w:top w:val="none" w:sz="0" w:space="0" w:color="auto"/>
        <w:left w:val="none" w:sz="0" w:space="0" w:color="auto"/>
        <w:bottom w:val="none" w:sz="0" w:space="0" w:color="auto"/>
        <w:right w:val="none" w:sz="0" w:space="0" w:color="auto"/>
      </w:divBdr>
    </w:div>
    <w:div w:id="249243315">
      <w:bodyDiv w:val="1"/>
      <w:marLeft w:val="0"/>
      <w:marRight w:val="0"/>
      <w:marTop w:val="0"/>
      <w:marBottom w:val="0"/>
      <w:divBdr>
        <w:top w:val="none" w:sz="0" w:space="0" w:color="auto"/>
        <w:left w:val="none" w:sz="0" w:space="0" w:color="auto"/>
        <w:bottom w:val="none" w:sz="0" w:space="0" w:color="auto"/>
        <w:right w:val="none" w:sz="0" w:space="0" w:color="auto"/>
      </w:divBdr>
    </w:div>
    <w:div w:id="255479521">
      <w:bodyDiv w:val="1"/>
      <w:marLeft w:val="0"/>
      <w:marRight w:val="0"/>
      <w:marTop w:val="0"/>
      <w:marBottom w:val="0"/>
      <w:divBdr>
        <w:top w:val="none" w:sz="0" w:space="0" w:color="auto"/>
        <w:left w:val="none" w:sz="0" w:space="0" w:color="auto"/>
        <w:bottom w:val="none" w:sz="0" w:space="0" w:color="auto"/>
        <w:right w:val="none" w:sz="0" w:space="0" w:color="auto"/>
      </w:divBdr>
    </w:div>
    <w:div w:id="262568081">
      <w:bodyDiv w:val="1"/>
      <w:marLeft w:val="0"/>
      <w:marRight w:val="0"/>
      <w:marTop w:val="0"/>
      <w:marBottom w:val="0"/>
      <w:divBdr>
        <w:top w:val="none" w:sz="0" w:space="0" w:color="auto"/>
        <w:left w:val="none" w:sz="0" w:space="0" w:color="auto"/>
        <w:bottom w:val="none" w:sz="0" w:space="0" w:color="auto"/>
        <w:right w:val="none" w:sz="0" w:space="0" w:color="auto"/>
      </w:divBdr>
    </w:div>
    <w:div w:id="265357813">
      <w:bodyDiv w:val="1"/>
      <w:marLeft w:val="0"/>
      <w:marRight w:val="0"/>
      <w:marTop w:val="0"/>
      <w:marBottom w:val="0"/>
      <w:divBdr>
        <w:top w:val="none" w:sz="0" w:space="0" w:color="auto"/>
        <w:left w:val="none" w:sz="0" w:space="0" w:color="auto"/>
        <w:bottom w:val="none" w:sz="0" w:space="0" w:color="auto"/>
        <w:right w:val="none" w:sz="0" w:space="0" w:color="auto"/>
      </w:divBdr>
    </w:div>
    <w:div w:id="285042958">
      <w:bodyDiv w:val="1"/>
      <w:marLeft w:val="0"/>
      <w:marRight w:val="0"/>
      <w:marTop w:val="0"/>
      <w:marBottom w:val="0"/>
      <w:divBdr>
        <w:top w:val="none" w:sz="0" w:space="0" w:color="auto"/>
        <w:left w:val="none" w:sz="0" w:space="0" w:color="auto"/>
        <w:bottom w:val="none" w:sz="0" w:space="0" w:color="auto"/>
        <w:right w:val="none" w:sz="0" w:space="0" w:color="auto"/>
      </w:divBdr>
    </w:div>
    <w:div w:id="301429050">
      <w:bodyDiv w:val="1"/>
      <w:marLeft w:val="0"/>
      <w:marRight w:val="0"/>
      <w:marTop w:val="0"/>
      <w:marBottom w:val="0"/>
      <w:divBdr>
        <w:top w:val="none" w:sz="0" w:space="0" w:color="auto"/>
        <w:left w:val="none" w:sz="0" w:space="0" w:color="auto"/>
        <w:bottom w:val="none" w:sz="0" w:space="0" w:color="auto"/>
        <w:right w:val="none" w:sz="0" w:space="0" w:color="auto"/>
      </w:divBdr>
    </w:div>
    <w:div w:id="357202102">
      <w:bodyDiv w:val="1"/>
      <w:marLeft w:val="0"/>
      <w:marRight w:val="0"/>
      <w:marTop w:val="0"/>
      <w:marBottom w:val="0"/>
      <w:divBdr>
        <w:top w:val="none" w:sz="0" w:space="0" w:color="auto"/>
        <w:left w:val="none" w:sz="0" w:space="0" w:color="auto"/>
        <w:bottom w:val="none" w:sz="0" w:space="0" w:color="auto"/>
        <w:right w:val="none" w:sz="0" w:space="0" w:color="auto"/>
      </w:divBdr>
    </w:div>
    <w:div w:id="358317195">
      <w:bodyDiv w:val="1"/>
      <w:marLeft w:val="0"/>
      <w:marRight w:val="0"/>
      <w:marTop w:val="0"/>
      <w:marBottom w:val="0"/>
      <w:divBdr>
        <w:top w:val="none" w:sz="0" w:space="0" w:color="auto"/>
        <w:left w:val="none" w:sz="0" w:space="0" w:color="auto"/>
        <w:bottom w:val="none" w:sz="0" w:space="0" w:color="auto"/>
        <w:right w:val="none" w:sz="0" w:space="0" w:color="auto"/>
      </w:divBdr>
    </w:div>
    <w:div w:id="367881212">
      <w:bodyDiv w:val="1"/>
      <w:marLeft w:val="0"/>
      <w:marRight w:val="0"/>
      <w:marTop w:val="0"/>
      <w:marBottom w:val="0"/>
      <w:divBdr>
        <w:top w:val="none" w:sz="0" w:space="0" w:color="auto"/>
        <w:left w:val="none" w:sz="0" w:space="0" w:color="auto"/>
        <w:bottom w:val="none" w:sz="0" w:space="0" w:color="auto"/>
        <w:right w:val="none" w:sz="0" w:space="0" w:color="auto"/>
      </w:divBdr>
    </w:div>
    <w:div w:id="395932773">
      <w:bodyDiv w:val="1"/>
      <w:marLeft w:val="0"/>
      <w:marRight w:val="0"/>
      <w:marTop w:val="0"/>
      <w:marBottom w:val="0"/>
      <w:divBdr>
        <w:top w:val="none" w:sz="0" w:space="0" w:color="auto"/>
        <w:left w:val="none" w:sz="0" w:space="0" w:color="auto"/>
        <w:bottom w:val="none" w:sz="0" w:space="0" w:color="auto"/>
        <w:right w:val="none" w:sz="0" w:space="0" w:color="auto"/>
      </w:divBdr>
    </w:div>
    <w:div w:id="432090325">
      <w:bodyDiv w:val="1"/>
      <w:marLeft w:val="0"/>
      <w:marRight w:val="0"/>
      <w:marTop w:val="0"/>
      <w:marBottom w:val="0"/>
      <w:divBdr>
        <w:top w:val="none" w:sz="0" w:space="0" w:color="auto"/>
        <w:left w:val="none" w:sz="0" w:space="0" w:color="auto"/>
        <w:bottom w:val="none" w:sz="0" w:space="0" w:color="auto"/>
        <w:right w:val="none" w:sz="0" w:space="0" w:color="auto"/>
      </w:divBdr>
    </w:div>
    <w:div w:id="452138262">
      <w:bodyDiv w:val="1"/>
      <w:marLeft w:val="0"/>
      <w:marRight w:val="0"/>
      <w:marTop w:val="0"/>
      <w:marBottom w:val="0"/>
      <w:divBdr>
        <w:top w:val="none" w:sz="0" w:space="0" w:color="auto"/>
        <w:left w:val="none" w:sz="0" w:space="0" w:color="auto"/>
        <w:bottom w:val="none" w:sz="0" w:space="0" w:color="auto"/>
        <w:right w:val="none" w:sz="0" w:space="0" w:color="auto"/>
      </w:divBdr>
    </w:div>
    <w:div w:id="461774836">
      <w:bodyDiv w:val="1"/>
      <w:marLeft w:val="0"/>
      <w:marRight w:val="0"/>
      <w:marTop w:val="0"/>
      <w:marBottom w:val="0"/>
      <w:divBdr>
        <w:top w:val="none" w:sz="0" w:space="0" w:color="auto"/>
        <w:left w:val="none" w:sz="0" w:space="0" w:color="auto"/>
        <w:bottom w:val="none" w:sz="0" w:space="0" w:color="auto"/>
        <w:right w:val="none" w:sz="0" w:space="0" w:color="auto"/>
      </w:divBdr>
    </w:div>
    <w:div w:id="490873610">
      <w:bodyDiv w:val="1"/>
      <w:marLeft w:val="0"/>
      <w:marRight w:val="0"/>
      <w:marTop w:val="0"/>
      <w:marBottom w:val="0"/>
      <w:divBdr>
        <w:top w:val="none" w:sz="0" w:space="0" w:color="auto"/>
        <w:left w:val="none" w:sz="0" w:space="0" w:color="auto"/>
        <w:bottom w:val="none" w:sz="0" w:space="0" w:color="auto"/>
        <w:right w:val="none" w:sz="0" w:space="0" w:color="auto"/>
      </w:divBdr>
    </w:div>
    <w:div w:id="522667718">
      <w:bodyDiv w:val="1"/>
      <w:marLeft w:val="0"/>
      <w:marRight w:val="0"/>
      <w:marTop w:val="0"/>
      <w:marBottom w:val="0"/>
      <w:divBdr>
        <w:top w:val="none" w:sz="0" w:space="0" w:color="auto"/>
        <w:left w:val="none" w:sz="0" w:space="0" w:color="auto"/>
        <w:bottom w:val="none" w:sz="0" w:space="0" w:color="auto"/>
        <w:right w:val="none" w:sz="0" w:space="0" w:color="auto"/>
      </w:divBdr>
    </w:div>
    <w:div w:id="561911890">
      <w:bodyDiv w:val="1"/>
      <w:marLeft w:val="0"/>
      <w:marRight w:val="0"/>
      <w:marTop w:val="0"/>
      <w:marBottom w:val="0"/>
      <w:divBdr>
        <w:top w:val="none" w:sz="0" w:space="0" w:color="auto"/>
        <w:left w:val="none" w:sz="0" w:space="0" w:color="auto"/>
        <w:bottom w:val="none" w:sz="0" w:space="0" w:color="auto"/>
        <w:right w:val="none" w:sz="0" w:space="0" w:color="auto"/>
      </w:divBdr>
    </w:div>
    <w:div w:id="564873218">
      <w:bodyDiv w:val="1"/>
      <w:marLeft w:val="0"/>
      <w:marRight w:val="0"/>
      <w:marTop w:val="0"/>
      <w:marBottom w:val="0"/>
      <w:divBdr>
        <w:top w:val="none" w:sz="0" w:space="0" w:color="auto"/>
        <w:left w:val="none" w:sz="0" w:space="0" w:color="auto"/>
        <w:bottom w:val="none" w:sz="0" w:space="0" w:color="auto"/>
        <w:right w:val="none" w:sz="0" w:space="0" w:color="auto"/>
      </w:divBdr>
    </w:div>
    <w:div w:id="598411884">
      <w:bodyDiv w:val="1"/>
      <w:marLeft w:val="0"/>
      <w:marRight w:val="0"/>
      <w:marTop w:val="0"/>
      <w:marBottom w:val="0"/>
      <w:divBdr>
        <w:top w:val="none" w:sz="0" w:space="0" w:color="auto"/>
        <w:left w:val="none" w:sz="0" w:space="0" w:color="auto"/>
        <w:bottom w:val="none" w:sz="0" w:space="0" w:color="auto"/>
        <w:right w:val="none" w:sz="0" w:space="0" w:color="auto"/>
      </w:divBdr>
    </w:div>
    <w:div w:id="607346410">
      <w:bodyDiv w:val="1"/>
      <w:marLeft w:val="0"/>
      <w:marRight w:val="0"/>
      <w:marTop w:val="0"/>
      <w:marBottom w:val="0"/>
      <w:divBdr>
        <w:top w:val="none" w:sz="0" w:space="0" w:color="auto"/>
        <w:left w:val="none" w:sz="0" w:space="0" w:color="auto"/>
        <w:bottom w:val="none" w:sz="0" w:space="0" w:color="auto"/>
        <w:right w:val="none" w:sz="0" w:space="0" w:color="auto"/>
      </w:divBdr>
    </w:div>
    <w:div w:id="611204045">
      <w:bodyDiv w:val="1"/>
      <w:marLeft w:val="0"/>
      <w:marRight w:val="0"/>
      <w:marTop w:val="0"/>
      <w:marBottom w:val="0"/>
      <w:divBdr>
        <w:top w:val="none" w:sz="0" w:space="0" w:color="auto"/>
        <w:left w:val="none" w:sz="0" w:space="0" w:color="auto"/>
        <w:bottom w:val="none" w:sz="0" w:space="0" w:color="auto"/>
        <w:right w:val="none" w:sz="0" w:space="0" w:color="auto"/>
      </w:divBdr>
    </w:div>
    <w:div w:id="620112143">
      <w:bodyDiv w:val="1"/>
      <w:marLeft w:val="0"/>
      <w:marRight w:val="0"/>
      <w:marTop w:val="0"/>
      <w:marBottom w:val="0"/>
      <w:divBdr>
        <w:top w:val="none" w:sz="0" w:space="0" w:color="auto"/>
        <w:left w:val="none" w:sz="0" w:space="0" w:color="auto"/>
        <w:bottom w:val="none" w:sz="0" w:space="0" w:color="auto"/>
        <w:right w:val="none" w:sz="0" w:space="0" w:color="auto"/>
      </w:divBdr>
    </w:div>
    <w:div w:id="632564318">
      <w:bodyDiv w:val="1"/>
      <w:marLeft w:val="0"/>
      <w:marRight w:val="0"/>
      <w:marTop w:val="0"/>
      <w:marBottom w:val="0"/>
      <w:divBdr>
        <w:top w:val="none" w:sz="0" w:space="0" w:color="auto"/>
        <w:left w:val="none" w:sz="0" w:space="0" w:color="auto"/>
        <w:bottom w:val="none" w:sz="0" w:space="0" w:color="auto"/>
        <w:right w:val="none" w:sz="0" w:space="0" w:color="auto"/>
      </w:divBdr>
    </w:div>
    <w:div w:id="704519580">
      <w:bodyDiv w:val="1"/>
      <w:marLeft w:val="0"/>
      <w:marRight w:val="0"/>
      <w:marTop w:val="0"/>
      <w:marBottom w:val="0"/>
      <w:divBdr>
        <w:top w:val="none" w:sz="0" w:space="0" w:color="auto"/>
        <w:left w:val="none" w:sz="0" w:space="0" w:color="auto"/>
        <w:bottom w:val="none" w:sz="0" w:space="0" w:color="auto"/>
        <w:right w:val="none" w:sz="0" w:space="0" w:color="auto"/>
      </w:divBdr>
    </w:div>
    <w:div w:id="715660404">
      <w:bodyDiv w:val="1"/>
      <w:marLeft w:val="0"/>
      <w:marRight w:val="0"/>
      <w:marTop w:val="0"/>
      <w:marBottom w:val="0"/>
      <w:divBdr>
        <w:top w:val="none" w:sz="0" w:space="0" w:color="auto"/>
        <w:left w:val="none" w:sz="0" w:space="0" w:color="auto"/>
        <w:bottom w:val="none" w:sz="0" w:space="0" w:color="auto"/>
        <w:right w:val="none" w:sz="0" w:space="0" w:color="auto"/>
      </w:divBdr>
    </w:div>
    <w:div w:id="786968963">
      <w:bodyDiv w:val="1"/>
      <w:marLeft w:val="0"/>
      <w:marRight w:val="0"/>
      <w:marTop w:val="0"/>
      <w:marBottom w:val="0"/>
      <w:divBdr>
        <w:top w:val="none" w:sz="0" w:space="0" w:color="auto"/>
        <w:left w:val="none" w:sz="0" w:space="0" w:color="auto"/>
        <w:bottom w:val="none" w:sz="0" w:space="0" w:color="auto"/>
        <w:right w:val="none" w:sz="0" w:space="0" w:color="auto"/>
      </w:divBdr>
    </w:div>
    <w:div w:id="795827892">
      <w:bodyDiv w:val="1"/>
      <w:marLeft w:val="0"/>
      <w:marRight w:val="0"/>
      <w:marTop w:val="0"/>
      <w:marBottom w:val="0"/>
      <w:divBdr>
        <w:top w:val="none" w:sz="0" w:space="0" w:color="auto"/>
        <w:left w:val="none" w:sz="0" w:space="0" w:color="auto"/>
        <w:bottom w:val="none" w:sz="0" w:space="0" w:color="auto"/>
        <w:right w:val="none" w:sz="0" w:space="0" w:color="auto"/>
      </w:divBdr>
    </w:div>
    <w:div w:id="800534659">
      <w:bodyDiv w:val="1"/>
      <w:marLeft w:val="0"/>
      <w:marRight w:val="0"/>
      <w:marTop w:val="0"/>
      <w:marBottom w:val="0"/>
      <w:divBdr>
        <w:top w:val="none" w:sz="0" w:space="0" w:color="auto"/>
        <w:left w:val="none" w:sz="0" w:space="0" w:color="auto"/>
        <w:bottom w:val="none" w:sz="0" w:space="0" w:color="auto"/>
        <w:right w:val="none" w:sz="0" w:space="0" w:color="auto"/>
      </w:divBdr>
    </w:div>
    <w:div w:id="808283906">
      <w:bodyDiv w:val="1"/>
      <w:marLeft w:val="0"/>
      <w:marRight w:val="0"/>
      <w:marTop w:val="0"/>
      <w:marBottom w:val="0"/>
      <w:divBdr>
        <w:top w:val="none" w:sz="0" w:space="0" w:color="auto"/>
        <w:left w:val="none" w:sz="0" w:space="0" w:color="auto"/>
        <w:bottom w:val="none" w:sz="0" w:space="0" w:color="auto"/>
        <w:right w:val="none" w:sz="0" w:space="0" w:color="auto"/>
      </w:divBdr>
    </w:div>
    <w:div w:id="832138733">
      <w:bodyDiv w:val="1"/>
      <w:marLeft w:val="0"/>
      <w:marRight w:val="0"/>
      <w:marTop w:val="0"/>
      <w:marBottom w:val="0"/>
      <w:divBdr>
        <w:top w:val="none" w:sz="0" w:space="0" w:color="auto"/>
        <w:left w:val="none" w:sz="0" w:space="0" w:color="auto"/>
        <w:bottom w:val="none" w:sz="0" w:space="0" w:color="auto"/>
        <w:right w:val="none" w:sz="0" w:space="0" w:color="auto"/>
      </w:divBdr>
    </w:div>
    <w:div w:id="861168227">
      <w:bodyDiv w:val="1"/>
      <w:marLeft w:val="0"/>
      <w:marRight w:val="0"/>
      <w:marTop w:val="0"/>
      <w:marBottom w:val="0"/>
      <w:divBdr>
        <w:top w:val="none" w:sz="0" w:space="0" w:color="auto"/>
        <w:left w:val="none" w:sz="0" w:space="0" w:color="auto"/>
        <w:bottom w:val="none" w:sz="0" w:space="0" w:color="auto"/>
        <w:right w:val="none" w:sz="0" w:space="0" w:color="auto"/>
      </w:divBdr>
    </w:div>
    <w:div w:id="891694405">
      <w:bodyDiv w:val="1"/>
      <w:marLeft w:val="0"/>
      <w:marRight w:val="0"/>
      <w:marTop w:val="0"/>
      <w:marBottom w:val="0"/>
      <w:divBdr>
        <w:top w:val="none" w:sz="0" w:space="0" w:color="auto"/>
        <w:left w:val="none" w:sz="0" w:space="0" w:color="auto"/>
        <w:bottom w:val="none" w:sz="0" w:space="0" w:color="auto"/>
        <w:right w:val="none" w:sz="0" w:space="0" w:color="auto"/>
      </w:divBdr>
    </w:div>
    <w:div w:id="891964698">
      <w:bodyDiv w:val="1"/>
      <w:marLeft w:val="0"/>
      <w:marRight w:val="0"/>
      <w:marTop w:val="0"/>
      <w:marBottom w:val="0"/>
      <w:divBdr>
        <w:top w:val="none" w:sz="0" w:space="0" w:color="auto"/>
        <w:left w:val="none" w:sz="0" w:space="0" w:color="auto"/>
        <w:bottom w:val="none" w:sz="0" w:space="0" w:color="auto"/>
        <w:right w:val="none" w:sz="0" w:space="0" w:color="auto"/>
      </w:divBdr>
    </w:div>
    <w:div w:id="906106934">
      <w:bodyDiv w:val="1"/>
      <w:marLeft w:val="0"/>
      <w:marRight w:val="0"/>
      <w:marTop w:val="0"/>
      <w:marBottom w:val="0"/>
      <w:divBdr>
        <w:top w:val="none" w:sz="0" w:space="0" w:color="auto"/>
        <w:left w:val="none" w:sz="0" w:space="0" w:color="auto"/>
        <w:bottom w:val="none" w:sz="0" w:space="0" w:color="auto"/>
        <w:right w:val="none" w:sz="0" w:space="0" w:color="auto"/>
      </w:divBdr>
    </w:div>
    <w:div w:id="910190309">
      <w:bodyDiv w:val="1"/>
      <w:marLeft w:val="0"/>
      <w:marRight w:val="0"/>
      <w:marTop w:val="0"/>
      <w:marBottom w:val="0"/>
      <w:divBdr>
        <w:top w:val="none" w:sz="0" w:space="0" w:color="auto"/>
        <w:left w:val="none" w:sz="0" w:space="0" w:color="auto"/>
        <w:bottom w:val="none" w:sz="0" w:space="0" w:color="auto"/>
        <w:right w:val="none" w:sz="0" w:space="0" w:color="auto"/>
      </w:divBdr>
    </w:div>
    <w:div w:id="920454349">
      <w:bodyDiv w:val="1"/>
      <w:marLeft w:val="0"/>
      <w:marRight w:val="0"/>
      <w:marTop w:val="0"/>
      <w:marBottom w:val="0"/>
      <w:divBdr>
        <w:top w:val="none" w:sz="0" w:space="0" w:color="auto"/>
        <w:left w:val="none" w:sz="0" w:space="0" w:color="auto"/>
        <w:bottom w:val="none" w:sz="0" w:space="0" w:color="auto"/>
        <w:right w:val="none" w:sz="0" w:space="0" w:color="auto"/>
      </w:divBdr>
      <w:divsChild>
        <w:div w:id="1797943140">
          <w:marLeft w:val="0"/>
          <w:marRight w:val="0"/>
          <w:marTop w:val="150"/>
          <w:marBottom w:val="150"/>
          <w:divBdr>
            <w:top w:val="none" w:sz="0" w:space="0" w:color="auto"/>
            <w:left w:val="none" w:sz="0" w:space="0" w:color="auto"/>
            <w:bottom w:val="none" w:sz="0" w:space="0" w:color="auto"/>
            <w:right w:val="none" w:sz="0" w:space="0" w:color="auto"/>
          </w:divBdr>
        </w:div>
        <w:div w:id="1878154181">
          <w:marLeft w:val="0"/>
          <w:marRight w:val="0"/>
          <w:marTop w:val="150"/>
          <w:marBottom w:val="150"/>
          <w:divBdr>
            <w:top w:val="none" w:sz="0" w:space="0" w:color="auto"/>
            <w:left w:val="none" w:sz="0" w:space="0" w:color="auto"/>
            <w:bottom w:val="none" w:sz="0" w:space="0" w:color="auto"/>
            <w:right w:val="none" w:sz="0" w:space="0" w:color="auto"/>
          </w:divBdr>
        </w:div>
      </w:divsChild>
    </w:div>
    <w:div w:id="935558927">
      <w:bodyDiv w:val="1"/>
      <w:marLeft w:val="0"/>
      <w:marRight w:val="0"/>
      <w:marTop w:val="0"/>
      <w:marBottom w:val="0"/>
      <w:divBdr>
        <w:top w:val="none" w:sz="0" w:space="0" w:color="auto"/>
        <w:left w:val="none" w:sz="0" w:space="0" w:color="auto"/>
        <w:bottom w:val="none" w:sz="0" w:space="0" w:color="auto"/>
        <w:right w:val="none" w:sz="0" w:space="0" w:color="auto"/>
      </w:divBdr>
    </w:div>
    <w:div w:id="962342822">
      <w:bodyDiv w:val="1"/>
      <w:marLeft w:val="0"/>
      <w:marRight w:val="0"/>
      <w:marTop w:val="0"/>
      <w:marBottom w:val="0"/>
      <w:divBdr>
        <w:top w:val="none" w:sz="0" w:space="0" w:color="auto"/>
        <w:left w:val="none" w:sz="0" w:space="0" w:color="auto"/>
        <w:bottom w:val="none" w:sz="0" w:space="0" w:color="auto"/>
        <w:right w:val="none" w:sz="0" w:space="0" w:color="auto"/>
      </w:divBdr>
    </w:div>
    <w:div w:id="962617251">
      <w:bodyDiv w:val="1"/>
      <w:marLeft w:val="0"/>
      <w:marRight w:val="0"/>
      <w:marTop w:val="0"/>
      <w:marBottom w:val="0"/>
      <w:divBdr>
        <w:top w:val="none" w:sz="0" w:space="0" w:color="auto"/>
        <w:left w:val="none" w:sz="0" w:space="0" w:color="auto"/>
        <w:bottom w:val="none" w:sz="0" w:space="0" w:color="auto"/>
        <w:right w:val="none" w:sz="0" w:space="0" w:color="auto"/>
      </w:divBdr>
    </w:div>
    <w:div w:id="977420248">
      <w:bodyDiv w:val="1"/>
      <w:marLeft w:val="0"/>
      <w:marRight w:val="0"/>
      <w:marTop w:val="0"/>
      <w:marBottom w:val="0"/>
      <w:divBdr>
        <w:top w:val="none" w:sz="0" w:space="0" w:color="auto"/>
        <w:left w:val="none" w:sz="0" w:space="0" w:color="auto"/>
        <w:bottom w:val="none" w:sz="0" w:space="0" w:color="auto"/>
        <w:right w:val="none" w:sz="0" w:space="0" w:color="auto"/>
      </w:divBdr>
    </w:div>
    <w:div w:id="987250311">
      <w:bodyDiv w:val="1"/>
      <w:marLeft w:val="0"/>
      <w:marRight w:val="0"/>
      <w:marTop w:val="0"/>
      <w:marBottom w:val="0"/>
      <w:divBdr>
        <w:top w:val="none" w:sz="0" w:space="0" w:color="auto"/>
        <w:left w:val="none" w:sz="0" w:space="0" w:color="auto"/>
        <w:bottom w:val="none" w:sz="0" w:space="0" w:color="auto"/>
        <w:right w:val="none" w:sz="0" w:space="0" w:color="auto"/>
      </w:divBdr>
    </w:div>
    <w:div w:id="999969533">
      <w:bodyDiv w:val="1"/>
      <w:marLeft w:val="0"/>
      <w:marRight w:val="0"/>
      <w:marTop w:val="0"/>
      <w:marBottom w:val="0"/>
      <w:divBdr>
        <w:top w:val="none" w:sz="0" w:space="0" w:color="auto"/>
        <w:left w:val="none" w:sz="0" w:space="0" w:color="auto"/>
        <w:bottom w:val="none" w:sz="0" w:space="0" w:color="auto"/>
        <w:right w:val="none" w:sz="0" w:space="0" w:color="auto"/>
      </w:divBdr>
    </w:div>
    <w:div w:id="1003553679">
      <w:bodyDiv w:val="1"/>
      <w:marLeft w:val="0"/>
      <w:marRight w:val="0"/>
      <w:marTop w:val="0"/>
      <w:marBottom w:val="0"/>
      <w:divBdr>
        <w:top w:val="none" w:sz="0" w:space="0" w:color="auto"/>
        <w:left w:val="none" w:sz="0" w:space="0" w:color="auto"/>
        <w:bottom w:val="none" w:sz="0" w:space="0" w:color="auto"/>
        <w:right w:val="none" w:sz="0" w:space="0" w:color="auto"/>
      </w:divBdr>
    </w:div>
    <w:div w:id="1040014397">
      <w:bodyDiv w:val="1"/>
      <w:marLeft w:val="0"/>
      <w:marRight w:val="0"/>
      <w:marTop w:val="0"/>
      <w:marBottom w:val="0"/>
      <w:divBdr>
        <w:top w:val="none" w:sz="0" w:space="0" w:color="auto"/>
        <w:left w:val="none" w:sz="0" w:space="0" w:color="auto"/>
        <w:bottom w:val="none" w:sz="0" w:space="0" w:color="auto"/>
        <w:right w:val="none" w:sz="0" w:space="0" w:color="auto"/>
      </w:divBdr>
    </w:div>
    <w:div w:id="1048190740">
      <w:bodyDiv w:val="1"/>
      <w:marLeft w:val="0"/>
      <w:marRight w:val="0"/>
      <w:marTop w:val="0"/>
      <w:marBottom w:val="0"/>
      <w:divBdr>
        <w:top w:val="none" w:sz="0" w:space="0" w:color="auto"/>
        <w:left w:val="none" w:sz="0" w:space="0" w:color="auto"/>
        <w:bottom w:val="none" w:sz="0" w:space="0" w:color="auto"/>
        <w:right w:val="none" w:sz="0" w:space="0" w:color="auto"/>
      </w:divBdr>
    </w:div>
    <w:div w:id="1064795076">
      <w:bodyDiv w:val="1"/>
      <w:marLeft w:val="0"/>
      <w:marRight w:val="0"/>
      <w:marTop w:val="0"/>
      <w:marBottom w:val="0"/>
      <w:divBdr>
        <w:top w:val="none" w:sz="0" w:space="0" w:color="auto"/>
        <w:left w:val="none" w:sz="0" w:space="0" w:color="auto"/>
        <w:bottom w:val="none" w:sz="0" w:space="0" w:color="auto"/>
        <w:right w:val="none" w:sz="0" w:space="0" w:color="auto"/>
      </w:divBdr>
    </w:div>
    <w:div w:id="1072393801">
      <w:bodyDiv w:val="1"/>
      <w:marLeft w:val="0"/>
      <w:marRight w:val="0"/>
      <w:marTop w:val="0"/>
      <w:marBottom w:val="0"/>
      <w:divBdr>
        <w:top w:val="none" w:sz="0" w:space="0" w:color="auto"/>
        <w:left w:val="none" w:sz="0" w:space="0" w:color="auto"/>
        <w:bottom w:val="none" w:sz="0" w:space="0" w:color="auto"/>
        <w:right w:val="none" w:sz="0" w:space="0" w:color="auto"/>
      </w:divBdr>
    </w:div>
    <w:div w:id="1083993435">
      <w:bodyDiv w:val="1"/>
      <w:marLeft w:val="0"/>
      <w:marRight w:val="0"/>
      <w:marTop w:val="0"/>
      <w:marBottom w:val="0"/>
      <w:divBdr>
        <w:top w:val="none" w:sz="0" w:space="0" w:color="auto"/>
        <w:left w:val="none" w:sz="0" w:space="0" w:color="auto"/>
        <w:bottom w:val="none" w:sz="0" w:space="0" w:color="auto"/>
        <w:right w:val="none" w:sz="0" w:space="0" w:color="auto"/>
      </w:divBdr>
    </w:div>
    <w:div w:id="1086994481">
      <w:bodyDiv w:val="1"/>
      <w:marLeft w:val="0"/>
      <w:marRight w:val="0"/>
      <w:marTop w:val="0"/>
      <w:marBottom w:val="0"/>
      <w:divBdr>
        <w:top w:val="none" w:sz="0" w:space="0" w:color="auto"/>
        <w:left w:val="none" w:sz="0" w:space="0" w:color="auto"/>
        <w:bottom w:val="none" w:sz="0" w:space="0" w:color="auto"/>
        <w:right w:val="none" w:sz="0" w:space="0" w:color="auto"/>
      </w:divBdr>
    </w:div>
    <w:div w:id="1088695330">
      <w:bodyDiv w:val="1"/>
      <w:marLeft w:val="0"/>
      <w:marRight w:val="0"/>
      <w:marTop w:val="0"/>
      <w:marBottom w:val="0"/>
      <w:divBdr>
        <w:top w:val="none" w:sz="0" w:space="0" w:color="auto"/>
        <w:left w:val="none" w:sz="0" w:space="0" w:color="auto"/>
        <w:bottom w:val="none" w:sz="0" w:space="0" w:color="auto"/>
        <w:right w:val="none" w:sz="0" w:space="0" w:color="auto"/>
      </w:divBdr>
    </w:div>
    <w:div w:id="1095370131">
      <w:bodyDiv w:val="1"/>
      <w:marLeft w:val="0"/>
      <w:marRight w:val="0"/>
      <w:marTop w:val="0"/>
      <w:marBottom w:val="0"/>
      <w:divBdr>
        <w:top w:val="none" w:sz="0" w:space="0" w:color="auto"/>
        <w:left w:val="none" w:sz="0" w:space="0" w:color="auto"/>
        <w:bottom w:val="none" w:sz="0" w:space="0" w:color="auto"/>
        <w:right w:val="none" w:sz="0" w:space="0" w:color="auto"/>
      </w:divBdr>
    </w:div>
    <w:div w:id="1122069446">
      <w:bodyDiv w:val="1"/>
      <w:marLeft w:val="0"/>
      <w:marRight w:val="0"/>
      <w:marTop w:val="0"/>
      <w:marBottom w:val="0"/>
      <w:divBdr>
        <w:top w:val="none" w:sz="0" w:space="0" w:color="auto"/>
        <w:left w:val="none" w:sz="0" w:space="0" w:color="auto"/>
        <w:bottom w:val="none" w:sz="0" w:space="0" w:color="auto"/>
        <w:right w:val="none" w:sz="0" w:space="0" w:color="auto"/>
      </w:divBdr>
    </w:div>
    <w:div w:id="1129663119">
      <w:bodyDiv w:val="1"/>
      <w:marLeft w:val="0"/>
      <w:marRight w:val="0"/>
      <w:marTop w:val="0"/>
      <w:marBottom w:val="0"/>
      <w:divBdr>
        <w:top w:val="none" w:sz="0" w:space="0" w:color="auto"/>
        <w:left w:val="none" w:sz="0" w:space="0" w:color="auto"/>
        <w:bottom w:val="none" w:sz="0" w:space="0" w:color="auto"/>
        <w:right w:val="none" w:sz="0" w:space="0" w:color="auto"/>
      </w:divBdr>
    </w:div>
    <w:div w:id="1141386653">
      <w:bodyDiv w:val="1"/>
      <w:marLeft w:val="0"/>
      <w:marRight w:val="0"/>
      <w:marTop w:val="0"/>
      <w:marBottom w:val="0"/>
      <w:divBdr>
        <w:top w:val="none" w:sz="0" w:space="0" w:color="auto"/>
        <w:left w:val="none" w:sz="0" w:space="0" w:color="auto"/>
        <w:bottom w:val="none" w:sz="0" w:space="0" w:color="auto"/>
        <w:right w:val="none" w:sz="0" w:space="0" w:color="auto"/>
      </w:divBdr>
    </w:div>
    <w:div w:id="1159492374">
      <w:bodyDiv w:val="1"/>
      <w:marLeft w:val="0"/>
      <w:marRight w:val="0"/>
      <w:marTop w:val="0"/>
      <w:marBottom w:val="0"/>
      <w:divBdr>
        <w:top w:val="none" w:sz="0" w:space="0" w:color="auto"/>
        <w:left w:val="none" w:sz="0" w:space="0" w:color="auto"/>
        <w:bottom w:val="none" w:sz="0" w:space="0" w:color="auto"/>
        <w:right w:val="none" w:sz="0" w:space="0" w:color="auto"/>
      </w:divBdr>
    </w:div>
    <w:div w:id="1167406396">
      <w:bodyDiv w:val="1"/>
      <w:marLeft w:val="0"/>
      <w:marRight w:val="0"/>
      <w:marTop w:val="0"/>
      <w:marBottom w:val="0"/>
      <w:divBdr>
        <w:top w:val="none" w:sz="0" w:space="0" w:color="auto"/>
        <w:left w:val="none" w:sz="0" w:space="0" w:color="auto"/>
        <w:bottom w:val="none" w:sz="0" w:space="0" w:color="auto"/>
        <w:right w:val="none" w:sz="0" w:space="0" w:color="auto"/>
      </w:divBdr>
    </w:div>
    <w:div w:id="1171719559">
      <w:bodyDiv w:val="1"/>
      <w:marLeft w:val="0"/>
      <w:marRight w:val="0"/>
      <w:marTop w:val="0"/>
      <w:marBottom w:val="0"/>
      <w:divBdr>
        <w:top w:val="none" w:sz="0" w:space="0" w:color="auto"/>
        <w:left w:val="none" w:sz="0" w:space="0" w:color="auto"/>
        <w:bottom w:val="none" w:sz="0" w:space="0" w:color="auto"/>
        <w:right w:val="none" w:sz="0" w:space="0" w:color="auto"/>
      </w:divBdr>
    </w:div>
    <w:div w:id="1172529583">
      <w:bodyDiv w:val="1"/>
      <w:marLeft w:val="0"/>
      <w:marRight w:val="0"/>
      <w:marTop w:val="0"/>
      <w:marBottom w:val="0"/>
      <w:divBdr>
        <w:top w:val="none" w:sz="0" w:space="0" w:color="auto"/>
        <w:left w:val="none" w:sz="0" w:space="0" w:color="auto"/>
        <w:bottom w:val="none" w:sz="0" w:space="0" w:color="auto"/>
        <w:right w:val="none" w:sz="0" w:space="0" w:color="auto"/>
      </w:divBdr>
    </w:div>
    <w:div w:id="1175536090">
      <w:bodyDiv w:val="1"/>
      <w:marLeft w:val="0"/>
      <w:marRight w:val="0"/>
      <w:marTop w:val="0"/>
      <w:marBottom w:val="0"/>
      <w:divBdr>
        <w:top w:val="none" w:sz="0" w:space="0" w:color="auto"/>
        <w:left w:val="none" w:sz="0" w:space="0" w:color="auto"/>
        <w:bottom w:val="none" w:sz="0" w:space="0" w:color="auto"/>
        <w:right w:val="none" w:sz="0" w:space="0" w:color="auto"/>
      </w:divBdr>
    </w:div>
    <w:div w:id="1232884674">
      <w:bodyDiv w:val="1"/>
      <w:marLeft w:val="0"/>
      <w:marRight w:val="0"/>
      <w:marTop w:val="0"/>
      <w:marBottom w:val="0"/>
      <w:divBdr>
        <w:top w:val="none" w:sz="0" w:space="0" w:color="auto"/>
        <w:left w:val="none" w:sz="0" w:space="0" w:color="auto"/>
        <w:bottom w:val="none" w:sz="0" w:space="0" w:color="auto"/>
        <w:right w:val="none" w:sz="0" w:space="0" w:color="auto"/>
      </w:divBdr>
    </w:div>
    <w:div w:id="1233271782">
      <w:bodyDiv w:val="1"/>
      <w:marLeft w:val="0"/>
      <w:marRight w:val="0"/>
      <w:marTop w:val="0"/>
      <w:marBottom w:val="0"/>
      <w:divBdr>
        <w:top w:val="none" w:sz="0" w:space="0" w:color="auto"/>
        <w:left w:val="none" w:sz="0" w:space="0" w:color="auto"/>
        <w:bottom w:val="none" w:sz="0" w:space="0" w:color="auto"/>
        <w:right w:val="none" w:sz="0" w:space="0" w:color="auto"/>
      </w:divBdr>
    </w:div>
    <w:div w:id="1236819277">
      <w:bodyDiv w:val="1"/>
      <w:marLeft w:val="0"/>
      <w:marRight w:val="0"/>
      <w:marTop w:val="0"/>
      <w:marBottom w:val="0"/>
      <w:divBdr>
        <w:top w:val="none" w:sz="0" w:space="0" w:color="auto"/>
        <w:left w:val="none" w:sz="0" w:space="0" w:color="auto"/>
        <w:bottom w:val="none" w:sz="0" w:space="0" w:color="auto"/>
        <w:right w:val="none" w:sz="0" w:space="0" w:color="auto"/>
      </w:divBdr>
    </w:div>
    <w:div w:id="1238444069">
      <w:bodyDiv w:val="1"/>
      <w:marLeft w:val="0"/>
      <w:marRight w:val="0"/>
      <w:marTop w:val="0"/>
      <w:marBottom w:val="0"/>
      <w:divBdr>
        <w:top w:val="none" w:sz="0" w:space="0" w:color="auto"/>
        <w:left w:val="none" w:sz="0" w:space="0" w:color="auto"/>
        <w:bottom w:val="none" w:sz="0" w:space="0" w:color="auto"/>
        <w:right w:val="none" w:sz="0" w:space="0" w:color="auto"/>
      </w:divBdr>
    </w:div>
    <w:div w:id="1259292134">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5383426">
      <w:bodyDiv w:val="1"/>
      <w:marLeft w:val="0"/>
      <w:marRight w:val="0"/>
      <w:marTop w:val="0"/>
      <w:marBottom w:val="0"/>
      <w:divBdr>
        <w:top w:val="none" w:sz="0" w:space="0" w:color="auto"/>
        <w:left w:val="none" w:sz="0" w:space="0" w:color="auto"/>
        <w:bottom w:val="none" w:sz="0" w:space="0" w:color="auto"/>
        <w:right w:val="none" w:sz="0" w:space="0" w:color="auto"/>
      </w:divBdr>
    </w:div>
    <w:div w:id="1285502954">
      <w:bodyDiv w:val="1"/>
      <w:marLeft w:val="0"/>
      <w:marRight w:val="0"/>
      <w:marTop w:val="0"/>
      <w:marBottom w:val="0"/>
      <w:divBdr>
        <w:top w:val="none" w:sz="0" w:space="0" w:color="auto"/>
        <w:left w:val="none" w:sz="0" w:space="0" w:color="auto"/>
        <w:bottom w:val="none" w:sz="0" w:space="0" w:color="auto"/>
        <w:right w:val="none" w:sz="0" w:space="0" w:color="auto"/>
      </w:divBdr>
    </w:div>
    <w:div w:id="1291940910">
      <w:bodyDiv w:val="1"/>
      <w:marLeft w:val="0"/>
      <w:marRight w:val="0"/>
      <w:marTop w:val="0"/>
      <w:marBottom w:val="0"/>
      <w:divBdr>
        <w:top w:val="none" w:sz="0" w:space="0" w:color="auto"/>
        <w:left w:val="none" w:sz="0" w:space="0" w:color="auto"/>
        <w:bottom w:val="none" w:sz="0" w:space="0" w:color="auto"/>
        <w:right w:val="none" w:sz="0" w:space="0" w:color="auto"/>
      </w:divBdr>
    </w:div>
    <w:div w:id="1305046786">
      <w:bodyDiv w:val="1"/>
      <w:marLeft w:val="0"/>
      <w:marRight w:val="0"/>
      <w:marTop w:val="0"/>
      <w:marBottom w:val="0"/>
      <w:divBdr>
        <w:top w:val="none" w:sz="0" w:space="0" w:color="auto"/>
        <w:left w:val="none" w:sz="0" w:space="0" w:color="auto"/>
        <w:bottom w:val="none" w:sz="0" w:space="0" w:color="auto"/>
        <w:right w:val="none" w:sz="0" w:space="0" w:color="auto"/>
      </w:divBdr>
    </w:div>
    <w:div w:id="1324699952">
      <w:bodyDiv w:val="1"/>
      <w:marLeft w:val="0"/>
      <w:marRight w:val="0"/>
      <w:marTop w:val="0"/>
      <w:marBottom w:val="0"/>
      <w:divBdr>
        <w:top w:val="none" w:sz="0" w:space="0" w:color="auto"/>
        <w:left w:val="none" w:sz="0" w:space="0" w:color="auto"/>
        <w:bottom w:val="none" w:sz="0" w:space="0" w:color="auto"/>
        <w:right w:val="none" w:sz="0" w:space="0" w:color="auto"/>
      </w:divBdr>
    </w:div>
    <w:div w:id="1329989377">
      <w:bodyDiv w:val="1"/>
      <w:marLeft w:val="0"/>
      <w:marRight w:val="0"/>
      <w:marTop w:val="0"/>
      <w:marBottom w:val="0"/>
      <w:divBdr>
        <w:top w:val="none" w:sz="0" w:space="0" w:color="auto"/>
        <w:left w:val="none" w:sz="0" w:space="0" w:color="auto"/>
        <w:bottom w:val="none" w:sz="0" w:space="0" w:color="auto"/>
        <w:right w:val="none" w:sz="0" w:space="0" w:color="auto"/>
      </w:divBdr>
    </w:div>
    <w:div w:id="1334800765">
      <w:bodyDiv w:val="1"/>
      <w:marLeft w:val="0"/>
      <w:marRight w:val="0"/>
      <w:marTop w:val="0"/>
      <w:marBottom w:val="0"/>
      <w:divBdr>
        <w:top w:val="none" w:sz="0" w:space="0" w:color="auto"/>
        <w:left w:val="none" w:sz="0" w:space="0" w:color="auto"/>
        <w:bottom w:val="none" w:sz="0" w:space="0" w:color="auto"/>
        <w:right w:val="none" w:sz="0" w:space="0" w:color="auto"/>
      </w:divBdr>
    </w:div>
    <w:div w:id="134139113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7872935">
      <w:bodyDiv w:val="1"/>
      <w:marLeft w:val="0"/>
      <w:marRight w:val="0"/>
      <w:marTop w:val="0"/>
      <w:marBottom w:val="0"/>
      <w:divBdr>
        <w:top w:val="none" w:sz="0" w:space="0" w:color="auto"/>
        <w:left w:val="none" w:sz="0" w:space="0" w:color="auto"/>
        <w:bottom w:val="none" w:sz="0" w:space="0" w:color="auto"/>
        <w:right w:val="none" w:sz="0" w:space="0" w:color="auto"/>
      </w:divBdr>
    </w:div>
    <w:div w:id="1382172016">
      <w:bodyDiv w:val="1"/>
      <w:marLeft w:val="0"/>
      <w:marRight w:val="0"/>
      <w:marTop w:val="0"/>
      <w:marBottom w:val="0"/>
      <w:divBdr>
        <w:top w:val="none" w:sz="0" w:space="0" w:color="auto"/>
        <w:left w:val="none" w:sz="0" w:space="0" w:color="auto"/>
        <w:bottom w:val="none" w:sz="0" w:space="0" w:color="auto"/>
        <w:right w:val="none" w:sz="0" w:space="0" w:color="auto"/>
      </w:divBdr>
    </w:div>
    <w:div w:id="1398894446">
      <w:bodyDiv w:val="1"/>
      <w:marLeft w:val="0"/>
      <w:marRight w:val="0"/>
      <w:marTop w:val="0"/>
      <w:marBottom w:val="0"/>
      <w:divBdr>
        <w:top w:val="none" w:sz="0" w:space="0" w:color="auto"/>
        <w:left w:val="none" w:sz="0" w:space="0" w:color="auto"/>
        <w:bottom w:val="none" w:sz="0" w:space="0" w:color="auto"/>
        <w:right w:val="none" w:sz="0" w:space="0" w:color="auto"/>
      </w:divBdr>
    </w:div>
    <w:div w:id="1406687444">
      <w:bodyDiv w:val="1"/>
      <w:marLeft w:val="0"/>
      <w:marRight w:val="0"/>
      <w:marTop w:val="0"/>
      <w:marBottom w:val="0"/>
      <w:divBdr>
        <w:top w:val="none" w:sz="0" w:space="0" w:color="auto"/>
        <w:left w:val="none" w:sz="0" w:space="0" w:color="auto"/>
        <w:bottom w:val="none" w:sz="0" w:space="0" w:color="auto"/>
        <w:right w:val="none" w:sz="0" w:space="0" w:color="auto"/>
      </w:divBdr>
    </w:div>
    <w:div w:id="1413501911">
      <w:bodyDiv w:val="1"/>
      <w:marLeft w:val="0"/>
      <w:marRight w:val="0"/>
      <w:marTop w:val="0"/>
      <w:marBottom w:val="0"/>
      <w:divBdr>
        <w:top w:val="none" w:sz="0" w:space="0" w:color="auto"/>
        <w:left w:val="none" w:sz="0" w:space="0" w:color="auto"/>
        <w:bottom w:val="none" w:sz="0" w:space="0" w:color="auto"/>
        <w:right w:val="none" w:sz="0" w:space="0" w:color="auto"/>
      </w:divBdr>
    </w:div>
    <w:div w:id="1430079336">
      <w:bodyDiv w:val="1"/>
      <w:marLeft w:val="0"/>
      <w:marRight w:val="0"/>
      <w:marTop w:val="0"/>
      <w:marBottom w:val="0"/>
      <w:divBdr>
        <w:top w:val="none" w:sz="0" w:space="0" w:color="auto"/>
        <w:left w:val="none" w:sz="0" w:space="0" w:color="auto"/>
        <w:bottom w:val="none" w:sz="0" w:space="0" w:color="auto"/>
        <w:right w:val="none" w:sz="0" w:space="0" w:color="auto"/>
      </w:divBdr>
    </w:div>
    <w:div w:id="1433236245">
      <w:bodyDiv w:val="1"/>
      <w:marLeft w:val="0"/>
      <w:marRight w:val="0"/>
      <w:marTop w:val="0"/>
      <w:marBottom w:val="0"/>
      <w:divBdr>
        <w:top w:val="none" w:sz="0" w:space="0" w:color="auto"/>
        <w:left w:val="none" w:sz="0" w:space="0" w:color="auto"/>
        <w:bottom w:val="none" w:sz="0" w:space="0" w:color="auto"/>
        <w:right w:val="none" w:sz="0" w:space="0" w:color="auto"/>
      </w:divBdr>
    </w:div>
    <w:div w:id="1443263753">
      <w:bodyDiv w:val="1"/>
      <w:marLeft w:val="0"/>
      <w:marRight w:val="0"/>
      <w:marTop w:val="0"/>
      <w:marBottom w:val="0"/>
      <w:divBdr>
        <w:top w:val="none" w:sz="0" w:space="0" w:color="auto"/>
        <w:left w:val="none" w:sz="0" w:space="0" w:color="auto"/>
        <w:bottom w:val="none" w:sz="0" w:space="0" w:color="auto"/>
        <w:right w:val="none" w:sz="0" w:space="0" w:color="auto"/>
      </w:divBdr>
    </w:div>
    <w:div w:id="1456412398">
      <w:bodyDiv w:val="1"/>
      <w:marLeft w:val="0"/>
      <w:marRight w:val="0"/>
      <w:marTop w:val="0"/>
      <w:marBottom w:val="0"/>
      <w:divBdr>
        <w:top w:val="none" w:sz="0" w:space="0" w:color="auto"/>
        <w:left w:val="none" w:sz="0" w:space="0" w:color="auto"/>
        <w:bottom w:val="none" w:sz="0" w:space="0" w:color="auto"/>
        <w:right w:val="none" w:sz="0" w:space="0" w:color="auto"/>
      </w:divBdr>
    </w:div>
    <w:div w:id="1457722320">
      <w:bodyDiv w:val="1"/>
      <w:marLeft w:val="0"/>
      <w:marRight w:val="0"/>
      <w:marTop w:val="0"/>
      <w:marBottom w:val="0"/>
      <w:divBdr>
        <w:top w:val="none" w:sz="0" w:space="0" w:color="auto"/>
        <w:left w:val="none" w:sz="0" w:space="0" w:color="auto"/>
        <w:bottom w:val="none" w:sz="0" w:space="0" w:color="auto"/>
        <w:right w:val="none" w:sz="0" w:space="0" w:color="auto"/>
      </w:divBdr>
    </w:div>
    <w:div w:id="1464736866">
      <w:bodyDiv w:val="1"/>
      <w:marLeft w:val="0"/>
      <w:marRight w:val="0"/>
      <w:marTop w:val="0"/>
      <w:marBottom w:val="0"/>
      <w:divBdr>
        <w:top w:val="none" w:sz="0" w:space="0" w:color="auto"/>
        <w:left w:val="none" w:sz="0" w:space="0" w:color="auto"/>
        <w:bottom w:val="none" w:sz="0" w:space="0" w:color="auto"/>
        <w:right w:val="none" w:sz="0" w:space="0" w:color="auto"/>
      </w:divBdr>
    </w:div>
    <w:div w:id="1485201130">
      <w:bodyDiv w:val="1"/>
      <w:marLeft w:val="0"/>
      <w:marRight w:val="0"/>
      <w:marTop w:val="0"/>
      <w:marBottom w:val="0"/>
      <w:divBdr>
        <w:top w:val="none" w:sz="0" w:space="0" w:color="auto"/>
        <w:left w:val="none" w:sz="0" w:space="0" w:color="auto"/>
        <w:bottom w:val="none" w:sz="0" w:space="0" w:color="auto"/>
        <w:right w:val="none" w:sz="0" w:space="0" w:color="auto"/>
      </w:divBdr>
    </w:div>
    <w:div w:id="1487092340">
      <w:bodyDiv w:val="1"/>
      <w:marLeft w:val="0"/>
      <w:marRight w:val="0"/>
      <w:marTop w:val="0"/>
      <w:marBottom w:val="0"/>
      <w:divBdr>
        <w:top w:val="none" w:sz="0" w:space="0" w:color="auto"/>
        <w:left w:val="none" w:sz="0" w:space="0" w:color="auto"/>
        <w:bottom w:val="none" w:sz="0" w:space="0" w:color="auto"/>
        <w:right w:val="none" w:sz="0" w:space="0" w:color="auto"/>
      </w:divBdr>
    </w:div>
    <w:div w:id="1507669629">
      <w:bodyDiv w:val="1"/>
      <w:marLeft w:val="0"/>
      <w:marRight w:val="0"/>
      <w:marTop w:val="0"/>
      <w:marBottom w:val="0"/>
      <w:divBdr>
        <w:top w:val="none" w:sz="0" w:space="0" w:color="auto"/>
        <w:left w:val="none" w:sz="0" w:space="0" w:color="auto"/>
        <w:bottom w:val="none" w:sz="0" w:space="0" w:color="auto"/>
        <w:right w:val="none" w:sz="0" w:space="0" w:color="auto"/>
      </w:divBdr>
    </w:div>
    <w:div w:id="1527911876">
      <w:bodyDiv w:val="1"/>
      <w:marLeft w:val="0"/>
      <w:marRight w:val="0"/>
      <w:marTop w:val="0"/>
      <w:marBottom w:val="0"/>
      <w:divBdr>
        <w:top w:val="none" w:sz="0" w:space="0" w:color="auto"/>
        <w:left w:val="none" w:sz="0" w:space="0" w:color="auto"/>
        <w:bottom w:val="none" w:sz="0" w:space="0" w:color="auto"/>
        <w:right w:val="none" w:sz="0" w:space="0" w:color="auto"/>
      </w:divBdr>
    </w:div>
    <w:div w:id="1532187936">
      <w:bodyDiv w:val="1"/>
      <w:marLeft w:val="0"/>
      <w:marRight w:val="0"/>
      <w:marTop w:val="0"/>
      <w:marBottom w:val="0"/>
      <w:divBdr>
        <w:top w:val="none" w:sz="0" w:space="0" w:color="auto"/>
        <w:left w:val="none" w:sz="0" w:space="0" w:color="auto"/>
        <w:bottom w:val="none" w:sz="0" w:space="0" w:color="auto"/>
        <w:right w:val="none" w:sz="0" w:space="0" w:color="auto"/>
      </w:divBdr>
    </w:div>
    <w:div w:id="1553224550">
      <w:bodyDiv w:val="1"/>
      <w:marLeft w:val="0"/>
      <w:marRight w:val="0"/>
      <w:marTop w:val="0"/>
      <w:marBottom w:val="0"/>
      <w:divBdr>
        <w:top w:val="none" w:sz="0" w:space="0" w:color="auto"/>
        <w:left w:val="none" w:sz="0" w:space="0" w:color="auto"/>
        <w:bottom w:val="none" w:sz="0" w:space="0" w:color="auto"/>
        <w:right w:val="none" w:sz="0" w:space="0" w:color="auto"/>
      </w:divBdr>
    </w:div>
    <w:div w:id="1562711360">
      <w:bodyDiv w:val="1"/>
      <w:marLeft w:val="0"/>
      <w:marRight w:val="0"/>
      <w:marTop w:val="0"/>
      <w:marBottom w:val="0"/>
      <w:divBdr>
        <w:top w:val="none" w:sz="0" w:space="0" w:color="auto"/>
        <w:left w:val="none" w:sz="0" w:space="0" w:color="auto"/>
        <w:bottom w:val="none" w:sz="0" w:space="0" w:color="auto"/>
        <w:right w:val="none" w:sz="0" w:space="0" w:color="auto"/>
      </w:divBdr>
    </w:div>
    <w:div w:id="1597710606">
      <w:bodyDiv w:val="1"/>
      <w:marLeft w:val="0"/>
      <w:marRight w:val="0"/>
      <w:marTop w:val="0"/>
      <w:marBottom w:val="0"/>
      <w:divBdr>
        <w:top w:val="none" w:sz="0" w:space="0" w:color="auto"/>
        <w:left w:val="none" w:sz="0" w:space="0" w:color="auto"/>
        <w:bottom w:val="none" w:sz="0" w:space="0" w:color="auto"/>
        <w:right w:val="none" w:sz="0" w:space="0" w:color="auto"/>
      </w:divBdr>
    </w:div>
    <w:div w:id="1598244367">
      <w:bodyDiv w:val="1"/>
      <w:marLeft w:val="0"/>
      <w:marRight w:val="0"/>
      <w:marTop w:val="0"/>
      <w:marBottom w:val="0"/>
      <w:divBdr>
        <w:top w:val="none" w:sz="0" w:space="0" w:color="auto"/>
        <w:left w:val="none" w:sz="0" w:space="0" w:color="auto"/>
        <w:bottom w:val="none" w:sz="0" w:space="0" w:color="auto"/>
        <w:right w:val="none" w:sz="0" w:space="0" w:color="auto"/>
      </w:divBdr>
    </w:div>
    <w:div w:id="1603953151">
      <w:bodyDiv w:val="1"/>
      <w:marLeft w:val="0"/>
      <w:marRight w:val="0"/>
      <w:marTop w:val="0"/>
      <w:marBottom w:val="0"/>
      <w:divBdr>
        <w:top w:val="none" w:sz="0" w:space="0" w:color="auto"/>
        <w:left w:val="none" w:sz="0" w:space="0" w:color="auto"/>
        <w:bottom w:val="none" w:sz="0" w:space="0" w:color="auto"/>
        <w:right w:val="none" w:sz="0" w:space="0" w:color="auto"/>
      </w:divBdr>
    </w:div>
    <w:div w:id="1611860505">
      <w:bodyDiv w:val="1"/>
      <w:marLeft w:val="0"/>
      <w:marRight w:val="0"/>
      <w:marTop w:val="0"/>
      <w:marBottom w:val="0"/>
      <w:divBdr>
        <w:top w:val="none" w:sz="0" w:space="0" w:color="auto"/>
        <w:left w:val="none" w:sz="0" w:space="0" w:color="auto"/>
        <w:bottom w:val="none" w:sz="0" w:space="0" w:color="auto"/>
        <w:right w:val="none" w:sz="0" w:space="0" w:color="auto"/>
      </w:divBdr>
    </w:div>
    <w:div w:id="1656178472">
      <w:bodyDiv w:val="1"/>
      <w:marLeft w:val="0"/>
      <w:marRight w:val="0"/>
      <w:marTop w:val="0"/>
      <w:marBottom w:val="0"/>
      <w:divBdr>
        <w:top w:val="none" w:sz="0" w:space="0" w:color="auto"/>
        <w:left w:val="none" w:sz="0" w:space="0" w:color="auto"/>
        <w:bottom w:val="none" w:sz="0" w:space="0" w:color="auto"/>
        <w:right w:val="none" w:sz="0" w:space="0" w:color="auto"/>
      </w:divBdr>
    </w:div>
    <w:div w:id="1703558674">
      <w:bodyDiv w:val="1"/>
      <w:marLeft w:val="0"/>
      <w:marRight w:val="0"/>
      <w:marTop w:val="0"/>
      <w:marBottom w:val="0"/>
      <w:divBdr>
        <w:top w:val="none" w:sz="0" w:space="0" w:color="auto"/>
        <w:left w:val="none" w:sz="0" w:space="0" w:color="auto"/>
        <w:bottom w:val="none" w:sz="0" w:space="0" w:color="auto"/>
        <w:right w:val="none" w:sz="0" w:space="0" w:color="auto"/>
      </w:divBdr>
    </w:div>
    <w:div w:id="1732383654">
      <w:bodyDiv w:val="1"/>
      <w:marLeft w:val="0"/>
      <w:marRight w:val="0"/>
      <w:marTop w:val="0"/>
      <w:marBottom w:val="0"/>
      <w:divBdr>
        <w:top w:val="none" w:sz="0" w:space="0" w:color="auto"/>
        <w:left w:val="none" w:sz="0" w:space="0" w:color="auto"/>
        <w:bottom w:val="none" w:sz="0" w:space="0" w:color="auto"/>
        <w:right w:val="none" w:sz="0" w:space="0" w:color="auto"/>
      </w:divBdr>
    </w:div>
    <w:div w:id="1746799665">
      <w:bodyDiv w:val="1"/>
      <w:marLeft w:val="0"/>
      <w:marRight w:val="0"/>
      <w:marTop w:val="0"/>
      <w:marBottom w:val="0"/>
      <w:divBdr>
        <w:top w:val="none" w:sz="0" w:space="0" w:color="auto"/>
        <w:left w:val="none" w:sz="0" w:space="0" w:color="auto"/>
        <w:bottom w:val="none" w:sz="0" w:space="0" w:color="auto"/>
        <w:right w:val="none" w:sz="0" w:space="0" w:color="auto"/>
      </w:divBdr>
    </w:div>
    <w:div w:id="1800491592">
      <w:bodyDiv w:val="1"/>
      <w:marLeft w:val="0"/>
      <w:marRight w:val="0"/>
      <w:marTop w:val="0"/>
      <w:marBottom w:val="0"/>
      <w:divBdr>
        <w:top w:val="none" w:sz="0" w:space="0" w:color="auto"/>
        <w:left w:val="none" w:sz="0" w:space="0" w:color="auto"/>
        <w:bottom w:val="none" w:sz="0" w:space="0" w:color="auto"/>
        <w:right w:val="none" w:sz="0" w:space="0" w:color="auto"/>
      </w:divBdr>
    </w:div>
    <w:div w:id="1815298303">
      <w:bodyDiv w:val="1"/>
      <w:marLeft w:val="0"/>
      <w:marRight w:val="0"/>
      <w:marTop w:val="0"/>
      <w:marBottom w:val="0"/>
      <w:divBdr>
        <w:top w:val="none" w:sz="0" w:space="0" w:color="auto"/>
        <w:left w:val="none" w:sz="0" w:space="0" w:color="auto"/>
        <w:bottom w:val="none" w:sz="0" w:space="0" w:color="auto"/>
        <w:right w:val="none" w:sz="0" w:space="0" w:color="auto"/>
      </w:divBdr>
    </w:div>
    <w:div w:id="1821381551">
      <w:bodyDiv w:val="1"/>
      <w:marLeft w:val="0"/>
      <w:marRight w:val="0"/>
      <w:marTop w:val="0"/>
      <w:marBottom w:val="0"/>
      <w:divBdr>
        <w:top w:val="none" w:sz="0" w:space="0" w:color="auto"/>
        <w:left w:val="none" w:sz="0" w:space="0" w:color="auto"/>
        <w:bottom w:val="none" w:sz="0" w:space="0" w:color="auto"/>
        <w:right w:val="none" w:sz="0" w:space="0" w:color="auto"/>
      </w:divBdr>
    </w:div>
    <w:div w:id="1821732493">
      <w:bodyDiv w:val="1"/>
      <w:marLeft w:val="0"/>
      <w:marRight w:val="0"/>
      <w:marTop w:val="0"/>
      <w:marBottom w:val="0"/>
      <w:divBdr>
        <w:top w:val="none" w:sz="0" w:space="0" w:color="auto"/>
        <w:left w:val="none" w:sz="0" w:space="0" w:color="auto"/>
        <w:bottom w:val="none" w:sz="0" w:space="0" w:color="auto"/>
        <w:right w:val="none" w:sz="0" w:space="0" w:color="auto"/>
      </w:divBdr>
    </w:div>
    <w:div w:id="1822581020">
      <w:bodyDiv w:val="1"/>
      <w:marLeft w:val="0"/>
      <w:marRight w:val="0"/>
      <w:marTop w:val="0"/>
      <w:marBottom w:val="0"/>
      <w:divBdr>
        <w:top w:val="none" w:sz="0" w:space="0" w:color="auto"/>
        <w:left w:val="none" w:sz="0" w:space="0" w:color="auto"/>
        <w:bottom w:val="none" w:sz="0" w:space="0" w:color="auto"/>
        <w:right w:val="none" w:sz="0" w:space="0" w:color="auto"/>
      </w:divBdr>
    </w:div>
    <w:div w:id="1856071267">
      <w:bodyDiv w:val="1"/>
      <w:marLeft w:val="0"/>
      <w:marRight w:val="0"/>
      <w:marTop w:val="0"/>
      <w:marBottom w:val="0"/>
      <w:divBdr>
        <w:top w:val="none" w:sz="0" w:space="0" w:color="auto"/>
        <w:left w:val="none" w:sz="0" w:space="0" w:color="auto"/>
        <w:bottom w:val="none" w:sz="0" w:space="0" w:color="auto"/>
        <w:right w:val="none" w:sz="0" w:space="0" w:color="auto"/>
      </w:divBdr>
    </w:div>
    <w:div w:id="1891653729">
      <w:bodyDiv w:val="1"/>
      <w:marLeft w:val="0"/>
      <w:marRight w:val="0"/>
      <w:marTop w:val="0"/>
      <w:marBottom w:val="0"/>
      <w:divBdr>
        <w:top w:val="none" w:sz="0" w:space="0" w:color="auto"/>
        <w:left w:val="none" w:sz="0" w:space="0" w:color="auto"/>
        <w:bottom w:val="none" w:sz="0" w:space="0" w:color="auto"/>
        <w:right w:val="none" w:sz="0" w:space="0" w:color="auto"/>
      </w:divBdr>
    </w:div>
    <w:div w:id="1905407935">
      <w:bodyDiv w:val="1"/>
      <w:marLeft w:val="0"/>
      <w:marRight w:val="0"/>
      <w:marTop w:val="0"/>
      <w:marBottom w:val="0"/>
      <w:divBdr>
        <w:top w:val="none" w:sz="0" w:space="0" w:color="auto"/>
        <w:left w:val="none" w:sz="0" w:space="0" w:color="auto"/>
        <w:bottom w:val="none" w:sz="0" w:space="0" w:color="auto"/>
        <w:right w:val="none" w:sz="0" w:space="0" w:color="auto"/>
      </w:divBdr>
    </w:div>
    <w:div w:id="1917129261">
      <w:bodyDiv w:val="1"/>
      <w:marLeft w:val="0"/>
      <w:marRight w:val="0"/>
      <w:marTop w:val="0"/>
      <w:marBottom w:val="0"/>
      <w:divBdr>
        <w:top w:val="none" w:sz="0" w:space="0" w:color="auto"/>
        <w:left w:val="none" w:sz="0" w:space="0" w:color="auto"/>
        <w:bottom w:val="none" w:sz="0" w:space="0" w:color="auto"/>
        <w:right w:val="none" w:sz="0" w:space="0" w:color="auto"/>
      </w:divBdr>
    </w:div>
    <w:div w:id="1930037808">
      <w:bodyDiv w:val="1"/>
      <w:marLeft w:val="0"/>
      <w:marRight w:val="0"/>
      <w:marTop w:val="0"/>
      <w:marBottom w:val="0"/>
      <w:divBdr>
        <w:top w:val="none" w:sz="0" w:space="0" w:color="auto"/>
        <w:left w:val="none" w:sz="0" w:space="0" w:color="auto"/>
        <w:bottom w:val="none" w:sz="0" w:space="0" w:color="auto"/>
        <w:right w:val="none" w:sz="0" w:space="0" w:color="auto"/>
      </w:divBdr>
    </w:div>
    <w:div w:id="1942182681">
      <w:bodyDiv w:val="1"/>
      <w:marLeft w:val="0"/>
      <w:marRight w:val="0"/>
      <w:marTop w:val="0"/>
      <w:marBottom w:val="0"/>
      <w:divBdr>
        <w:top w:val="none" w:sz="0" w:space="0" w:color="auto"/>
        <w:left w:val="none" w:sz="0" w:space="0" w:color="auto"/>
        <w:bottom w:val="none" w:sz="0" w:space="0" w:color="auto"/>
        <w:right w:val="none" w:sz="0" w:space="0" w:color="auto"/>
      </w:divBdr>
    </w:div>
    <w:div w:id="1958218736">
      <w:bodyDiv w:val="1"/>
      <w:marLeft w:val="0"/>
      <w:marRight w:val="0"/>
      <w:marTop w:val="0"/>
      <w:marBottom w:val="0"/>
      <w:divBdr>
        <w:top w:val="none" w:sz="0" w:space="0" w:color="auto"/>
        <w:left w:val="none" w:sz="0" w:space="0" w:color="auto"/>
        <w:bottom w:val="none" w:sz="0" w:space="0" w:color="auto"/>
        <w:right w:val="none" w:sz="0" w:space="0" w:color="auto"/>
      </w:divBdr>
    </w:div>
    <w:div w:id="1959750948">
      <w:bodyDiv w:val="1"/>
      <w:marLeft w:val="0"/>
      <w:marRight w:val="0"/>
      <w:marTop w:val="0"/>
      <w:marBottom w:val="0"/>
      <w:divBdr>
        <w:top w:val="none" w:sz="0" w:space="0" w:color="auto"/>
        <w:left w:val="none" w:sz="0" w:space="0" w:color="auto"/>
        <w:bottom w:val="none" w:sz="0" w:space="0" w:color="auto"/>
        <w:right w:val="none" w:sz="0" w:space="0" w:color="auto"/>
      </w:divBdr>
    </w:div>
    <w:div w:id="1959801606">
      <w:bodyDiv w:val="1"/>
      <w:marLeft w:val="0"/>
      <w:marRight w:val="0"/>
      <w:marTop w:val="0"/>
      <w:marBottom w:val="0"/>
      <w:divBdr>
        <w:top w:val="none" w:sz="0" w:space="0" w:color="auto"/>
        <w:left w:val="none" w:sz="0" w:space="0" w:color="auto"/>
        <w:bottom w:val="none" w:sz="0" w:space="0" w:color="auto"/>
        <w:right w:val="none" w:sz="0" w:space="0" w:color="auto"/>
      </w:divBdr>
    </w:div>
    <w:div w:id="1966807060">
      <w:bodyDiv w:val="1"/>
      <w:marLeft w:val="0"/>
      <w:marRight w:val="0"/>
      <w:marTop w:val="0"/>
      <w:marBottom w:val="0"/>
      <w:divBdr>
        <w:top w:val="none" w:sz="0" w:space="0" w:color="auto"/>
        <w:left w:val="none" w:sz="0" w:space="0" w:color="auto"/>
        <w:bottom w:val="none" w:sz="0" w:space="0" w:color="auto"/>
        <w:right w:val="none" w:sz="0" w:space="0" w:color="auto"/>
      </w:divBdr>
    </w:div>
    <w:div w:id="1990357875">
      <w:bodyDiv w:val="1"/>
      <w:marLeft w:val="0"/>
      <w:marRight w:val="0"/>
      <w:marTop w:val="0"/>
      <w:marBottom w:val="0"/>
      <w:divBdr>
        <w:top w:val="none" w:sz="0" w:space="0" w:color="auto"/>
        <w:left w:val="none" w:sz="0" w:space="0" w:color="auto"/>
        <w:bottom w:val="none" w:sz="0" w:space="0" w:color="auto"/>
        <w:right w:val="none" w:sz="0" w:space="0" w:color="auto"/>
      </w:divBdr>
    </w:div>
    <w:div w:id="2012023212">
      <w:bodyDiv w:val="1"/>
      <w:marLeft w:val="0"/>
      <w:marRight w:val="0"/>
      <w:marTop w:val="0"/>
      <w:marBottom w:val="0"/>
      <w:divBdr>
        <w:top w:val="none" w:sz="0" w:space="0" w:color="auto"/>
        <w:left w:val="none" w:sz="0" w:space="0" w:color="auto"/>
        <w:bottom w:val="none" w:sz="0" w:space="0" w:color="auto"/>
        <w:right w:val="none" w:sz="0" w:space="0" w:color="auto"/>
      </w:divBdr>
    </w:div>
    <w:div w:id="2062242075">
      <w:bodyDiv w:val="1"/>
      <w:marLeft w:val="0"/>
      <w:marRight w:val="0"/>
      <w:marTop w:val="0"/>
      <w:marBottom w:val="0"/>
      <w:divBdr>
        <w:top w:val="none" w:sz="0" w:space="0" w:color="auto"/>
        <w:left w:val="none" w:sz="0" w:space="0" w:color="auto"/>
        <w:bottom w:val="none" w:sz="0" w:space="0" w:color="auto"/>
        <w:right w:val="none" w:sz="0" w:space="0" w:color="auto"/>
      </w:divBdr>
    </w:div>
    <w:div w:id="2083067050">
      <w:bodyDiv w:val="1"/>
      <w:marLeft w:val="0"/>
      <w:marRight w:val="0"/>
      <w:marTop w:val="0"/>
      <w:marBottom w:val="0"/>
      <w:divBdr>
        <w:top w:val="none" w:sz="0" w:space="0" w:color="auto"/>
        <w:left w:val="none" w:sz="0" w:space="0" w:color="auto"/>
        <w:bottom w:val="none" w:sz="0" w:space="0" w:color="auto"/>
        <w:right w:val="none" w:sz="0" w:space="0" w:color="auto"/>
      </w:divBdr>
    </w:div>
    <w:div w:id="21121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ublication/24214" TargetMode="External"/><Relationship Id="rId13" Type="http://schemas.openxmlformats.org/officeDocument/2006/relationships/hyperlink" Target="https://webstore.iec.ch/publication/59916" TargetMode="External"/><Relationship Id="rId18" Type="http://schemas.openxmlformats.org/officeDocument/2006/relationships/hyperlink" Target="https://webstore.iec.ch/publication/60937" TargetMode="External"/><Relationship Id="rId26" Type="http://schemas.openxmlformats.org/officeDocument/2006/relationships/hyperlink" Target="https://webstore.iec.ch/publication/26395" TargetMode="External"/><Relationship Id="rId3" Type="http://schemas.openxmlformats.org/officeDocument/2006/relationships/styles" Target="styles.xml"/><Relationship Id="rId21" Type="http://schemas.openxmlformats.org/officeDocument/2006/relationships/hyperlink" Target="https://webstore.iec.ch/publication/4264" TargetMode="External"/><Relationship Id="rId7" Type="http://schemas.openxmlformats.org/officeDocument/2006/relationships/endnotes" Target="endnotes.xml"/><Relationship Id="rId12" Type="http://schemas.openxmlformats.org/officeDocument/2006/relationships/hyperlink" Target="https://webstore.iec.ch/publication/27156" TargetMode="External"/><Relationship Id="rId17" Type="http://schemas.openxmlformats.org/officeDocument/2006/relationships/hyperlink" Target="https://webstore.iec.ch/publication/7034" TargetMode="External"/><Relationship Id="rId25" Type="http://schemas.openxmlformats.org/officeDocument/2006/relationships/hyperlink" Target="https://webstore.iec.ch/publication/4275" TargetMode="External"/><Relationship Id="rId2" Type="http://schemas.openxmlformats.org/officeDocument/2006/relationships/numbering" Target="numbering.xml"/><Relationship Id="rId16" Type="http://schemas.openxmlformats.org/officeDocument/2006/relationships/hyperlink" Target="https://webstore.iec.ch/publication/26808" TargetMode="External"/><Relationship Id="rId20" Type="http://schemas.openxmlformats.org/officeDocument/2006/relationships/hyperlink" Target="https://webstore.iec.ch/publication/426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ublication/69750" TargetMode="External"/><Relationship Id="rId24" Type="http://schemas.openxmlformats.org/officeDocument/2006/relationships/hyperlink" Target="https://webstore.iec.ch/publication/4274" TargetMode="External"/><Relationship Id="rId5" Type="http://schemas.openxmlformats.org/officeDocument/2006/relationships/webSettings" Target="webSettings.xml"/><Relationship Id="rId15" Type="http://schemas.openxmlformats.org/officeDocument/2006/relationships/hyperlink" Target="https://webstore.iec.ch/publication/59920" TargetMode="External"/><Relationship Id="rId23" Type="http://schemas.openxmlformats.org/officeDocument/2006/relationships/hyperlink" Target="https://webstore.iec.ch/publication/4273" TargetMode="External"/><Relationship Id="rId28" Type="http://schemas.openxmlformats.org/officeDocument/2006/relationships/header" Target="header1.xml"/><Relationship Id="rId10" Type="http://schemas.openxmlformats.org/officeDocument/2006/relationships/hyperlink" Target="https://webstore.iec.ch/publication/24238" TargetMode="External"/><Relationship Id="rId19" Type="http://schemas.openxmlformats.org/officeDocument/2006/relationships/hyperlink" Target="https://webstore.iec.ch/publication/4265" TargetMode="External"/><Relationship Id="rId4" Type="http://schemas.openxmlformats.org/officeDocument/2006/relationships/settings" Target="settings.xml"/><Relationship Id="rId9" Type="http://schemas.openxmlformats.org/officeDocument/2006/relationships/hyperlink" Target="https://webstore.iec.ch/publication/22004" TargetMode="External"/><Relationship Id="rId14" Type="http://schemas.openxmlformats.org/officeDocument/2006/relationships/hyperlink" Target="https://webstore.iec.ch/publication/59919" TargetMode="External"/><Relationship Id="rId22" Type="http://schemas.openxmlformats.org/officeDocument/2006/relationships/hyperlink" Target="https://webstore.iec.ch/publication/27206" TargetMode="External"/><Relationship Id="rId27" Type="http://schemas.openxmlformats.org/officeDocument/2006/relationships/hyperlink" Target="https://webstore.iec.ch/publication/5995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56178-D67E-483F-B2C8-7BECBDB26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12</Pages>
  <Words>3628</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Robert Njoroge</cp:lastModifiedBy>
  <cp:revision>61</cp:revision>
  <cp:lastPrinted>2008-07-11T13:15:00Z</cp:lastPrinted>
  <dcterms:created xsi:type="dcterms:W3CDTF">2019-04-20T08:00:00Z</dcterms:created>
  <dcterms:modified xsi:type="dcterms:W3CDTF">2022-01-20T12:40:00Z</dcterms:modified>
</cp:coreProperties>
</file>