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E4" w:rsidRPr="00F9645B" w:rsidRDefault="00A748E4" w:rsidP="00717131">
      <w:pPr>
        <w:pStyle w:val="ListParagraph"/>
        <w:jc w:val="center"/>
        <w:rPr>
          <w:rFonts w:ascii="Arial" w:hAnsi="Arial" w:cs="Arial"/>
          <w:b/>
          <w:sz w:val="22"/>
          <w:szCs w:val="22"/>
        </w:rPr>
      </w:pPr>
      <w:r w:rsidRPr="00F9645B">
        <w:rPr>
          <w:rFonts w:ascii="Arial" w:hAnsi="Arial" w:cs="Arial"/>
          <w:b/>
          <w:sz w:val="22"/>
          <w:szCs w:val="22"/>
        </w:rPr>
        <w:t>CONFIRMATION PROPOSAL</w:t>
      </w:r>
      <w:r>
        <w:rPr>
          <w:rFonts w:ascii="Arial" w:hAnsi="Arial" w:cs="Arial"/>
          <w:b/>
          <w:sz w:val="22"/>
          <w:szCs w:val="22"/>
        </w:rPr>
        <w:t xml:space="preserve"> FORM</w:t>
      </w:r>
    </w:p>
    <w:p w:rsidR="00A748E4" w:rsidRDefault="00A748E4" w:rsidP="00717131">
      <w:pPr>
        <w:pStyle w:val="ListParagraph"/>
        <w:rPr>
          <w:rFonts w:ascii="Arial" w:hAnsi="Arial" w:cs="Arial"/>
          <w:sz w:val="22"/>
          <w:szCs w:val="22"/>
        </w:rPr>
      </w:pPr>
    </w:p>
    <w:p w:rsidR="00A748E4" w:rsidRDefault="00A748E4" w:rsidP="0071713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A748E4" w:rsidRDefault="00A748E4" w:rsidP="0071713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A748E4" w:rsidRPr="00A748E4" w:rsidTr="00717131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748E4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748E4">
              <w:rPr>
                <w:rFonts w:ascii="Arial" w:hAnsi="Arial" w:cs="Arial"/>
                <w:b/>
                <w:bCs/>
                <w:sz w:val="20"/>
                <w:szCs w:val="20"/>
              </w:rPr>
              <w:t>Confirmation proposal</w:t>
            </w:r>
          </w:p>
        </w:tc>
      </w:tr>
      <w:tr w:rsidR="00A748E4" w:rsidRPr="00A748E4" w:rsidTr="00717131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748E4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A748E4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A748E4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A748E4" w:rsidRPr="00A748E4" w:rsidTr="00717131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C468D6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19/07</w:t>
            </w:r>
            <w:r w:rsidR="00F8024A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269D6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468D6">
              <w:rPr>
                <w:rFonts w:ascii="Arial" w:hAnsi="Arial" w:cs="Arial"/>
                <w:sz w:val="20"/>
                <w:szCs w:val="20"/>
              </w:rPr>
              <w:t>9</w:t>
            </w:r>
            <w:r w:rsidR="00980EA5">
              <w:rPr>
                <w:rFonts w:ascii="Arial" w:hAnsi="Arial" w:cs="Arial"/>
                <w:sz w:val="20"/>
                <w:szCs w:val="20"/>
              </w:rPr>
              <w:t>/</w:t>
            </w:r>
            <w:r w:rsidR="00C468D6">
              <w:rPr>
                <w:rFonts w:ascii="Arial" w:hAnsi="Arial" w:cs="Arial"/>
                <w:sz w:val="20"/>
                <w:szCs w:val="20"/>
              </w:rPr>
              <w:t>08</w:t>
            </w:r>
            <w:r w:rsidR="00F8024A">
              <w:rPr>
                <w:rFonts w:ascii="Arial" w:hAnsi="Arial" w:cs="Arial"/>
                <w:sz w:val="20"/>
                <w:szCs w:val="20"/>
              </w:rPr>
              <w:t>/201</w:t>
            </w:r>
            <w:r w:rsidR="00C468D6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748E4" w:rsidRPr="00A748E4" w:rsidTr="00717131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71713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748E4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E4" w:rsidRPr="00A748E4" w:rsidRDefault="00A748E4" w:rsidP="00F8024A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A74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847D8E" w:rsidRPr="00847D8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Robert Njoroge </w:t>
            </w:r>
            <w:r w:rsidR="00F8024A" w:rsidRPr="00FD5181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njoroger@kebs.org</w:t>
            </w:r>
          </w:p>
        </w:tc>
      </w:tr>
    </w:tbl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confirm the Kenya Standards as detailed in the attached list of Kenya Standards for Systematic Review.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Standards are available at the Kenya Bureau of Standards Information Resource Centre.  Please </w:t>
      </w:r>
      <w:proofErr w:type="gramStart"/>
      <w:r>
        <w:rPr>
          <w:rFonts w:ascii="Arial" w:hAnsi="Arial" w:cs="Arial"/>
          <w:sz w:val="20"/>
          <w:szCs w:val="20"/>
        </w:rPr>
        <w:t>tick</w:t>
      </w:r>
      <w:proofErr w:type="gramEnd"/>
      <w:r>
        <w:rPr>
          <w:rFonts w:ascii="Arial" w:hAnsi="Arial" w:cs="Arial"/>
          <w:sz w:val="20"/>
          <w:szCs w:val="20"/>
        </w:rPr>
        <w:t xml:space="preserve"> (mark) and fill your preference of the listed option.  (If the spaces provided are not enough, please attach a separate sheet of paper).</w:t>
      </w:r>
    </w:p>
    <w:p w:rsidR="00144105" w:rsidRDefault="00144105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BC448F" w:rsidRDefault="00BC448F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F8024A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KS Number(s) of Standard(s) 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Fill</w:t>
      </w:r>
      <w:proofErr w:type="gramEnd"/>
      <w:r>
        <w:rPr>
          <w:rFonts w:ascii="Arial" w:hAnsi="Arial" w:cs="Arial"/>
          <w:sz w:val="20"/>
          <w:szCs w:val="20"/>
        </w:rPr>
        <w:t xml:space="preserve"> in for each standard separately in case you have objections, otherwise use the same form)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accept the proposal to confirm the Kenya Standard(s) as current       </w:t>
      </w: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object to the proposal to confirm the Kenya Standard as current        </w:t>
      </w: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A748E4" w:rsidRDefault="00A748E4" w:rsidP="0032084E">
      <w:pPr>
        <w:ind w:left="0"/>
        <w:rPr>
          <w:rFonts w:ascii="Arial" w:hAnsi="Arial" w:cs="Arial"/>
          <w:color w:val="000000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proposed action</w:t>
      </w:r>
      <w:r w:rsidRPr="006524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 w:rsidRPr="006524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REVISION     </w:t>
      </w: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AMMENDMENT  </w:t>
      </w: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WITHDRAWAL    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Our justification for the objection of the proposed confirmation is as follows (cite specific clauses and wording preferred):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16"/>
          <w:szCs w:val="16"/>
        </w:rPr>
      </w:pPr>
    </w:p>
    <w:p w:rsidR="00A748E4" w:rsidRPr="00596B33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16"/>
          <w:szCs w:val="16"/>
        </w:rPr>
      </w:pPr>
      <w:r w:rsidRPr="00596B33">
        <w:rPr>
          <w:rFonts w:ascii="Arial" w:hAnsi="Arial" w:cs="Arial"/>
          <w:color w:val="000000"/>
          <w:sz w:val="16"/>
          <w:szCs w:val="16"/>
        </w:rPr>
        <w:t xml:space="preserve">Note: Absence of </w:t>
      </w:r>
      <w:r w:rsidRPr="00596B33">
        <w:rPr>
          <w:rFonts w:ascii="Arial" w:hAnsi="Arial" w:cs="Arial"/>
          <w:bCs/>
          <w:sz w:val="16"/>
          <w:szCs w:val="16"/>
        </w:rPr>
        <w:t>sustainable technical justifications in support of the objection shall render the objection unviable.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 w:rsidRPr="00652429">
        <w:rPr>
          <w:rFonts w:ascii="Arial" w:hAnsi="Arial" w:cs="Arial"/>
          <w:sz w:val="20"/>
          <w:szCs w:val="20"/>
        </w:rPr>
        <w:t>Name and (of respondent)</w:t>
      </w:r>
      <w:r w:rsidR="0032084E">
        <w:rPr>
          <w:rFonts w:ascii="Arial" w:hAnsi="Arial" w:cs="Arial"/>
          <w:sz w:val="20"/>
          <w:szCs w:val="20"/>
        </w:rPr>
        <w:t xml:space="preserve">………………………………………… </w:t>
      </w:r>
      <w:r>
        <w:rPr>
          <w:rFonts w:ascii="Arial" w:hAnsi="Arial" w:cs="Arial"/>
          <w:sz w:val="20"/>
          <w:szCs w:val="20"/>
        </w:rPr>
        <w:t xml:space="preserve">        </w:t>
      </w:r>
      <w:r w:rsidRPr="00652429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>…………………</w:t>
      </w: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 w:rsidRPr="00652429">
        <w:rPr>
          <w:rFonts w:ascii="Arial" w:hAnsi="Arial" w:cs="Arial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>: …………………………………………………….</w:t>
      </w:r>
    </w:p>
    <w:p w:rsidR="00A748E4" w:rsidRDefault="00A748E4" w:rsidP="0032084E">
      <w:pPr>
        <w:tabs>
          <w:tab w:val="right" w:leader="dot" w:pos="9000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tabs>
          <w:tab w:val="right" w:leader="dot" w:pos="9000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  <w:t>(Name of organization)</w:t>
      </w:r>
    </w:p>
    <w:p w:rsidR="00A748E4" w:rsidRDefault="00A748E4" w:rsidP="0032084E">
      <w:pPr>
        <w:tabs>
          <w:tab w:val="right" w:leader="dot" w:pos="9000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A748E4" w:rsidRDefault="00A748E4" w:rsidP="0032084E">
      <w:pPr>
        <w:tabs>
          <w:tab w:val="right" w:leader="dot" w:pos="9000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</w:p>
    <w:p w:rsidR="00A748E4" w:rsidRDefault="00A748E4" w:rsidP="0032084E">
      <w:pPr>
        <w:tabs>
          <w:tab w:val="right" w:leader="dot" w:pos="3600"/>
        </w:tabs>
        <w:autoSpaceDE w:val="0"/>
        <w:autoSpaceDN w:val="0"/>
        <w:adjustRightInd w:val="0"/>
        <w:ind w:left="0"/>
        <w:rPr>
          <w:rFonts w:ascii="Arial" w:hAnsi="Arial" w:cs="Arial"/>
          <w:b/>
          <w:bCs/>
          <w:sz w:val="20"/>
          <w:szCs w:val="20"/>
        </w:rPr>
      </w:pPr>
    </w:p>
    <w:p w:rsidR="00847D8E" w:rsidRDefault="00A748E4" w:rsidP="00847D8E">
      <w:pPr>
        <w:tabs>
          <w:tab w:val="right" w:leader="dot" w:pos="3600"/>
        </w:tabs>
        <w:autoSpaceDE w:val="0"/>
        <w:autoSpaceDN w:val="0"/>
        <w:adjustRightInd w:val="0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</w:t>
      </w:r>
      <w:r>
        <w:rPr>
          <w:rFonts w:ascii="Arial" w:hAnsi="Arial" w:cs="Arial"/>
          <w:bCs/>
          <w:sz w:val="20"/>
          <w:szCs w:val="20"/>
        </w:rPr>
        <w:t xml:space="preserve">confirmation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847D8E" w:rsidRDefault="00847D8E" w:rsidP="00847D8E">
      <w:pPr>
        <w:tabs>
          <w:tab w:val="right" w:leader="dot" w:pos="3600"/>
        </w:tabs>
        <w:autoSpaceDE w:val="0"/>
        <w:autoSpaceDN w:val="0"/>
        <w:adjustRightInd w:val="0"/>
        <w:ind w:left="0"/>
        <w:rPr>
          <w:rFonts w:ascii="Arial" w:hAnsi="Arial" w:cs="Arial"/>
          <w:bCs/>
          <w:sz w:val="20"/>
          <w:szCs w:val="20"/>
        </w:rPr>
      </w:pPr>
    </w:p>
    <w:p w:rsidR="00847D8E" w:rsidRPr="00F33FFB" w:rsidRDefault="00847D8E" w:rsidP="00847D8E">
      <w:pPr>
        <w:tabs>
          <w:tab w:val="right" w:leader="dot" w:pos="3600"/>
        </w:tabs>
        <w:autoSpaceDE w:val="0"/>
        <w:autoSpaceDN w:val="0"/>
        <w:adjustRightInd w:val="0"/>
        <w:ind w:left="0"/>
        <w:rPr>
          <w:rFonts w:ascii="Arial" w:hAnsi="Arial" w:cs="Arial"/>
          <w:b/>
          <w:bCs/>
          <w:u w:val="single"/>
        </w:rPr>
      </w:pPr>
      <w:r w:rsidRPr="00DD27E6">
        <w:rPr>
          <w:rFonts w:ascii="Arial" w:hAnsi="Arial" w:cs="Arial"/>
          <w:b/>
          <w:u w:val="single"/>
        </w:rPr>
        <w:t>List of Kenya Standards for Systematic Review (</w:t>
      </w:r>
      <w:r w:rsidR="00306B86">
        <w:rPr>
          <w:rFonts w:ascii="Arial" w:hAnsi="Arial" w:cs="Arial"/>
          <w:b/>
          <w:bCs/>
          <w:u w:val="single"/>
        </w:rPr>
        <w:t>KEBS TC 91</w:t>
      </w:r>
      <w:r>
        <w:rPr>
          <w:rFonts w:ascii="Arial" w:hAnsi="Arial" w:cs="Arial"/>
          <w:b/>
          <w:bCs/>
          <w:u w:val="single"/>
        </w:rPr>
        <w:t xml:space="preserve">: </w:t>
      </w:r>
      <w:r w:rsidR="00306B86">
        <w:rPr>
          <w:rFonts w:ascii="Arial" w:hAnsi="Arial" w:cs="Arial"/>
          <w:b/>
          <w:bCs/>
          <w:u w:val="single"/>
        </w:rPr>
        <w:t>Electrical Installations and Distribution Systems</w:t>
      </w:r>
      <w:r>
        <w:rPr>
          <w:rFonts w:ascii="Arial" w:hAnsi="Arial" w:cs="Arial"/>
          <w:b/>
          <w:bCs/>
          <w:u w:val="single"/>
        </w:rPr>
        <w:t>)</w:t>
      </w:r>
    </w:p>
    <w:p w:rsidR="00847D8E" w:rsidRDefault="00847D8E" w:rsidP="0032084E">
      <w:pPr>
        <w:tabs>
          <w:tab w:val="right" w:leader="dot" w:pos="3600"/>
        </w:tabs>
        <w:autoSpaceDE w:val="0"/>
        <w:autoSpaceDN w:val="0"/>
        <w:adjustRightInd w:val="0"/>
        <w:ind w:left="0"/>
        <w:rPr>
          <w:rFonts w:ascii="Arial" w:hAnsi="Arial" w:cs="Arial"/>
          <w:bCs/>
          <w:sz w:val="20"/>
          <w:szCs w:val="20"/>
        </w:rPr>
      </w:pPr>
    </w:p>
    <w:tbl>
      <w:tblPr>
        <w:tblW w:w="15318" w:type="dxa"/>
        <w:tblLook w:val="04A0" w:firstRow="1" w:lastRow="0" w:firstColumn="1" w:lastColumn="0" w:noHBand="0" w:noVBand="1"/>
      </w:tblPr>
      <w:tblGrid>
        <w:gridCol w:w="558"/>
        <w:gridCol w:w="2340"/>
        <w:gridCol w:w="6210"/>
        <w:gridCol w:w="6210"/>
      </w:tblGrid>
      <w:tr w:rsidR="008E72C5" w:rsidRPr="00D72F92" w:rsidTr="00C468D6">
        <w:trPr>
          <w:gridAfter w:val="1"/>
          <w:wAfter w:w="6210" w:type="dxa"/>
          <w:trHeight w:val="30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2C5" w:rsidRPr="008E72C5" w:rsidRDefault="008E72C5" w:rsidP="008E72C5">
            <w:pPr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04-1023:1989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aluminium drawing stock for electrical purposes</w:t>
            </w:r>
          </w:p>
        </w:tc>
      </w:tr>
      <w:tr w:rsidR="008E72C5" w:rsidRPr="00D72F92" w:rsidTr="00C468D6">
        <w:trPr>
          <w:gridAfter w:val="1"/>
          <w:wAfter w:w="6210" w:type="dxa"/>
          <w:trHeight w:val="9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2C5" w:rsidRPr="008E72C5" w:rsidRDefault="008E72C5" w:rsidP="008E72C5">
            <w:pPr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04-1109:1991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earthing clamps</w:t>
            </w:r>
          </w:p>
        </w:tc>
      </w:tr>
      <w:tr w:rsidR="008E72C5" w:rsidRPr="00D72F92" w:rsidTr="00C468D6">
        <w:trPr>
          <w:gridAfter w:val="1"/>
          <w:wAfter w:w="6210" w:type="dxa"/>
          <w:trHeight w:val="9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2C5" w:rsidRPr="008E72C5" w:rsidRDefault="008E72C5" w:rsidP="008E72C5">
            <w:pPr>
              <w:ind w:left="0"/>
              <w:jc w:val="left"/>
              <w:rPr>
                <w:color w:val="000000"/>
              </w:rPr>
            </w:pPr>
            <w:r w:rsidRPr="008E72C5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04-1110:1991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72C5" w:rsidRPr="00D72F92" w:rsidRDefault="00C468D6" w:rsidP="008E72C5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Standard for classification of electrical and electronic equipment with regard to protection against electric shock</w:t>
            </w:r>
          </w:p>
        </w:tc>
      </w:tr>
      <w:tr w:rsidR="00C468D6" w:rsidRPr="00D72F92" w:rsidTr="00C468D6">
        <w:trPr>
          <w:gridAfter w:val="1"/>
          <w:wAfter w:w="6210" w:type="dxa"/>
          <w:trHeight w:val="9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 w:rsidRPr="008E72C5">
              <w:rPr>
                <w:color w:val="000000"/>
              </w:rPr>
              <w:t>4</w:t>
            </w:r>
            <w:r>
              <w:rPr>
                <w:color w:val="000000"/>
              </w:rPr>
              <w:t>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04-196:1979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Preferred values for resistors and capacitors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 w:rsidRPr="008E72C5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04-197:1979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Marking codes for resistors and capacitors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04-236:1982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refrigerators and freezers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04-237:1982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household electric ranges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04-239:1996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domestic and similar electrical appliances (Second Edition)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04-464:1998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tubular fluorescent lamps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04-465:1982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electric soldering irons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11.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04-466:1982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electric food preparation machines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12.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04-1111-10:1993 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household and similar electrical appliances - Part 10: Particular requirements for appliances for skin and hair care</w:t>
            </w:r>
          </w:p>
        </w:tc>
      </w:tr>
      <w:tr w:rsidR="00C468D6" w:rsidRPr="00D72F92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13.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04-1111-11:1995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 Specification for household and similar electrical appliances - Part 11 Particular requirements for electrical clocks</w:t>
            </w:r>
          </w:p>
        </w:tc>
      </w:tr>
      <w:tr w:rsidR="00C468D6" w:rsidRPr="00D72F92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14.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04-1111-12:1993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 Specification for household and similar electrical appliances - Part 12: Particular requirements for sewing machines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D72F92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8E72C5" w:rsidRDefault="00C468D6" w:rsidP="008E72C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15.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04-1111-13:1993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13: Particular requirements for room heaters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04-1111-14:1993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 Specification for household and similar electrical appliances - Part 2: Particular requirements for coffee mills and coffee grinders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04-1111-15:1993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15: Particular requirements for commercial electric ranges, ovens and hob elements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04-1111-16:1989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16: Particular requirements for commercial electric deep fryers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04-1111-17:1998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17 Particular requirements for commercial electric griddles and griddle grills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04-1111-18:1991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18: Particular requirements for commercial electric multi-purpose cooking pans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21.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04-1111-19:1998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household and similar electrical appliances - Part 19: Particular Requirements for commercial electric forced convection ovens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22.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04-1111-2:1993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and similar electrical appliances - Part 2: Particular requirements for vacuum cleaners and water suction cleaning appliances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04-1111-20:1997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household electrical appliances - Part 20: Particular Requirements for electric kitchen machines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24.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04-1111-22:1997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household electrical appliances - Part 22: Particular Requirements for electric fans and regulators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04-1111-3:1994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household electrical appliances - Part 3: Particular requirements for dishwashers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26.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04-1111-4:1993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household electrical appliances - Part 4: Particular requirements for washing machines</w:t>
            </w:r>
          </w:p>
        </w:tc>
        <w:tc>
          <w:tcPr>
            <w:tcW w:w="6210" w:type="dxa"/>
          </w:tcPr>
          <w:p w:rsidR="00C468D6" w:rsidRPr="00D72F92" w:rsidRDefault="00C468D6" w:rsidP="00E670CF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</w:p>
        </w:tc>
      </w:tr>
      <w:tr w:rsidR="00C468D6" w:rsidRPr="00C468D6" w:rsidTr="00C468D6">
        <w:trPr>
          <w:gridAfter w:val="1"/>
          <w:wAfter w:w="6210" w:type="dxa"/>
          <w:trHeight w:val="45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27.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04-1111-5:1991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household electrical appliances - Part 5: Particular requirements for battery powered shavers, hair clippers and similar appliances and their charging and battery assemblies</w:t>
            </w:r>
          </w:p>
        </w:tc>
      </w:tr>
      <w:tr w:rsidR="00C468D6" w:rsidRPr="00C468D6" w:rsidTr="00C468D6">
        <w:trPr>
          <w:gridAfter w:val="1"/>
          <w:wAfter w:w="6210" w:type="dxa"/>
          <w:trHeight w:val="3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KS 04-1111-7:1997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 Specification for safety requirements for domestic and similar electrical appliances - Part 7: Particular requirements for tumbler dryers</w:t>
            </w:r>
          </w:p>
        </w:tc>
      </w:tr>
      <w:tr w:rsidR="00C468D6" w:rsidRPr="00C468D6" w:rsidTr="00C468D6">
        <w:trPr>
          <w:gridAfter w:val="1"/>
          <w:wAfter w:w="6210" w:type="dxa"/>
          <w:trHeight w:val="3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29.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04-1111-8:1993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household and similar electrical appliances - Part 8: Particular requirements for frying pans, deep fat fryers and similar appliances</w:t>
            </w:r>
          </w:p>
        </w:tc>
      </w:tr>
      <w:tr w:rsidR="00C468D6" w:rsidRPr="00C468D6" w:rsidTr="00C468D6">
        <w:trPr>
          <w:gridAfter w:val="1"/>
          <w:wAfter w:w="6210" w:type="dxa"/>
          <w:trHeight w:val="30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 xml:space="preserve">KS 04-1111-9:1993 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8D6" w:rsidRPr="00C468D6" w:rsidRDefault="00C468D6" w:rsidP="00C468D6">
            <w:pPr>
              <w:spacing w:after="0"/>
              <w:ind w:left="0"/>
              <w:jc w:val="left"/>
              <w:rPr>
                <w:rFonts w:eastAsia="Times New Roman"/>
                <w:color w:val="000000"/>
              </w:rPr>
            </w:pPr>
            <w:r w:rsidRPr="00C468D6">
              <w:rPr>
                <w:rFonts w:eastAsia="Times New Roman"/>
                <w:color w:val="000000"/>
              </w:rPr>
              <w:t>Specification for safety requirements for household electrical appliances - Part 9: Requirements for a.c. electric shavers, hair clippers and similar appliances</w:t>
            </w:r>
          </w:p>
        </w:tc>
      </w:tr>
    </w:tbl>
    <w:p w:rsidR="00E44C14" w:rsidRPr="00C468D6" w:rsidRDefault="00E44C14" w:rsidP="00C468D6">
      <w:pPr>
        <w:spacing w:after="0"/>
        <w:ind w:left="0"/>
        <w:jc w:val="left"/>
        <w:rPr>
          <w:rFonts w:eastAsia="Times New Roman"/>
          <w:color w:val="000000"/>
        </w:rPr>
      </w:pPr>
      <w:bookmarkStart w:id="0" w:name="_GoBack"/>
      <w:bookmarkEnd w:id="0"/>
    </w:p>
    <w:sectPr w:rsidR="00E44C14" w:rsidRPr="00C468D6" w:rsidSect="0032084E">
      <w:headerReference w:type="even" r:id="rId8"/>
      <w:headerReference w:type="default" r:id="rId9"/>
      <w:headerReference w:type="first" r:id="rId10"/>
      <w:footerReference w:type="first" r:id="rId11"/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89" w:rsidRDefault="00634489" w:rsidP="00970449">
      <w:pPr>
        <w:spacing w:after="0"/>
      </w:pPr>
      <w:r>
        <w:separator/>
      </w:r>
    </w:p>
  </w:endnote>
  <w:endnote w:type="continuationSeparator" w:id="0">
    <w:p w:rsidR="00634489" w:rsidRDefault="00634489" w:rsidP="009704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717131" w:rsidRPr="00A748E4">
      <w:trPr>
        <w:cantSplit/>
      </w:trPr>
      <w:tc>
        <w:tcPr>
          <w:tcW w:w="2028" w:type="dxa"/>
        </w:tcPr>
        <w:p w:rsidR="00717131" w:rsidRDefault="00717131" w:rsidP="00717131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717131" w:rsidRDefault="00717131" w:rsidP="00717131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1</w:t>
          </w:r>
        </w:p>
      </w:tc>
      <w:tc>
        <w:tcPr>
          <w:tcW w:w="4145" w:type="dxa"/>
        </w:tcPr>
        <w:p w:rsidR="00717131" w:rsidRDefault="00717131" w:rsidP="00717131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717131" w:rsidRDefault="00717131" w:rsidP="00717131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2012-03-08</w:t>
          </w:r>
        </w:p>
      </w:tc>
    </w:tr>
  </w:tbl>
  <w:p w:rsidR="00717131" w:rsidRDefault="00717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89" w:rsidRDefault="00634489" w:rsidP="00970449">
      <w:pPr>
        <w:spacing w:after="0"/>
      </w:pPr>
      <w:r>
        <w:separator/>
      </w:r>
    </w:p>
  </w:footnote>
  <w:footnote w:type="continuationSeparator" w:id="0">
    <w:p w:rsidR="00634489" w:rsidRDefault="00634489" w:rsidP="009704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31" w:rsidRDefault="00634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7125" o:spid="_x0000_s2049" type="#_x0000_t136" style="position:absolute;margin-left:0;margin-top:0;width:591pt;height:45.45pt;rotation:315;z-index:-251658752;mso-position-horizontal:center;mso-position-horizontal-relative:margin;mso-position-vertical:center;mso-position-vertical-relative:margin" o:allowincell="f" fillcolor="#7030a0" stroked="f">
          <v:fill opacity=".5"/>
          <v:textpath style="font-family:&quot;Times New Roman&quot;;font-size:1pt" string="PROPOSED DRAFT AUGUST 20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4E" w:rsidRPr="0032084E" w:rsidRDefault="0032084E" w:rsidP="0032084E">
    <w:pPr>
      <w:pStyle w:val="Header"/>
      <w:jc w:val="right"/>
      <w:rPr>
        <w:rFonts w:ascii="Arial" w:hAnsi="Arial" w:cs="Arial"/>
        <w:b/>
        <w:sz w:val="20"/>
        <w:szCs w:val="20"/>
      </w:rPr>
    </w:pPr>
    <w:r w:rsidRPr="0032084E">
      <w:rPr>
        <w:rFonts w:ascii="Arial" w:hAnsi="Arial" w:cs="Arial"/>
        <w:b/>
        <w:sz w:val="20"/>
        <w:szCs w:val="20"/>
      </w:rPr>
      <w:t>STA/SD/OP/05/F1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4"/>
      <w:gridCol w:w="3081"/>
    </w:tblGrid>
    <w:tr w:rsidR="00717131" w:rsidRPr="00A748E4">
      <w:tc>
        <w:tcPr>
          <w:tcW w:w="1458" w:type="dxa"/>
        </w:tcPr>
        <w:p w:rsidR="00717131" w:rsidRDefault="00E424EB" w:rsidP="00717131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39A932C8" wp14:editId="2B0DFA66">
                <wp:extent cx="685800" cy="400050"/>
                <wp:effectExtent l="19050" t="0" r="0" b="0"/>
                <wp:docPr id="1" name="Picture 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717131" w:rsidRDefault="00717131" w:rsidP="00717131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717131" w:rsidRDefault="00717131" w:rsidP="00717131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717131" w:rsidRDefault="00717131" w:rsidP="0071713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STA/SDV/OP/05</w:t>
          </w:r>
        </w:p>
      </w:tc>
    </w:tr>
    <w:tr w:rsidR="00717131" w:rsidRPr="00A748E4">
      <w:tc>
        <w:tcPr>
          <w:tcW w:w="1458" w:type="dxa"/>
        </w:tcPr>
        <w:p w:rsidR="00717131" w:rsidRDefault="00717131" w:rsidP="0071713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717131" w:rsidRDefault="00717131" w:rsidP="0071713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 xml:space="preserve"> Review of Kenya Standards </w:t>
          </w:r>
        </w:p>
      </w:tc>
      <w:tc>
        <w:tcPr>
          <w:tcW w:w="3082" w:type="dxa"/>
        </w:tcPr>
        <w:p w:rsidR="00717131" w:rsidRPr="00FF25C7" w:rsidRDefault="00717131" w:rsidP="00717131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Pr="00A729B6">
            <w:rPr>
              <w:rStyle w:val="PageNumber"/>
            </w:rPr>
            <w:fldChar w:fldCharType="begin"/>
          </w:r>
          <w:r w:rsidRPr="00A729B6">
            <w:rPr>
              <w:rStyle w:val="PageNumber"/>
            </w:rPr>
            <w:instrText xml:space="preserve"> PAGE </w:instrText>
          </w:r>
          <w:r w:rsidRPr="00A729B6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 w:rsidRPr="00A729B6">
            <w:rPr>
              <w:rStyle w:val="PageNumber"/>
            </w:rPr>
            <w:fldChar w:fldCharType="end"/>
          </w:r>
          <w:r w:rsidRPr="00FF25C7">
            <w:rPr>
              <w:rStyle w:val="PageNumber"/>
            </w:rPr>
            <w:t xml:space="preserve"> of </w:t>
          </w:r>
          <w:fldSimple w:instr=" NUMPAGES   \* MERGEFORMAT ">
            <w:r>
              <w:rPr>
                <w:rStyle w:val="PageNumber"/>
                <w:noProof/>
              </w:rPr>
              <w:t>15</w:t>
            </w:r>
          </w:fldSimple>
        </w:p>
      </w:tc>
    </w:tr>
  </w:tbl>
  <w:p w:rsidR="00717131" w:rsidRDefault="007171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76A"/>
    <w:multiLevelType w:val="multilevel"/>
    <w:tmpl w:val="EDA0C0D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9815966"/>
    <w:multiLevelType w:val="multilevel"/>
    <w:tmpl w:val="87007FF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E734BF"/>
    <w:multiLevelType w:val="hybridMultilevel"/>
    <w:tmpl w:val="9140F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C21216"/>
    <w:multiLevelType w:val="hybridMultilevel"/>
    <w:tmpl w:val="CC1006B0"/>
    <w:lvl w:ilvl="0" w:tplc="231EBC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D7EBA"/>
    <w:multiLevelType w:val="hybridMultilevel"/>
    <w:tmpl w:val="DFB266EE"/>
    <w:lvl w:ilvl="0" w:tplc="AB74064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CDF06BC"/>
    <w:multiLevelType w:val="hybridMultilevel"/>
    <w:tmpl w:val="F746D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C71B6F"/>
    <w:multiLevelType w:val="hybridMultilevel"/>
    <w:tmpl w:val="14A45408"/>
    <w:lvl w:ilvl="0" w:tplc="A4FA8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903CF3"/>
    <w:multiLevelType w:val="hybridMultilevel"/>
    <w:tmpl w:val="A8903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47E95"/>
    <w:multiLevelType w:val="hybridMultilevel"/>
    <w:tmpl w:val="DD3E3E9E"/>
    <w:lvl w:ilvl="0" w:tplc="DEECC7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87183"/>
    <w:multiLevelType w:val="hybridMultilevel"/>
    <w:tmpl w:val="EC24D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11"/>
    <w:lvlOverride w:ilvl="0">
      <w:startOverride w:val="6"/>
    </w:lvlOverride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E4"/>
    <w:rsid w:val="00055BE5"/>
    <w:rsid w:val="000B457D"/>
    <w:rsid w:val="00121A55"/>
    <w:rsid w:val="00144105"/>
    <w:rsid w:val="001B196F"/>
    <w:rsid w:val="001F1243"/>
    <w:rsid w:val="0027250A"/>
    <w:rsid w:val="002D5E00"/>
    <w:rsid w:val="00306B86"/>
    <w:rsid w:val="0032084E"/>
    <w:rsid w:val="003818C7"/>
    <w:rsid w:val="0041472A"/>
    <w:rsid w:val="00472B3B"/>
    <w:rsid w:val="004E6763"/>
    <w:rsid w:val="00557206"/>
    <w:rsid w:val="005A201E"/>
    <w:rsid w:val="005F4D0F"/>
    <w:rsid w:val="0061313A"/>
    <w:rsid w:val="00634489"/>
    <w:rsid w:val="0065367A"/>
    <w:rsid w:val="006871C1"/>
    <w:rsid w:val="006D1B6A"/>
    <w:rsid w:val="00715F3B"/>
    <w:rsid w:val="00717131"/>
    <w:rsid w:val="00763AE4"/>
    <w:rsid w:val="00772318"/>
    <w:rsid w:val="007913DD"/>
    <w:rsid w:val="00841598"/>
    <w:rsid w:val="00847D8E"/>
    <w:rsid w:val="00882DDE"/>
    <w:rsid w:val="008E72C5"/>
    <w:rsid w:val="00907C89"/>
    <w:rsid w:val="00970449"/>
    <w:rsid w:val="00980EA5"/>
    <w:rsid w:val="009C370F"/>
    <w:rsid w:val="009C7CE4"/>
    <w:rsid w:val="00A269D6"/>
    <w:rsid w:val="00A748E4"/>
    <w:rsid w:val="00A77213"/>
    <w:rsid w:val="00A82B43"/>
    <w:rsid w:val="00AA3CBC"/>
    <w:rsid w:val="00BA6F2A"/>
    <w:rsid w:val="00BC2555"/>
    <w:rsid w:val="00BC39EE"/>
    <w:rsid w:val="00BC448F"/>
    <w:rsid w:val="00C42954"/>
    <w:rsid w:val="00C461D2"/>
    <w:rsid w:val="00C468D6"/>
    <w:rsid w:val="00C70FF6"/>
    <w:rsid w:val="00C8121C"/>
    <w:rsid w:val="00CB3DC5"/>
    <w:rsid w:val="00CB77A0"/>
    <w:rsid w:val="00DC3C38"/>
    <w:rsid w:val="00E06EAF"/>
    <w:rsid w:val="00E424EB"/>
    <w:rsid w:val="00E44C14"/>
    <w:rsid w:val="00EB62D8"/>
    <w:rsid w:val="00EF337C"/>
    <w:rsid w:val="00F4710C"/>
    <w:rsid w:val="00F51F97"/>
    <w:rsid w:val="00F8024A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EE"/>
    <w:pPr>
      <w:spacing w:after="60"/>
      <w:ind w:left="72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748E4"/>
    <w:pPr>
      <w:keepNext/>
      <w:autoSpaceDE w:val="0"/>
      <w:autoSpaceDN w:val="0"/>
      <w:adjustRightInd w:val="0"/>
      <w:spacing w:after="0"/>
      <w:ind w:left="0"/>
      <w:jc w:val="left"/>
      <w:outlineLvl w:val="0"/>
    </w:pPr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A748E4"/>
    <w:pPr>
      <w:keepNext/>
      <w:spacing w:after="0"/>
      <w:ind w:left="0"/>
      <w:jc w:val="center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48E4"/>
    <w:pPr>
      <w:keepNext/>
      <w:spacing w:after="0"/>
      <w:ind w:left="0"/>
      <w:jc w:val="left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748E4"/>
    <w:pPr>
      <w:keepNext/>
      <w:spacing w:after="0" w:line="480" w:lineRule="auto"/>
      <w:ind w:left="0"/>
      <w:jc w:val="left"/>
      <w:outlineLvl w:val="3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A748E4"/>
    <w:pPr>
      <w:keepNext/>
      <w:spacing w:after="100" w:afterAutospacing="1" w:line="360" w:lineRule="auto"/>
      <w:ind w:left="0"/>
      <w:jc w:val="left"/>
      <w:outlineLvl w:val="4"/>
    </w:pPr>
    <w:rPr>
      <w:rFonts w:ascii="Arial" w:eastAsia="Times New Roman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748E4"/>
    <w:pPr>
      <w:keepNext/>
      <w:spacing w:after="0" w:line="360" w:lineRule="auto"/>
      <w:ind w:left="374"/>
      <w:jc w:val="left"/>
      <w:outlineLvl w:val="5"/>
    </w:pPr>
    <w:rPr>
      <w:rFonts w:ascii="Arial" w:eastAsia="Times New Roman" w:hAnsi="Arial" w:cs="Arial"/>
      <w:b/>
      <w:color w:val="000000"/>
      <w:sz w:val="20"/>
      <w:szCs w:val="24"/>
    </w:rPr>
  </w:style>
  <w:style w:type="paragraph" w:styleId="Heading7">
    <w:name w:val="heading 7"/>
    <w:basedOn w:val="Normal"/>
    <w:next w:val="Normal"/>
    <w:link w:val="Heading7Char"/>
    <w:qFormat/>
    <w:rsid w:val="00A748E4"/>
    <w:pPr>
      <w:keepNext/>
      <w:autoSpaceDE w:val="0"/>
      <w:autoSpaceDN w:val="0"/>
      <w:adjustRightInd w:val="0"/>
      <w:spacing w:after="0"/>
      <w:ind w:left="0"/>
      <w:jc w:val="left"/>
      <w:outlineLvl w:val="6"/>
    </w:pPr>
    <w:rPr>
      <w:rFonts w:ascii="Arial" w:eastAsia="Times New Roman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link w:val="Heading8Char"/>
    <w:qFormat/>
    <w:rsid w:val="00A748E4"/>
    <w:pPr>
      <w:keepNext/>
      <w:autoSpaceDE w:val="0"/>
      <w:autoSpaceDN w:val="0"/>
      <w:adjustRightInd w:val="0"/>
      <w:spacing w:after="0"/>
      <w:ind w:left="2160" w:firstLine="720"/>
      <w:jc w:val="left"/>
      <w:outlineLvl w:val="7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748E4"/>
    <w:pPr>
      <w:keepNext/>
      <w:tabs>
        <w:tab w:val="left" w:pos="6840"/>
      </w:tabs>
      <w:spacing w:after="0"/>
      <w:ind w:left="1080"/>
      <w:jc w:val="left"/>
      <w:outlineLvl w:val="8"/>
    </w:pPr>
    <w:rPr>
      <w:rFonts w:ascii="Arial" w:eastAsia="Times New Roman" w:hAnsi="Arial" w:cs="Arial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55BE5"/>
    <w:pPr>
      <w:tabs>
        <w:tab w:val="left" w:pos="720"/>
      </w:tabs>
    </w:pPr>
    <w:rPr>
      <w:rFonts w:ascii="Arial" w:eastAsia="Times New Roman" w:hAnsi="Arial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055BE5"/>
    <w:pPr>
      <w:tabs>
        <w:tab w:val="left" w:pos="450"/>
        <w:tab w:val="left" w:pos="1620"/>
        <w:tab w:val="right" w:leader="dot" w:pos="9619"/>
      </w:tabs>
      <w:ind w:left="900"/>
    </w:pPr>
    <w:rPr>
      <w:rFonts w:ascii="Arial" w:eastAsia="Times New Roman" w:hAnsi="Arial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A748E4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A748E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48E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748E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748E4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748E4"/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A748E4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A748E4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48E4"/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Header">
    <w:name w:val="header"/>
    <w:basedOn w:val="Normal"/>
    <w:link w:val="HeaderChar"/>
    <w:rsid w:val="00A748E4"/>
    <w:pPr>
      <w:tabs>
        <w:tab w:val="center" w:pos="4320"/>
        <w:tab w:val="right" w:pos="8640"/>
      </w:tabs>
      <w:spacing w:after="0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748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48E4"/>
    <w:pPr>
      <w:tabs>
        <w:tab w:val="center" w:pos="4320"/>
        <w:tab w:val="right" w:pos="8640"/>
      </w:tabs>
      <w:spacing w:after="0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748E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48E4"/>
  </w:style>
  <w:style w:type="paragraph" w:styleId="BodyTextIndent2">
    <w:name w:val="Body Text Indent 2"/>
    <w:basedOn w:val="Normal"/>
    <w:link w:val="BodyTextIndent2Char"/>
    <w:rsid w:val="00A748E4"/>
    <w:pPr>
      <w:tabs>
        <w:tab w:val="left" w:pos="1080"/>
      </w:tabs>
      <w:autoSpaceDE w:val="0"/>
      <w:autoSpaceDN w:val="0"/>
      <w:adjustRightInd w:val="0"/>
      <w:spacing w:after="0"/>
      <w:ind w:left="1080" w:hanging="1080"/>
      <w:jc w:val="left"/>
    </w:pPr>
    <w:rPr>
      <w:rFonts w:ascii="Arial" w:eastAsia="Times New Roman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A748E4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A748E4"/>
    <w:pPr>
      <w:autoSpaceDE w:val="0"/>
      <w:autoSpaceDN w:val="0"/>
      <w:adjustRightInd w:val="0"/>
      <w:spacing w:after="0"/>
      <w:ind w:left="1080"/>
      <w:jc w:val="left"/>
    </w:pPr>
    <w:rPr>
      <w:rFonts w:ascii="Arial" w:eastAsia="Times New Roman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A748E4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A748E4"/>
    <w:pPr>
      <w:autoSpaceDE w:val="0"/>
      <w:autoSpaceDN w:val="0"/>
      <w:adjustRightInd w:val="0"/>
      <w:spacing w:after="0"/>
      <w:ind w:hanging="720"/>
      <w:jc w:val="left"/>
    </w:pPr>
    <w:rPr>
      <w:rFonts w:ascii="Arial" w:eastAsia="Times New Roman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A748E4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A748E4"/>
    <w:pPr>
      <w:autoSpaceDE w:val="0"/>
      <w:autoSpaceDN w:val="0"/>
      <w:adjustRightInd w:val="0"/>
      <w:spacing w:after="0"/>
      <w:ind w:left="0"/>
      <w:jc w:val="left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A748E4"/>
    <w:rPr>
      <w:rFonts w:ascii="Arial" w:eastAsia="Times New Roman" w:hAnsi="Arial" w:cs="Arial"/>
    </w:rPr>
  </w:style>
  <w:style w:type="paragraph" w:styleId="BlockText">
    <w:name w:val="Block Text"/>
    <w:basedOn w:val="Normal"/>
    <w:rsid w:val="00A748E4"/>
    <w:pPr>
      <w:autoSpaceDE w:val="0"/>
      <w:autoSpaceDN w:val="0"/>
      <w:adjustRightInd w:val="0"/>
      <w:spacing w:after="0"/>
      <w:ind w:left="2160" w:hanging="2160"/>
      <w:jc w:val="left"/>
    </w:pPr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A748E4"/>
    <w:pPr>
      <w:autoSpaceDE w:val="0"/>
      <w:autoSpaceDN w:val="0"/>
      <w:adjustRightInd w:val="0"/>
      <w:spacing w:after="0" w:line="180" w:lineRule="atLeast"/>
      <w:ind w:left="0"/>
      <w:jc w:val="left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48E4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A748E4"/>
    <w:pPr>
      <w:autoSpaceDE w:val="0"/>
      <w:autoSpaceDN w:val="0"/>
      <w:adjustRightInd w:val="0"/>
      <w:spacing w:after="0"/>
      <w:ind w:left="0"/>
      <w:jc w:val="left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A748E4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A748E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A748E4"/>
    <w:pPr>
      <w:spacing w:after="0"/>
      <w:ind w:left="0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748E4"/>
    <w:rPr>
      <w:rFonts w:ascii="Arial" w:eastAsia="Times New Roman" w:hAnsi="Arial" w:cs="Arial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A748E4"/>
    <w:pPr>
      <w:spacing w:after="0"/>
      <w:ind w:left="0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748E4"/>
    <w:rPr>
      <w:rFonts w:ascii="Arial" w:eastAsia="Times New Roman" w:hAnsi="Arial" w:cs="Arial"/>
      <w:b/>
      <w:bCs/>
      <w:sz w:val="24"/>
      <w:szCs w:val="24"/>
    </w:rPr>
  </w:style>
  <w:style w:type="paragraph" w:customStyle="1" w:styleId="QMSHeading2">
    <w:name w:val="QMS Heading 2"/>
    <w:basedOn w:val="Heading2"/>
    <w:next w:val="Normal"/>
    <w:autoRedefine/>
    <w:rsid w:val="00A748E4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A748E4"/>
    <w:rPr>
      <w:b/>
      <w:caps/>
    </w:rPr>
  </w:style>
  <w:style w:type="paragraph" w:customStyle="1" w:styleId="QMSHeading1">
    <w:name w:val="QMS Heading 1"/>
    <w:basedOn w:val="Heading1"/>
    <w:rsid w:val="00A748E4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A748E4"/>
  </w:style>
  <w:style w:type="paragraph" w:customStyle="1" w:styleId="QMSHeading3">
    <w:name w:val="QMS Heading 3"/>
    <w:basedOn w:val="Normal"/>
    <w:next w:val="Normal"/>
    <w:autoRedefine/>
    <w:rsid w:val="00A748E4"/>
    <w:pPr>
      <w:overflowPunct w:val="0"/>
      <w:autoSpaceDE w:val="0"/>
      <w:autoSpaceDN w:val="0"/>
      <w:adjustRightInd w:val="0"/>
      <w:spacing w:after="0"/>
      <w:ind w:left="0"/>
      <w:textAlignment w:val="baseline"/>
    </w:pPr>
    <w:rPr>
      <w:rFonts w:ascii="Arial" w:eastAsia="Times New Roman" w:hAnsi="Arial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A748E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A748E4"/>
    <w:rPr>
      <w:color w:val="0000FF"/>
      <w:u w:val="single"/>
    </w:rPr>
  </w:style>
  <w:style w:type="character" w:styleId="FollowedHyperlink">
    <w:name w:val="FollowedHyperlink"/>
    <w:basedOn w:val="DefaultParagraphFont"/>
    <w:rsid w:val="00A748E4"/>
    <w:rPr>
      <w:color w:val="800080"/>
      <w:u w:val="single"/>
    </w:rPr>
  </w:style>
  <w:style w:type="paragraph" w:customStyle="1" w:styleId="ISOChange">
    <w:name w:val="ISO_Change"/>
    <w:basedOn w:val="Normal"/>
    <w:rsid w:val="00A748E4"/>
    <w:pPr>
      <w:spacing w:before="210" w:after="0" w:line="210" w:lineRule="exact"/>
      <w:ind w:left="0"/>
      <w:jc w:val="left"/>
    </w:pPr>
    <w:rPr>
      <w:rFonts w:ascii="Arial" w:eastAsia="Times New Roman" w:hAnsi="Arial"/>
      <w:sz w:val="18"/>
      <w:szCs w:val="20"/>
      <w:lang w:val="en-GB"/>
    </w:rPr>
  </w:style>
  <w:style w:type="paragraph" w:customStyle="1" w:styleId="Default">
    <w:name w:val="Default"/>
    <w:rsid w:val="00A748E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A748E4"/>
    <w:pPr>
      <w:spacing w:after="0"/>
      <w:ind w:left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748E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A748E4"/>
    <w:pPr>
      <w:spacing w:after="0"/>
      <w:ind w:left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748E4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A748E4"/>
    <w:rPr>
      <w:vertAlign w:val="superscript"/>
    </w:rPr>
  </w:style>
  <w:style w:type="paragraph" w:customStyle="1" w:styleId="Definition">
    <w:name w:val="Definition"/>
    <w:basedOn w:val="Normal"/>
    <w:next w:val="Normal"/>
    <w:rsid w:val="00A748E4"/>
    <w:pPr>
      <w:spacing w:after="240" w:line="230" w:lineRule="atLeast"/>
      <w:ind w:left="0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A748E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Normal"/>
    <w:rsid w:val="00A748E4"/>
    <w:pPr>
      <w:spacing w:after="160" w:line="240" w:lineRule="exact"/>
      <w:ind w:left="0"/>
      <w:jc w:val="left"/>
    </w:pPr>
    <w:rPr>
      <w:rFonts w:ascii="Arial" w:eastAsia="Times New Roman" w:hAnsi="Arial"/>
      <w:szCs w:val="24"/>
      <w:lang w:val="en-ZA"/>
    </w:rPr>
  </w:style>
  <w:style w:type="paragraph" w:styleId="CommentText">
    <w:name w:val="annotation text"/>
    <w:basedOn w:val="Normal"/>
    <w:link w:val="CommentTextChar"/>
    <w:semiHidden/>
    <w:rsid w:val="00A748E4"/>
    <w:pPr>
      <w:spacing w:after="0"/>
      <w:ind w:left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48E4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A748E4"/>
    <w:pPr>
      <w:spacing w:after="0"/>
      <w:ind w:left="0"/>
      <w:jc w:val="lef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aptions">
    <w:name w:val="Captions"/>
    <w:basedOn w:val="Caption"/>
    <w:rsid w:val="00A748E4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8E4"/>
    <w:pPr>
      <w:spacing w:after="0"/>
      <w:ind w:left="708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roc">
    <w:name w:val="Proc"/>
    <w:basedOn w:val="Normal"/>
    <w:link w:val="ProcChar"/>
    <w:qFormat/>
    <w:rsid w:val="00A748E4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0"/>
    </w:pPr>
    <w:rPr>
      <w:rFonts w:ascii="Arial" w:eastAsia="Times New Roman" w:hAnsi="Arial" w:cs="Arial"/>
      <w:b/>
      <w:bCs/>
    </w:rPr>
  </w:style>
  <w:style w:type="paragraph" w:customStyle="1" w:styleId="Proc2">
    <w:name w:val="Proc2"/>
    <w:basedOn w:val="Normal"/>
    <w:link w:val="Proc2Char"/>
    <w:qFormat/>
    <w:rsid w:val="00A748E4"/>
    <w:pPr>
      <w:numPr>
        <w:ilvl w:val="1"/>
        <w:numId w:val="1"/>
      </w:numPr>
      <w:autoSpaceDE w:val="0"/>
      <w:autoSpaceDN w:val="0"/>
      <w:adjustRightInd w:val="0"/>
      <w:spacing w:after="0"/>
    </w:pPr>
    <w:rPr>
      <w:rFonts w:ascii="Arial" w:eastAsia="Times New Roman" w:hAnsi="Arial" w:cs="Arial"/>
      <w:b/>
      <w:bCs/>
    </w:rPr>
  </w:style>
  <w:style w:type="character" w:customStyle="1" w:styleId="ProcChar">
    <w:name w:val="Proc Char"/>
    <w:basedOn w:val="DefaultParagraphFont"/>
    <w:link w:val="Proc"/>
    <w:rsid w:val="00A748E4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A748E4"/>
    <w:pPr>
      <w:spacing w:after="0"/>
      <w:ind w:left="2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Proc2Char">
    <w:name w:val="Proc2 Char"/>
    <w:basedOn w:val="DefaultParagraphFont"/>
    <w:link w:val="Proc2"/>
    <w:rsid w:val="00A748E4"/>
    <w:rPr>
      <w:rFonts w:ascii="Arial" w:eastAsia="Times New Roman" w:hAnsi="Arial" w:cs="Arial"/>
      <w:b/>
      <w:bCs/>
    </w:rPr>
  </w:style>
  <w:style w:type="character" w:styleId="Strong">
    <w:name w:val="Strong"/>
    <w:basedOn w:val="DefaultParagraphFont"/>
    <w:uiPriority w:val="22"/>
    <w:qFormat/>
    <w:rsid w:val="00E44C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EE"/>
    <w:pPr>
      <w:spacing w:after="60"/>
      <w:ind w:left="72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748E4"/>
    <w:pPr>
      <w:keepNext/>
      <w:autoSpaceDE w:val="0"/>
      <w:autoSpaceDN w:val="0"/>
      <w:adjustRightInd w:val="0"/>
      <w:spacing w:after="0"/>
      <w:ind w:left="0"/>
      <w:jc w:val="left"/>
      <w:outlineLvl w:val="0"/>
    </w:pPr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A748E4"/>
    <w:pPr>
      <w:keepNext/>
      <w:spacing w:after="0"/>
      <w:ind w:left="0"/>
      <w:jc w:val="center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48E4"/>
    <w:pPr>
      <w:keepNext/>
      <w:spacing w:after="0"/>
      <w:ind w:left="0"/>
      <w:jc w:val="left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748E4"/>
    <w:pPr>
      <w:keepNext/>
      <w:spacing w:after="0" w:line="480" w:lineRule="auto"/>
      <w:ind w:left="0"/>
      <w:jc w:val="left"/>
      <w:outlineLvl w:val="3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A748E4"/>
    <w:pPr>
      <w:keepNext/>
      <w:spacing w:after="100" w:afterAutospacing="1" w:line="360" w:lineRule="auto"/>
      <w:ind w:left="0"/>
      <w:jc w:val="left"/>
      <w:outlineLvl w:val="4"/>
    </w:pPr>
    <w:rPr>
      <w:rFonts w:ascii="Arial" w:eastAsia="Times New Roman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748E4"/>
    <w:pPr>
      <w:keepNext/>
      <w:spacing w:after="0" w:line="360" w:lineRule="auto"/>
      <w:ind w:left="374"/>
      <w:jc w:val="left"/>
      <w:outlineLvl w:val="5"/>
    </w:pPr>
    <w:rPr>
      <w:rFonts w:ascii="Arial" w:eastAsia="Times New Roman" w:hAnsi="Arial" w:cs="Arial"/>
      <w:b/>
      <w:color w:val="000000"/>
      <w:sz w:val="20"/>
      <w:szCs w:val="24"/>
    </w:rPr>
  </w:style>
  <w:style w:type="paragraph" w:styleId="Heading7">
    <w:name w:val="heading 7"/>
    <w:basedOn w:val="Normal"/>
    <w:next w:val="Normal"/>
    <w:link w:val="Heading7Char"/>
    <w:qFormat/>
    <w:rsid w:val="00A748E4"/>
    <w:pPr>
      <w:keepNext/>
      <w:autoSpaceDE w:val="0"/>
      <w:autoSpaceDN w:val="0"/>
      <w:adjustRightInd w:val="0"/>
      <w:spacing w:after="0"/>
      <w:ind w:left="0"/>
      <w:jc w:val="left"/>
      <w:outlineLvl w:val="6"/>
    </w:pPr>
    <w:rPr>
      <w:rFonts w:ascii="Arial" w:eastAsia="Times New Roman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link w:val="Heading8Char"/>
    <w:qFormat/>
    <w:rsid w:val="00A748E4"/>
    <w:pPr>
      <w:keepNext/>
      <w:autoSpaceDE w:val="0"/>
      <w:autoSpaceDN w:val="0"/>
      <w:adjustRightInd w:val="0"/>
      <w:spacing w:after="0"/>
      <w:ind w:left="2160" w:firstLine="720"/>
      <w:jc w:val="left"/>
      <w:outlineLvl w:val="7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748E4"/>
    <w:pPr>
      <w:keepNext/>
      <w:tabs>
        <w:tab w:val="left" w:pos="6840"/>
      </w:tabs>
      <w:spacing w:after="0"/>
      <w:ind w:left="1080"/>
      <w:jc w:val="left"/>
      <w:outlineLvl w:val="8"/>
    </w:pPr>
    <w:rPr>
      <w:rFonts w:ascii="Arial" w:eastAsia="Times New Roman" w:hAnsi="Arial" w:cs="Arial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55BE5"/>
    <w:pPr>
      <w:tabs>
        <w:tab w:val="left" w:pos="720"/>
      </w:tabs>
    </w:pPr>
    <w:rPr>
      <w:rFonts w:ascii="Arial" w:eastAsia="Times New Roman" w:hAnsi="Arial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055BE5"/>
    <w:pPr>
      <w:tabs>
        <w:tab w:val="left" w:pos="450"/>
        <w:tab w:val="left" w:pos="1620"/>
        <w:tab w:val="right" w:leader="dot" w:pos="9619"/>
      </w:tabs>
      <w:ind w:left="900"/>
    </w:pPr>
    <w:rPr>
      <w:rFonts w:ascii="Arial" w:eastAsia="Times New Roman" w:hAnsi="Arial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A748E4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A748E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48E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748E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748E4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748E4"/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A748E4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A748E4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48E4"/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Header">
    <w:name w:val="header"/>
    <w:basedOn w:val="Normal"/>
    <w:link w:val="HeaderChar"/>
    <w:rsid w:val="00A748E4"/>
    <w:pPr>
      <w:tabs>
        <w:tab w:val="center" w:pos="4320"/>
        <w:tab w:val="right" w:pos="8640"/>
      </w:tabs>
      <w:spacing w:after="0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748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48E4"/>
    <w:pPr>
      <w:tabs>
        <w:tab w:val="center" w:pos="4320"/>
        <w:tab w:val="right" w:pos="8640"/>
      </w:tabs>
      <w:spacing w:after="0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748E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48E4"/>
  </w:style>
  <w:style w:type="paragraph" w:styleId="BodyTextIndent2">
    <w:name w:val="Body Text Indent 2"/>
    <w:basedOn w:val="Normal"/>
    <w:link w:val="BodyTextIndent2Char"/>
    <w:rsid w:val="00A748E4"/>
    <w:pPr>
      <w:tabs>
        <w:tab w:val="left" w:pos="1080"/>
      </w:tabs>
      <w:autoSpaceDE w:val="0"/>
      <w:autoSpaceDN w:val="0"/>
      <w:adjustRightInd w:val="0"/>
      <w:spacing w:after="0"/>
      <w:ind w:left="1080" w:hanging="1080"/>
      <w:jc w:val="left"/>
    </w:pPr>
    <w:rPr>
      <w:rFonts w:ascii="Arial" w:eastAsia="Times New Roman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A748E4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A748E4"/>
    <w:pPr>
      <w:autoSpaceDE w:val="0"/>
      <w:autoSpaceDN w:val="0"/>
      <w:adjustRightInd w:val="0"/>
      <w:spacing w:after="0"/>
      <w:ind w:left="1080"/>
      <w:jc w:val="left"/>
    </w:pPr>
    <w:rPr>
      <w:rFonts w:ascii="Arial" w:eastAsia="Times New Roman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A748E4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A748E4"/>
    <w:pPr>
      <w:autoSpaceDE w:val="0"/>
      <w:autoSpaceDN w:val="0"/>
      <w:adjustRightInd w:val="0"/>
      <w:spacing w:after="0"/>
      <w:ind w:hanging="720"/>
      <w:jc w:val="left"/>
    </w:pPr>
    <w:rPr>
      <w:rFonts w:ascii="Arial" w:eastAsia="Times New Roman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A748E4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A748E4"/>
    <w:pPr>
      <w:autoSpaceDE w:val="0"/>
      <w:autoSpaceDN w:val="0"/>
      <w:adjustRightInd w:val="0"/>
      <w:spacing w:after="0"/>
      <w:ind w:left="0"/>
      <w:jc w:val="left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A748E4"/>
    <w:rPr>
      <w:rFonts w:ascii="Arial" w:eastAsia="Times New Roman" w:hAnsi="Arial" w:cs="Arial"/>
    </w:rPr>
  </w:style>
  <w:style w:type="paragraph" w:styleId="BlockText">
    <w:name w:val="Block Text"/>
    <w:basedOn w:val="Normal"/>
    <w:rsid w:val="00A748E4"/>
    <w:pPr>
      <w:autoSpaceDE w:val="0"/>
      <w:autoSpaceDN w:val="0"/>
      <w:adjustRightInd w:val="0"/>
      <w:spacing w:after="0"/>
      <w:ind w:left="2160" w:hanging="2160"/>
      <w:jc w:val="left"/>
    </w:pPr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A748E4"/>
    <w:pPr>
      <w:autoSpaceDE w:val="0"/>
      <w:autoSpaceDN w:val="0"/>
      <w:adjustRightInd w:val="0"/>
      <w:spacing w:after="0" w:line="180" w:lineRule="atLeast"/>
      <w:ind w:left="0"/>
      <w:jc w:val="left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48E4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A748E4"/>
    <w:pPr>
      <w:autoSpaceDE w:val="0"/>
      <w:autoSpaceDN w:val="0"/>
      <w:adjustRightInd w:val="0"/>
      <w:spacing w:after="0"/>
      <w:ind w:left="0"/>
      <w:jc w:val="left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A748E4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A748E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A748E4"/>
    <w:pPr>
      <w:spacing w:after="0"/>
      <w:ind w:left="0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748E4"/>
    <w:rPr>
      <w:rFonts w:ascii="Arial" w:eastAsia="Times New Roman" w:hAnsi="Arial" w:cs="Arial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A748E4"/>
    <w:pPr>
      <w:spacing w:after="0"/>
      <w:ind w:left="0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748E4"/>
    <w:rPr>
      <w:rFonts w:ascii="Arial" w:eastAsia="Times New Roman" w:hAnsi="Arial" w:cs="Arial"/>
      <w:b/>
      <w:bCs/>
      <w:sz w:val="24"/>
      <w:szCs w:val="24"/>
    </w:rPr>
  </w:style>
  <w:style w:type="paragraph" w:customStyle="1" w:styleId="QMSHeading2">
    <w:name w:val="QMS Heading 2"/>
    <w:basedOn w:val="Heading2"/>
    <w:next w:val="Normal"/>
    <w:autoRedefine/>
    <w:rsid w:val="00A748E4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A748E4"/>
    <w:rPr>
      <w:b/>
      <w:caps/>
    </w:rPr>
  </w:style>
  <w:style w:type="paragraph" w:customStyle="1" w:styleId="QMSHeading1">
    <w:name w:val="QMS Heading 1"/>
    <w:basedOn w:val="Heading1"/>
    <w:rsid w:val="00A748E4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A748E4"/>
  </w:style>
  <w:style w:type="paragraph" w:customStyle="1" w:styleId="QMSHeading3">
    <w:name w:val="QMS Heading 3"/>
    <w:basedOn w:val="Normal"/>
    <w:next w:val="Normal"/>
    <w:autoRedefine/>
    <w:rsid w:val="00A748E4"/>
    <w:pPr>
      <w:overflowPunct w:val="0"/>
      <w:autoSpaceDE w:val="0"/>
      <w:autoSpaceDN w:val="0"/>
      <w:adjustRightInd w:val="0"/>
      <w:spacing w:after="0"/>
      <w:ind w:left="0"/>
      <w:textAlignment w:val="baseline"/>
    </w:pPr>
    <w:rPr>
      <w:rFonts w:ascii="Arial" w:eastAsia="Times New Roman" w:hAnsi="Arial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A748E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A748E4"/>
    <w:rPr>
      <w:color w:val="0000FF"/>
      <w:u w:val="single"/>
    </w:rPr>
  </w:style>
  <w:style w:type="character" w:styleId="FollowedHyperlink">
    <w:name w:val="FollowedHyperlink"/>
    <w:basedOn w:val="DefaultParagraphFont"/>
    <w:rsid w:val="00A748E4"/>
    <w:rPr>
      <w:color w:val="800080"/>
      <w:u w:val="single"/>
    </w:rPr>
  </w:style>
  <w:style w:type="paragraph" w:customStyle="1" w:styleId="ISOChange">
    <w:name w:val="ISO_Change"/>
    <w:basedOn w:val="Normal"/>
    <w:rsid w:val="00A748E4"/>
    <w:pPr>
      <w:spacing w:before="210" w:after="0" w:line="210" w:lineRule="exact"/>
      <w:ind w:left="0"/>
      <w:jc w:val="left"/>
    </w:pPr>
    <w:rPr>
      <w:rFonts w:ascii="Arial" w:eastAsia="Times New Roman" w:hAnsi="Arial"/>
      <w:sz w:val="18"/>
      <w:szCs w:val="20"/>
      <w:lang w:val="en-GB"/>
    </w:rPr>
  </w:style>
  <w:style w:type="paragraph" w:customStyle="1" w:styleId="Default">
    <w:name w:val="Default"/>
    <w:rsid w:val="00A748E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A748E4"/>
    <w:pPr>
      <w:spacing w:after="0"/>
      <w:ind w:left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748E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A748E4"/>
    <w:pPr>
      <w:spacing w:after="0"/>
      <w:ind w:left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748E4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A748E4"/>
    <w:rPr>
      <w:vertAlign w:val="superscript"/>
    </w:rPr>
  </w:style>
  <w:style w:type="paragraph" w:customStyle="1" w:styleId="Definition">
    <w:name w:val="Definition"/>
    <w:basedOn w:val="Normal"/>
    <w:next w:val="Normal"/>
    <w:rsid w:val="00A748E4"/>
    <w:pPr>
      <w:spacing w:after="240" w:line="230" w:lineRule="atLeast"/>
      <w:ind w:left="0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A748E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Normal"/>
    <w:rsid w:val="00A748E4"/>
    <w:pPr>
      <w:spacing w:after="160" w:line="240" w:lineRule="exact"/>
      <w:ind w:left="0"/>
      <w:jc w:val="left"/>
    </w:pPr>
    <w:rPr>
      <w:rFonts w:ascii="Arial" w:eastAsia="Times New Roman" w:hAnsi="Arial"/>
      <w:szCs w:val="24"/>
      <w:lang w:val="en-ZA"/>
    </w:rPr>
  </w:style>
  <w:style w:type="paragraph" w:styleId="CommentText">
    <w:name w:val="annotation text"/>
    <w:basedOn w:val="Normal"/>
    <w:link w:val="CommentTextChar"/>
    <w:semiHidden/>
    <w:rsid w:val="00A748E4"/>
    <w:pPr>
      <w:spacing w:after="0"/>
      <w:ind w:left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48E4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A748E4"/>
    <w:pPr>
      <w:spacing w:after="0"/>
      <w:ind w:left="0"/>
      <w:jc w:val="lef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aptions">
    <w:name w:val="Captions"/>
    <w:basedOn w:val="Caption"/>
    <w:rsid w:val="00A748E4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8E4"/>
    <w:pPr>
      <w:spacing w:after="0"/>
      <w:ind w:left="708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roc">
    <w:name w:val="Proc"/>
    <w:basedOn w:val="Normal"/>
    <w:link w:val="ProcChar"/>
    <w:qFormat/>
    <w:rsid w:val="00A748E4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0"/>
    </w:pPr>
    <w:rPr>
      <w:rFonts w:ascii="Arial" w:eastAsia="Times New Roman" w:hAnsi="Arial" w:cs="Arial"/>
      <w:b/>
      <w:bCs/>
    </w:rPr>
  </w:style>
  <w:style w:type="paragraph" w:customStyle="1" w:styleId="Proc2">
    <w:name w:val="Proc2"/>
    <w:basedOn w:val="Normal"/>
    <w:link w:val="Proc2Char"/>
    <w:qFormat/>
    <w:rsid w:val="00A748E4"/>
    <w:pPr>
      <w:numPr>
        <w:ilvl w:val="1"/>
        <w:numId w:val="1"/>
      </w:numPr>
      <w:autoSpaceDE w:val="0"/>
      <w:autoSpaceDN w:val="0"/>
      <w:adjustRightInd w:val="0"/>
      <w:spacing w:after="0"/>
    </w:pPr>
    <w:rPr>
      <w:rFonts w:ascii="Arial" w:eastAsia="Times New Roman" w:hAnsi="Arial" w:cs="Arial"/>
      <w:b/>
      <w:bCs/>
    </w:rPr>
  </w:style>
  <w:style w:type="character" w:customStyle="1" w:styleId="ProcChar">
    <w:name w:val="Proc Char"/>
    <w:basedOn w:val="DefaultParagraphFont"/>
    <w:link w:val="Proc"/>
    <w:rsid w:val="00A748E4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A748E4"/>
    <w:pPr>
      <w:spacing w:after="0"/>
      <w:ind w:left="2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Proc2Char">
    <w:name w:val="Proc2 Char"/>
    <w:basedOn w:val="DefaultParagraphFont"/>
    <w:link w:val="Proc2"/>
    <w:rsid w:val="00A748E4"/>
    <w:rPr>
      <w:rFonts w:ascii="Arial" w:eastAsia="Times New Roman" w:hAnsi="Arial" w:cs="Arial"/>
      <w:b/>
      <w:bCs/>
    </w:rPr>
  </w:style>
  <w:style w:type="character" w:styleId="Strong">
    <w:name w:val="Strong"/>
    <w:basedOn w:val="DefaultParagraphFont"/>
    <w:uiPriority w:val="22"/>
    <w:qFormat/>
    <w:rsid w:val="00E44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921</Words>
  <Characters>5250</Characters>
  <Application>Microsoft Office Word</Application>
  <DocSecurity>2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njoroger</dc:creator>
  <cp:lastModifiedBy>njoroger</cp:lastModifiedBy>
  <cp:revision>4</cp:revision>
  <dcterms:created xsi:type="dcterms:W3CDTF">2017-11-13T14:07:00Z</dcterms:created>
  <dcterms:modified xsi:type="dcterms:W3CDTF">2018-07-19T08:10:00Z</dcterms:modified>
</cp:coreProperties>
</file>