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496D32" w:rsidRPr="00496D32">
        <w:rPr>
          <w:rFonts w:ascii="Arial Narrow" w:hAnsi="Arial Narrow"/>
          <w:b/>
        </w:rPr>
        <w:t>ISO 1833-15:2019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496D32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496D32" w:rsidRPr="00496D32">
        <w:rPr>
          <w:rFonts w:ascii="Arial Narrow" w:hAnsi="Arial Narrow"/>
          <w:b/>
        </w:rPr>
        <w:t>Textiles — Quantitative chemical analysis — Part 15: Mixtures of jute with certain animal fibres (method by determining nitrogen content)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This document specifies a method, by determining the nitrogen content, to calculate the proportion of each component, after the removal of non-fibrous matter, in textiles made of mixtures of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—</w:t>
      </w:r>
      <w:r w:rsidRPr="00496D32">
        <w:rPr>
          <w:rFonts w:ascii="Arial" w:hAnsi="Arial" w:cs="Arial"/>
          <w:sz w:val="20"/>
          <w:szCs w:val="20"/>
        </w:rPr>
        <w:t xml:space="preserve"> jute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with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—</w:t>
      </w:r>
      <w:r w:rsidRPr="00496D32">
        <w:rPr>
          <w:rFonts w:ascii="Arial" w:hAnsi="Arial" w:cs="Arial"/>
          <w:sz w:val="20"/>
          <w:szCs w:val="20"/>
        </w:rPr>
        <w:t xml:space="preserve"> animal fibres.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The animal-fibre component can consist solely of hair or wool, or of any mixtures of the two.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This document is not applicable to p</w:t>
      </w:r>
      <w:bookmarkStart w:id="0" w:name="_GoBack"/>
      <w:bookmarkEnd w:id="0"/>
      <w:r w:rsidRPr="00496D32">
        <w:rPr>
          <w:rFonts w:ascii="Arial" w:hAnsi="Arial" w:cs="Arial"/>
          <w:sz w:val="20"/>
          <w:szCs w:val="20"/>
        </w:rPr>
        <w:t>roducts in which dyestuffs or finishes contain nitrogen.</w:t>
      </w:r>
    </w:p>
    <w:p w:rsidR="00496D32" w:rsidRPr="00496D32" w:rsidRDefault="00496D32" w:rsidP="00496D3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96D32">
        <w:rPr>
          <w:rFonts w:ascii="Arial" w:hAnsi="Arial" w:cs="Arial"/>
          <w:sz w:val="20"/>
          <w:szCs w:val="20"/>
        </w:rPr>
        <w:t>NOTE</w:t>
      </w:r>
      <w:r w:rsidRPr="00496D32">
        <w:rPr>
          <w:rFonts w:ascii="Arial" w:hAnsi="Arial" w:cs="Arial"/>
          <w:sz w:val="20"/>
          <w:szCs w:val="20"/>
        </w:rPr>
        <w:t xml:space="preserve"> Because this method differs in principle from the general method based on selective solubility set out in ISO 1833-1, it is given in a form that is complete in itself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0E4" w:rsidRDefault="003770E4">
      <w:r>
        <w:separator/>
      </w:r>
    </w:p>
  </w:endnote>
  <w:endnote w:type="continuationSeparator" w:id="0">
    <w:p w:rsidR="003770E4" w:rsidRDefault="0037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0E4" w:rsidRDefault="003770E4">
      <w:r>
        <w:separator/>
      </w:r>
    </w:p>
  </w:footnote>
  <w:footnote w:type="continuationSeparator" w:id="0">
    <w:p w:rsidR="003770E4" w:rsidRDefault="00377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770E4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2536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2020-11-20T09:41:00Z</dcterms:created>
  <dcterms:modified xsi:type="dcterms:W3CDTF">2020-11-20T09:42:00Z</dcterms:modified>
</cp:coreProperties>
</file>