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E409A4">
            <w:pPr>
              <w:tabs>
                <w:tab w:val="center" w:pos="4320"/>
                <w:tab w:val="right" w:pos="8640"/>
              </w:tabs>
            </w:pPr>
            <w:r>
              <w:t>19/1</w:t>
            </w:r>
            <w:r w:rsidR="00E409A4">
              <w:t>2</w:t>
            </w:r>
            <w:bookmarkStart w:id="0" w:name="_GoBack"/>
            <w:bookmarkEnd w:id="0"/>
            <w:r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6F05F9" w:rsidRPr="006F05F9">
        <w:rPr>
          <w:rFonts w:ascii="Arial Narrow" w:hAnsi="Arial Narrow"/>
          <w:b/>
        </w:rPr>
        <w:t>ISO 1833-6:2018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6F05F9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6F05F9" w:rsidRPr="006F05F9">
        <w:rPr>
          <w:rFonts w:ascii="Arial Narrow" w:hAnsi="Arial Narrow"/>
          <w:b/>
        </w:rPr>
        <w:t xml:space="preserve">Textiles — Quantitative chemical analysis — Part 6: Mixtures of viscose, certain types of </w:t>
      </w:r>
      <w:proofErr w:type="spellStart"/>
      <w:r w:rsidR="006F05F9" w:rsidRPr="006F05F9">
        <w:rPr>
          <w:rFonts w:ascii="Arial Narrow" w:hAnsi="Arial Narrow"/>
          <w:b/>
        </w:rPr>
        <w:t>cupro</w:t>
      </w:r>
      <w:proofErr w:type="spellEnd"/>
      <w:r w:rsidR="006F05F9" w:rsidRPr="006F05F9">
        <w:rPr>
          <w:rFonts w:ascii="Arial Narrow" w:hAnsi="Arial Narrow"/>
          <w:b/>
        </w:rPr>
        <w:t xml:space="preserve">, modal or </w:t>
      </w:r>
      <w:proofErr w:type="spellStart"/>
      <w:r w:rsidR="006F05F9" w:rsidRPr="006F05F9">
        <w:rPr>
          <w:rFonts w:ascii="Arial Narrow" w:hAnsi="Arial Narrow"/>
          <w:b/>
        </w:rPr>
        <w:t>lyocell</w:t>
      </w:r>
      <w:proofErr w:type="spellEnd"/>
      <w:r w:rsidR="006F05F9" w:rsidRPr="006F05F9">
        <w:rPr>
          <w:rFonts w:ascii="Arial Narrow" w:hAnsi="Arial Narrow"/>
          <w:b/>
        </w:rPr>
        <w:t xml:space="preserve"> with certain other fibres (method using formic acid and zinc chloride)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This document specifies a method, using a mixture of formic acid and zinc chloride, to determine the mass percentage of viscose, certain types of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after removal of </w:t>
      </w:r>
      <w:proofErr w:type="spellStart"/>
      <w:r w:rsidRPr="006F05F9">
        <w:rPr>
          <w:rFonts w:ascii="Arial" w:hAnsi="Arial" w:cs="Arial"/>
          <w:sz w:val="20"/>
          <w:szCs w:val="20"/>
        </w:rPr>
        <w:t>nonfibrous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matter, in textiles made of mixtures of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— viscose, certain types of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>,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>with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>— cotton.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This document has been initially specifically established for mixtures of viscose, certain types of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with cotton, it is also applicable to mixtures with polypropylene, </w:t>
      </w:r>
      <w:proofErr w:type="spellStart"/>
      <w:r w:rsidRPr="006F05F9">
        <w:rPr>
          <w:rFonts w:ascii="Arial" w:hAnsi="Arial" w:cs="Arial"/>
          <w:sz w:val="20"/>
          <w:szCs w:val="20"/>
        </w:rPr>
        <w:t>elastolefin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and melamine.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IMPORTANT If a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or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fibre is found to be present, a preliminary test is carried out to see whether it is soluble in the reagent.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The method is not applicable to mixtures in which the cotton has suffered extensive chemical degradation. It is not applicable when the viscose,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fibre is rendered incompletely soluble by the presence of certain permanent finishes or reactive dyes that cannot be removed completely.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69F" w:rsidRDefault="0007369F">
      <w:r>
        <w:separator/>
      </w:r>
    </w:p>
  </w:endnote>
  <w:endnote w:type="continuationSeparator" w:id="0">
    <w:p w:rsidR="0007369F" w:rsidRDefault="0007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69F" w:rsidRDefault="0007369F">
      <w:r>
        <w:separator/>
      </w:r>
    </w:p>
  </w:footnote>
  <w:footnote w:type="continuationSeparator" w:id="0">
    <w:p w:rsidR="0007369F" w:rsidRDefault="0007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369F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33A4B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9A4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EEC4FF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2543</Characters>
  <Application>Microsoft Office Word</Application>
  <DocSecurity>2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2983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2020-11-20T09:25:00Z</dcterms:created>
  <dcterms:modified xsi:type="dcterms:W3CDTF">2020-11-20T17:00:00Z</dcterms:modified>
</cp:coreProperties>
</file>