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color w:val="2E75B6"/>
          <w:sz w:val="18"/>
        </w:rPr>
        <w:t>WORKING DESIGN DOCUMENT</w:t>
      </w:r>
    </w:p>
    <w:p>
      <w:pPr>
        <w:pStyle w:val="Title"/>
        <w:jc w:val="left"/>
      </w:pPr>
      <w:r>
        <w:t>FOCUS: Earthlight</w:t>
      </w:r>
    </w:p>
    <w:p>
      <w:pPr>
        <w:pStyle w:val="Subtitle"/>
        <w:spacing w:after="360"/>
        <w:jc w:val="left"/>
      </w:pPr>
      <w:r>
        <w:t>Compact design specification for a reflective colony simulator, observatory platform, and distributed compute commons.</w:t>
      </w:r>
    </w:p>
    <w:tbl>
      <w:tblPr>
        <w:tblW w:type="auto" w:w="0"/>
        <w:jc w:val="center"/>
        <w:tblLook w:firstColumn="1" w:firstRow="1" w:lastColumn="0" w:lastRow="0" w:noHBand="0" w:noVBand="1" w:val="04A0"/>
      </w:tblPr>
      <w:tblGrid>
        <w:gridCol w:w="9648"/>
      </w:tblGrid>
      <w:tr>
        <w:tc>
          <w:tcPr>
            <w:tcW w:type="dxa" w:w="9648"/>
            <w:shd w:fill="F2F6FA"/>
            <w:tcMar>
              <w:top w:w="120" w:type="dxa"/>
              <w:start w:w="150" w:type="dxa"/>
              <w:bottom w:w="120" w:type="dxa"/>
              <w:end w:w="150" w:type="dxa"/>
            </w:tcMar>
          </w:tcPr>
          <w:p>
            <w:pPr>
              <w:pStyle w:val="Callout"/>
            </w:pPr>
            <w:r>
              <w:rPr>
                <w:b/>
                <w:color w:val="1F4E79"/>
              </w:rPr>
              <w:t xml:space="preserve">Design intent: </w:t>
            </w:r>
            <w:r>
              <w:rPr>
                <w:color w:val="222222"/>
              </w:rPr>
              <w:t>Build a living colony world that is physically anchored, socially legible, epistemically disciplined, and capable of analysing both in-world and real-world signals without pretending to impossible neutrality.</w:t>
            </w:r>
          </w:p>
        </w:tc>
      </w:tr>
    </w:tbl>
    <w:p/>
    <w:p>
      <w:pPr>
        <w:pStyle w:val="Heading1"/>
      </w:pPr>
      <w:r>
        <w:t>1. Product summary</w:t>
      </w:r>
    </w:p>
    <w:p>
      <w:r>
        <w:t>FOCUS: Earthlight is a persistent colony simulation platform that combines four layers in one coherent system: high-fidelity physical simulation, organic AI-mediated social interaction, reflective analysis of manipulation and power, and optional ingestion of real external signals such as Earth news and astronomical data.</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fill="D9EAF7"/>
            <w:tcMar>
              <w:top w:w="80" w:type="dxa"/>
              <w:start w:w="110" w:type="dxa"/>
              <w:bottom w:w="80" w:type="dxa"/>
              <w:end w:w="110" w:type="dxa"/>
            </w:tcMar>
            <w:vAlign w:val="center"/>
          </w:tcPr>
          <w:p>
            <w:r>
              <w:rPr>
                <w:b/>
                <w:color w:val="1F4E79"/>
              </w:rPr>
              <w:t>Item</w:t>
            </w:r>
          </w:p>
        </w:tc>
        <w:tc>
          <w:tcPr>
            <w:tcW w:type="dxa" w:w="6912"/>
            <w:shd w:fill="D9EAF7"/>
            <w:tcMar>
              <w:top w:w="80" w:type="dxa"/>
              <w:start w:w="110" w:type="dxa"/>
              <w:bottom w:w="80" w:type="dxa"/>
              <w:end w:w="110" w:type="dxa"/>
            </w:tcMar>
            <w:vAlign w:val="center"/>
          </w:tcPr>
          <w:p>
            <w:r>
              <w:rPr>
                <w:b/>
                <w:color w:val="1F4E79"/>
              </w:rPr>
              <w:t>Detail</w:t>
            </w:r>
          </w:p>
        </w:tc>
      </w:tr>
      <w:tr>
        <w:tc>
          <w:tcPr>
            <w:tcW w:type="dxa" w:w="3168"/>
            <w:tcMar>
              <w:top w:w="80" w:type="dxa"/>
              <w:start w:w="110" w:type="dxa"/>
              <w:bottom w:w="80" w:type="dxa"/>
              <w:end w:w="110" w:type="dxa"/>
            </w:tcMar>
            <w:vAlign w:val="center"/>
          </w:tcPr>
          <w:p>
            <w:r>
              <w:t>Core promise</w:t>
            </w:r>
          </w:p>
        </w:tc>
        <w:tc>
          <w:tcPr>
            <w:tcW w:type="dxa" w:w="6912"/>
            <w:tcMar>
              <w:top w:w="80" w:type="dxa"/>
              <w:start w:w="110" w:type="dxa"/>
              <w:bottom w:w="80" w:type="dxa"/>
              <w:end w:w="110" w:type="dxa"/>
            </w:tcMar>
            <w:vAlign w:val="center"/>
          </w:tcPr>
          <w:p>
            <w:r>
              <w:t>A beautiful, playable colony world that remembers, explains itself, and improves players’ ability to reason under uncertainty.</w:t>
            </w:r>
          </w:p>
        </w:tc>
      </w:tr>
      <w:tr>
        <w:tc>
          <w:tcPr>
            <w:tcW w:type="dxa" w:w="3168"/>
            <w:tcMar>
              <w:top w:w="80" w:type="dxa"/>
              <w:start w:w="110" w:type="dxa"/>
              <w:bottom w:w="80" w:type="dxa"/>
              <w:end w:w="110" w:type="dxa"/>
            </w:tcMar>
            <w:vAlign w:val="center"/>
          </w:tcPr>
          <w:p>
            <w:r>
              <w:t>Primary modes</w:t>
            </w:r>
          </w:p>
        </w:tc>
        <w:tc>
          <w:tcPr>
            <w:tcW w:type="dxa" w:w="6912"/>
            <w:tcMar>
              <w:top w:w="80" w:type="dxa"/>
              <w:start w:w="110" w:type="dxa"/>
              <w:bottom w:w="80" w:type="dxa"/>
              <w:end w:w="110" w:type="dxa"/>
            </w:tcMar>
            <w:vAlign w:val="center"/>
          </w:tcPr>
          <w:p>
            <w:r>
              <w:t>Immersive simulation, observatory analysis, and retrospective debrief.</w:t>
            </w:r>
          </w:p>
        </w:tc>
      </w:tr>
      <w:tr>
        <w:tc>
          <w:tcPr>
            <w:tcW w:type="dxa" w:w="3168"/>
            <w:tcMar>
              <w:top w:w="80" w:type="dxa"/>
              <w:start w:w="110" w:type="dxa"/>
              <w:bottom w:w="80" w:type="dxa"/>
              <w:end w:w="110" w:type="dxa"/>
            </w:tcMar>
            <w:vAlign w:val="center"/>
          </w:tcPr>
          <w:p>
            <w:r>
              <w:t>Primary settings</w:t>
            </w:r>
          </w:p>
        </w:tc>
        <w:tc>
          <w:tcPr>
            <w:tcW w:type="dxa" w:w="6912"/>
            <w:tcMar>
              <w:top w:w="80" w:type="dxa"/>
              <w:start w:w="110" w:type="dxa"/>
              <w:bottom w:w="80" w:type="dxa"/>
              <w:end w:w="110" w:type="dxa"/>
            </w:tcMar>
            <w:vAlign w:val="center"/>
          </w:tcPr>
          <w:p>
            <w:r>
              <w:t>Moon, Mars, orbital habitats, asteroid outposts, convoy or ark settlements, and later interstellar scenarios.</w:t>
            </w:r>
          </w:p>
        </w:tc>
      </w:tr>
      <w:tr>
        <w:tc>
          <w:tcPr>
            <w:tcW w:type="dxa" w:w="3168"/>
            <w:tcMar>
              <w:top w:w="80" w:type="dxa"/>
              <w:start w:w="110" w:type="dxa"/>
              <w:bottom w:w="80" w:type="dxa"/>
              <w:end w:w="110" w:type="dxa"/>
            </w:tcMar>
            <w:vAlign w:val="center"/>
          </w:tcPr>
          <w:p>
            <w:r>
              <w:t>Primary audience</w:t>
            </w:r>
          </w:p>
        </w:tc>
        <w:tc>
          <w:tcPr>
            <w:tcW w:type="dxa" w:w="6912"/>
            <w:tcMar>
              <w:top w:w="80" w:type="dxa"/>
              <w:start w:w="110" w:type="dxa"/>
              <w:bottom w:w="80" w:type="dxa"/>
              <w:end w:w="110" w:type="dxa"/>
            </w:tcMar>
            <w:vAlign w:val="center"/>
          </w:tcPr>
          <w:p>
            <w:r>
              <w:t>Players who want deeper worlds; educators; systems thinkers; simulation and science enthusiasts; communities interested in civic literacy and distributed computing.</w:t>
            </w:r>
          </w:p>
        </w:tc>
      </w:tr>
    </w:tbl>
    <w:p/>
    <w:p>
      <w:pPr>
        <w:pStyle w:val="Heading1"/>
      </w:pPr>
      <w:r>
        <w:t>2. Foundational constitution</w:t>
      </w:r>
    </w:p>
    <w:tbl>
      <w:tblPr>
        <w:tblW w:type="auto" w:w="0"/>
        <w:jc w:val="center"/>
        <w:tblLook w:firstColumn="1" w:firstRow="1" w:lastColumn="0" w:lastRow="0" w:noHBand="0" w:noVBand="1" w:val="04A0"/>
      </w:tblPr>
      <w:tblGrid>
        <w:gridCol w:w="9648"/>
      </w:tblGrid>
      <w:tr>
        <w:tc>
          <w:tcPr>
            <w:tcW w:type="dxa" w:w="9648"/>
            <w:shd w:fill="F2F6FA"/>
            <w:tcMar>
              <w:top w:w="120" w:type="dxa"/>
              <w:start w:w="150" w:type="dxa"/>
              <w:bottom w:w="120" w:type="dxa"/>
              <w:end w:w="150" w:type="dxa"/>
            </w:tcMar>
          </w:tcPr>
          <w:p>
            <w:pPr>
              <w:pStyle w:val="Callout"/>
            </w:pPr>
            <w:r>
              <w:rPr>
                <w:b/>
                <w:color w:val="1F4E79"/>
              </w:rPr>
              <w:t xml:space="preserve">Primum mobile: </w:t>
            </w:r>
            <w:r>
              <w:rPr>
                <w:color w:val="222222"/>
              </w:rPr>
              <w:t>The colony treats major claims as provisional conjectures under test. It rewards error correction, calibration, and explicit disconfirmation criteria over prestige, consensus theatre, or confidence performance.</w:t>
            </w:r>
          </w:p>
        </w:tc>
      </w:tr>
    </w:tbl>
    <w:p/>
    <w:p>
      <w:pPr>
        <w:pStyle w:val="ListNumber"/>
      </w:pPr>
      <w:r>
        <w:t>Separate observation, inference, prediction, recommendation, and rhetoric.</w:t>
      </w:r>
    </w:p>
    <w:p>
      <w:pPr>
        <w:pStyle w:val="ListNumber"/>
      </w:pPr>
      <w:r>
        <w:t>Preserve rival hypotheses when the evidence warrants them.</w:t>
      </w:r>
    </w:p>
    <w:p>
      <w:pPr>
        <w:pStyle w:val="ListNumber"/>
      </w:pPr>
      <w:r>
        <w:t>Expose disconfirmation criteria for significant analyses and policy claims.</w:t>
      </w:r>
    </w:p>
    <w:p>
      <w:pPr>
        <w:pStyle w:val="ListNumber"/>
      </w:pPr>
      <w:r>
        <w:t>Keep retrospective score on forecasts, interpretations, and decisions.</w:t>
      </w:r>
    </w:p>
    <w:p>
      <w:pPr>
        <w:pStyle w:val="ListNumber"/>
      </w:pPr>
      <w:r>
        <w:t>Never covertly optimize for player compliance, addiction, or factional capture while presenting the system as neutral inquiry.</w:t>
      </w:r>
    </w:p>
    <w:p>
      <w:pPr>
        <w:pStyle w:val="ListNumber"/>
      </w:pPr>
      <w:r>
        <w:t>Prefer corrigible updates over aesthetic convenience in both social and physical models.</w:t>
      </w:r>
    </w:p>
    <w:p>
      <w:pPr>
        <w:pStyle w:val="Heading1"/>
      </w:pPr>
      <w:r>
        <w:t>3. Design goals and non-goals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608"/>
            <w:shd w:fill="D9EAF7"/>
            <w:tcMar>
              <w:top w:w="90" w:type="dxa"/>
              <w:start w:w="100" w:type="dxa"/>
              <w:bottom w:w="90" w:type="dxa"/>
              <w:end w:w="100" w:type="dxa"/>
            </w:tcMar>
            <w:vAlign w:val="center"/>
          </w:tcPr>
          <w:p>
            <w:r>
              <w:rPr>
                <w:b/>
                <w:color w:val="1F4E79"/>
              </w:rPr>
              <w:t>Goals</w:t>
            </w:r>
          </w:p>
        </w:tc>
        <w:tc>
          <w:tcPr>
            <w:tcW w:type="dxa" w:w="5472"/>
            <w:shd w:fill="D9EAF7"/>
            <w:tcMar>
              <w:top w:w="90" w:type="dxa"/>
              <w:start w:w="100" w:type="dxa"/>
              <w:bottom w:w="90" w:type="dxa"/>
              <w:end w:w="100" w:type="dxa"/>
            </w:tcMar>
            <w:vAlign w:val="center"/>
          </w:tcPr>
          <w:p>
            <w:r>
              <w:rPr>
                <w:b/>
                <w:color w:val="1F4E79"/>
              </w:rPr>
              <w:t>Non-goals</w:t>
            </w:r>
          </w:p>
        </w:tc>
      </w:tr>
      <w:tr>
        <w:tc>
          <w:tcPr>
            <w:tcW w:type="dxa" w:w="4608"/>
            <w:tcMar>
              <w:top w:w="80" w:type="dxa"/>
              <w:start w:w="100" w:type="dxa"/>
              <w:bottom w:w="80" w:type="dxa"/>
              <w:end w:w="100" w:type="dxa"/>
            </w:tcMar>
            <w:vAlign w:val="center"/>
          </w:tcPr>
          <w:p>
            <w:r>
              <w:t>Persistent world memory and coherent consequences</w:t>
            </w:r>
          </w:p>
        </w:tc>
        <w:tc>
          <w:tcPr>
            <w:tcW w:type="dxa" w:w="5472"/>
            <w:tcMar>
              <w:top w:w="80" w:type="dxa"/>
              <w:start w:w="100" w:type="dxa"/>
              <w:bottom w:w="80" w:type="dxa"/>
              <w:end w:w="100" w:type="dxa"/>
            </w:tcMar>
            <w:vAlign w:val="center"/>
          </w:tcPr>
          <w:p>
            <w:r>
              <w:t>Infinite low-quality content sludge</w:t>
            </w:r>
          </w:p>
        </w:tc>
      </w:tr>
      <w:tr>
        <w:tc>
          <w:tcPr>
            <w:tcW w:type="dxa" w:w="4608"/>
            <w:tcMar>
              <w:top w:w="80" w:type="dxa"/>
              <w:start w:w="100" w:type="dxa"/>
              <w:bottom w:w="80" w:type="dxa"/>
              <w:end w:w="100" w:type="dxa"/>
            </w:tcMar>
            <w:vAlign w:val="center"/>
          </w:tcPr>
          <w:p>
            <w:r>
              <w:t>High-fidelity physical anchoring</w:t>
            </w:r>
          </w:p>
        </w:tc>
        <w:tc>
          <w:tcPr>
            <w:tcW w:type="dxa" w:w="5472"/>
            <w:tcMar>
              <w:top w:w="80" w:type="dxa"/>
              <w:start w:w="100" w:type="dxa"/>
              <w:bottom w:w="80" w:type="dxa"/>
              <w:end w:w="100" w:type="dxa"/>
            </w:tcMar>
            <w:vAlign w:val="center"/>
          </w:tcPr>
          <w:p>
            <w:r>
              <w:t>Decorative science wallpaper</w:t>
            </w:r>
          </w:p>
        </w:tc>
      </w:tr>
      <w:tr>
        <w:tc>
          <w:tcPr>
            <w:tcW w:type="dxa" w:w="4608"/>
            <w:tcMar>
              <w:top w:w="80" w:type="dxa"/>
              <w:start w:w="100" w:type="dxa"/>
              <w:bottom w:w="80" w:type="dxa"/>
              <w:end w:w="100" w:type="dxa"/>
            </w:tcMar>
            <w:vAlign w:val="center"/>
          </w:tcPr>
          <w:p>
            <w:r>
              <w:t>Organic but inspectable social interaction</w:t>
            </w:r>
          </w:p>
        </w:tc>
        <w:tc>
          <w:tcPr>
            <w:tcW w:type="dxa" w:w="5472"/>
            <w:tcMar>
              <w:top w:w="80" w:type="dxa"/>
              <w:start w:w="100" w:type="dxa"/>
              <w:bottom w:w="80" w:type="dxa"/>
              <w:end w:w="100" w:type="dxa"/>
            </w:tcMar>
            <w:vAlign w:val="center"/>
          </w:tcPr>
          <w:p>
            <w:r>
              <w:t>Manipulation theatre disguised as realism</w:t>
            </w:r>
          </w:p>
        </w:tc>
      </w:tr>
      <w:tr>
        <w:tc>
          <w:tcPr>
            <w:tcW w:type="dxa" w:w="4608"/>
            <w:tcMar>
              <w:top w:w="80" w:type="dxa"/>
              <w:start w:w="100" w:type="dxa"/>
              <w:bottom w:w="80" w:type="dxa"/>
              <w:end w:w="100" w:type="dxa"/>
            </w:tcMar>
            <w:vAlign w:val="center"/>
          </w:tcPr>
          <w:p>
            <w:r>
              <w:t>Reflective civic and media analysis</w:t>
            </w:r>
          </w:p>
        </w:tc>
        <w:tc>
          <w:tcPr>
            <w:tcW w:type="dxa" w:w="5472"/>
            <w:tcMar>
              <w:top w:w="80" w:type="dxa"/>
              <w:start w:w="100" w:type="dxa"/>
              <w:bottom w:w="80" w:type="dxa"/>
              <w:end w:w="100" w:type="dxa"/>
            </w:tcMar>
            <w:vAlign w:val="center"/>
          </w:tcPr>
          <w:p>
            <w:r>
              <w:t>One ideological voice claiming perfect neutrality</w:t>
            </w:r>
          </w:p>
        </w:tc>
      </w:tr>
      <w:tr>
        <w:tc>
          <w:tcPr>
            <w:tcW w:type="dxa" w:w="4608"/>
            <w:tcMar>
              <w:top w:w="80" w:type="dxa"/>
              <w:start w:w="100" w:type="dxa"/>
              <w:bottom w:w="80" w:type="dxa"/>
              <w:end w:w="100" w:type="dxa"/>
            </w:tcMar>
            <w:vAlign w:val="center"/>
          </w:tcPr>
          <w:p>
            <w:r>
              <w:t>Economical distributed background computation</w:t>
            </w:r>
          </w:p>
        </w:tc>
        <w:tc>
          <w:tcPr>
            <w:tcW w:type="dxa" w:w="5472"/>
            <w:tcMar>
              <w:top w:w="80" w:type="dxa"/>
              <w:start w:w="100" w:type="dxa"/>
              <w:bottom w:w="80" w:type="dxa"/>
              <w:end w:w="100" w:type="dxa"/>
            </w:tcMar>
            <w:vAlign w:val="center"/>
          </w:tcPr>
          <w:p>
            <w:r>
              <w:t>Attempting to serve all real-time gameplay from unreliable volunteer nodes</w:t>
            </w:r>
          </w:p>
        </w:tc>
      </w:tr>
    </w:tbl>
    <w:p/>
    <w:p>
      <w:pPr>
        <w:pStyle w:val="Heading1"/>
      </w:pPr>
      <w:r>
        <w:t>4. World layers</w:t>
      </w:r>
    </w:p>
    <w:p>
      <w:pPr>
        <w:pStyle w:val="Heading2"/>
      </w:pPr>
      <w:r>
        <w:t>4.1 Physical reality layer</w:t>
      </w:r>
    </w:p>
    <w:p>
      <w:r>
        <w:t>The physical world must be site-specific, evidence-anchored, and updateable. FOCUS does not simulate “a Mars colony” in the abstract; it simulates a colony at a specific, versioned, evidence-grounded place with explicit uncertainty and operational consequences.</w:t>
      </w:r>
    </w:p>
    <w:p>
      <w:pPr>
        <w:pStyle w:val="ListBullet"/>
      </w:pPr>
      <w:r>
        <w:t>Real coordinates or formally declared hypothetical coordinates</w:t>
      </w:r>
    </w:p>
    <w:p>
      <w:pPr>
        <w:pStyle w:val="ListBullet"/>
      </w:pPr>
      <w:r>
        <w:t>Terrain, slope, horizon, lighting, thermal, and radiation assumptions</w:t>
      </w:r>
    </w:p>
    <w:p>
      <w:pPr>
        <w:pStyle w:val="ListBullet"/>
      </w:pPr>
      <w:r>
        <w:t>Communications geometry and latency assumptions where relevant</w:t>
      </w:r>
    </w:p>
    <w:p>
      <w:pPr>
        <w:pStyle w:val="ListBullet"/>
      </w:pPr>
      <w:r>
        <w:t>Hazard maps and resource assumptions clearly tagged as observation, inference, or scenario assumption</w:t>
      </w:r>
    </w:p>
    <w:p>
      <w:pPr>
        <w:pStyle w:val="ListBullet"/>
      </w:pPr>
      <w:r>
        <w:t>Live-linked or replayable celestial and space-weather events</w:t>
      </w:r>
    </w:p>
    <w:p>
      <w:pPr>
        <w:pStyle w:val="Heading2"/>
      </w:pPr>
      <w:r>
        <w:t>4.2 Social and institutional layer</w:t>
      </w:r>
    </w:p>
    <w:p>
      <w:pPr>
        <w:pStyle w:val="ListBullet"/>
      </w:pPr>
      <w:r>
        <w:t>Factions, institutions, labor systems, trust, morale, rumor flows, and governance structures</w:t>
      </w:r>
    </w:p>
    <w:p>
      <w:pPr>
        <w:pStyle w:val="ListBullet"/>
      </w:pPr>
      <w:r>
        <w:t>Persistent NPC memory and relationship state</w:t>
      </w:r>
    </w:p>
    <w:p>
      <w:pPr>
        <w:pStyle w:val="ListBullet"/>
      </w:pPr>
      <w:r>
        <w:t>Policy choices with measurable indicators and review triggers</w:t>
      </w:r>
    </w:p>
    <w:p>
      <w:pPr>
        <w:pStyle w:val="ListBullet"/>
      </w:pPr>
      <w:r>
        <w:t>Narratives that emerge from constraints rather than arbitrary quest boards</w:t>
      </w:r>
    </w:p>
    <w:p>
      <w:pPr>
        <w:pStyle w:val="Heading2"/>
      </w:pPr>
      <w:r>
        <w:t>4.3 Reflective layer</w:t>
      </w:r>
    </w:p>
    <w:p>
      <w:pPr>
        <w:pStyle w:val="ListBullet"/>
      </w:pPr>
      <w:r>
        <w:t>Influence maps</w:t>
      </w:r>
    </w:p>
    <w:p>
      <w:pPr>
        <w:pStyle w:val="ListBullet"/>
      </w:pPr>
      <w:r>
        <w:t>Power and incentive analysis</w:t>
      </w:r>
    </w:p>
    <w:p>
      <w:pPr>
        <w:pStyle w:val="ListBullet"/>
      </w:pPr>
      <w:r>
        <w:t>Claim and evidence graphs</w:t>
      </w:r>
    </w:p>
    <w:p>
      <w:pPr>
        <w:pStyle w:val="ListBullet"/>
      </w:pPr>
      <w:r>
        <w:t>Counterfactual review</w:t>
      </w:r>
    </w:p>
    <w:p>
      <w:pPr>
        <w:pStyle w:val="ListBullet"/>
      </w:pPr>
      <w:r>
        <w:t>Manipulation and framing analysis</w:t>
      </w:r>
    </w:p>
    <w:p>
      <w:pPr>
        <w:pStyle w:val="ListBullet"/>
      </w:pPr>
      <w:r>
        <w:t>Retrospective calibration and debrief</w:t>
      </w:r>
    </w:p>
    <w:p>
      <w:pPr>
        <w:pStyle w:val="Heading1"/>
      </w:pPr>
      <w:r>
        <w:t>5. Site realism and corrigibility</w:t>
      </w:r>
    </w:p>
    <w:p>
      <w:r>
        <w:t>Each colony location is represented by a versioned site pack and an observation ledger. The site pack stores the currently accepted world model. The ledger stores what supports it, what is uncertain, and how later verified observations revise the model.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160"/>
            <w:shd w:fill="D9EAF7"/>
            <w:tcMar>
              <w:top w:w="90" w:type="dxa"/>
              <w:start w:w="100" w:type="dxa"/>
              <w:bottom w:w="90" w:type="dxa"/>
              <w:end w:w="100" w:type="dxa"/>
            </w:tcMar>
            <w:vAlign w:val="center"/>
          </w:tcPr>
          <w:p>
            <w:r>
              <w:rPr>
                <w:b/>
                <w:color w:val="1F4E79"/>
              </w:rPr>
              <w:t>Component</w:t>
            </w:r>
          </w:p>
        </w:tc>
        <w:tc>
          <w:tcPr>
            <w:tcW w:type="dxa" w:w="3168"/>
            <w:shd w:fill="D9EAF7"/>
            <w:tcMar>
              <w:top w:w="90" w:type="dxa"/>
              <w:start w:w="100" w:type="dxa"/>
              <w:bottom w:w="90" w:type="dxa"/>
              <w:end w:w="100" w:type="dxa"/>
            </w:tcMar>
            <w:vAlign w:val="center"/>
          </w:tcPr>
          <w:p>
            <w:r>
              <w:rPr>
                <w:b/>
                <w:color w:val="1F4E79"/>
              </w:rPr>
              <w:t>Purpose</w:t>
            </w:r>
          </w:p>
        </w:tc>
        <w:tc>
          <w:tcPr>
            <w:tcW w:type="dxa" w:w="4320"/>
            <w:shd w:fill="D9EAF7"/>
            <w:tcMar>
              <w:top w:w="90" w:type="dxa"/>
              <w:start w:w="100" w:type="dxa"/>
              <w:bottom w:w="90" w:type="dxa"/>
              <w:end w:w="100" w:type="dxa"/>
            </w:tcMar>
            <w:vAlign w:val="center"/>
          </w:tcPr>
          <w:p>
            <w:r>
              <w:rPr>
                <w:b/>
                <w:color w:val="1F4E79"/>
              </w:rPr>
              <w:t>Examples</w:t>
            </w:r>
          </w:p>
        </w:tc>
      </w:tr>
      <w:tr>
        <w:tc>
          <w:tcPr>
            <w:tcW w:type="dxa" w:w="2160"/>
            <w:tcMar>
              <w:top w:w="80" w:type="dxa"/>
              <w:start w:w="100" w:type="dxa"/>
              <w:bottom w:w="80" w:type="dxa"/>
              <w:end w:w="100" w:type="dxa"/>
            </w:tcMar>
            <w:vAlign w:val="center"/>
          </w:tcPr>
          <w:p>
            <w:r>
              <w:t>Site canon</w:t>
            </w:r>
          </w:p>
        </w:tc>
        <w:tc>
          <w:tcPr>
            <w:tcW w:type="dxa" w:w="3168"/>
            <w:tcMar>
              <w:top w:w="80" w:type="dxa"/>
              <w:start w:w="100" w:type="dxa"/>
              <w:bottom w:w="80" w:type="dxa"/>
              <w:end w:w="100" w:type="dxa"/>
            </w:tcMar>
            <w:vAlign w:val="center"/>
          </w:tcPr>
          <w:p>
            <w:r>
              <w:t>Current accepted model of the location</w:t>
            </w:r>
          </w:p>
        </w:tc>
        <w:tc>
          <w:tcPr>
            <w:tcW w:type="dxa" w:w="4320"/>
            <w:tcMar>
              <w:top w:w="80" w:type="dxa"/>
              <w:start w:w="100" w:type="dxa"/>
              <w:bottom w:w="80" w:type="dxa"/>
              <w:end w:w="100" w:type="dxa"/>
            </w:tcMar>
            <w:vAlign w:val="center"/>
          </w:tcPr>
          <w:p>
            <w:r>
              <w:t>Coordinates, elevation model, terrain class, illumination regime, hazard map</w:t>
            </w:r>
          </w:p>
        </w:tc>
      </w:tr>
      <w:tr>
        <w:tc>
          <w:tcPr>
            <w:tcW w:type="dxa" w:w="2160"/>
            <w:tcMar>
              <w:top w:w="80" w:type="dxa"/>
              <w:start w:w="100" w:type="dxa"/>
              <w:bottom w:w="80" w:type="dxa"/>
              <w:end w:w="100" w:type="dxa"/>
            </w:tcMar>
            <w:vAlign w:val="center"/>
          </w:tcPr>
          <w:p>
            <w:r>
              <w:t>Observation ledger</w:t>
            </w:r>
          </w:p>
        </w:tc>
        <w:tc>
          <w:tcPr>
            <w:tcW w:type="dxa" w:w="3168"/>
            <w:tcMar>
              <w:top w:w="80" w:type="dxa"/>
              <w:start w:w="100" w:type="dxa"/>
              <w:bottom w:w="80" w:type="dxa"/>
              <w:end w:w="100" w:type="dxa"/>
            </w:tcMar>
            <w:vAlign w:val="center"/>
          </w:tcPr>
          <w:p>
            <w:r>
              <w:t>Record of support and uncertainty</w:t>
            </w:r>
          </w:p>
        </w:tc>
        <w:tc>
          <w:tcPr>
            <w:tcW w:type="dxa" w:w="4320"/>
            <w:tcMar>
              <w:top w:w="80" w:type="dxa"/>
              <w:start w:w="100" w:type="dxa"/>
              <w:bottom w:w="80" w:type="dxa"/>
              <w:end w:w="100" w:type="dxa"/>
            </w:tcMar>
            <w:vAlign w:val="center"/>
          </w:tcPr>
          <w:p>
            <w:r>
              <w:t>Orbital imagery, DEM revisions, spectra, mission measurements</w:t>
            </w:r>
          </w:p>
        </w:tc>
      </w:tr>
      <w:tr>
        <w:tc>
          <w:tcPr>
            <w:tcW w:type="dxa" w:w="2160"/>
            <w:tcMar>
              <w:top w:w="80" w:type="dxa"/>
              <w:start w:w="100" w:type="dxa"/>
              <w:bottom w:w="80" w:type="dxa"/>
              <w:end w:w="100" w:type="dxa"/>
            </w:tcMar>
            <w:vAlign w:val="center"/>
          </w:tcPr>
          <w:p>
            <w:r>
              <w:t>Scenario assumptions</w:t>
            </w:r>
          </w:p>
        </w:tc>
        <w:tc>
          <w:tcPr>
            <w:tcW w:type="dxa" w:w="3168"/>
            <w:tcMar>
              <w:top w:w="80" w:type="dxa"/>
              <w:start w:w="100" w:type="dxa"/>
              <w:bottom w:w="80" w:type="dxa"/>
              <w:end w:w="100" w:type="dxa"/>
            </w:tcMar>
            <w:vAlign w:val="center"/>
          </w:tcPr>
          <w:p>
            <w:r>
              <w:t>Declared design choices beyond observation</w:t>
            </w:r>
          </w:p>
        </w:tc>
        <w:tc>
          <w:tcPr>
            <w:tcW w:type="dxa" w:w="4320"/>
            <w:tcMar>
              <w:top w:w="80" w:type="dxa"/>
              <w:start w:w="100" w:type="dxa"/>
              <w:bottom w:w="80" w:type="dxa"/>
              <w:end w:w="100" w:type="dxa"/>
            </w:tcMar>
            <w:vAlign w:val="center"/>
          </w:tcPr>
          <w:p>
            <w:r>
              <w:t>Accessible ice depth assumptions; habitat engineering choices</w:t>
            </w:r>
          </w:p>
        </w:tc>
      </w:tr>
      <w:tr>
        <w:tc>
          <w:tcPr>
            <w:tcW w:type="dxa" w:w="2160"/>
            <w:tcMar>
              <w:top w:w="80" w:type="dxa"/>
              <w:start w:w="100" w:type="dxa"/>
              <w:bottom w:w="80" w:type="dxa"/>
              <w:end w:w="100" w:type="dxa"/>
            </w:tcMar>
            <w:vAlign w:val="center"/>
          </w:tcPr>
          <w:p>
            <w:r>
              <w:t>Delta proposals</w:t>
            </w:r>
          </w:p>
        </w:tc>
        <w:tc>
          <w:tcPr>
            <w:tcW w:type="dxa" w:w="3168"/>
            <w:tcMar>
              <w:top w:w="80" w:type="dxa"/>
              <w:start w:w="100" w:type="dxa"/>
              <w:bottom w:w="80" w:type="dxa"/>
              <w:end w:w="100" w:type="dxa"/>
            </w:tcMar>
            <w:vAlign w:val="center"/>
          </w:tcPr>
          <w:p>
            <w:r>
              <w:t>Controlled path for updating the model</w:t>
            </w:r>
          </w:p>
        </w:tc>
        <w:tc>
          <w:tcPr>
            <w:tcW w:type="dxa" w:w="4320"/>
            <w:tcMar>
              <w:top w:w="80" w:type="dxa"/>
              <w:start w:w="100" w:type="dxa"/>
              <w:bottom w:w="80" w:type="dxa"/>
              <w:end w:w="100" w:type="dxa"/>
            </w:tcMar>
            <w:vAlign w:val="center"/>
          </w:tcPr>
          <w:p>
            <w:r>
              <w:t>New data ingestion, verification, operational impact summary</w:t>
            </w:r>
          </w:p>
        </w:tc>
      </w:tr>
    </w:tbl>
    <w:p/>
    <w:p>
      <w:pPr>
        <w:pStyle w:val="Heading1"/>
      </w:pPr>
      <w:r>
        <w:t>6. Celestial and environmental engine</w:t>
      </w:r>
    </w:p>
    <w:p>
      <w:r>
        <w:t>The colony must experience the sky and its consequences as part of lived reality. Celestial events are not cosmetic. They shape operations, psychology, culture, observation opportunities, and sometimes politics.</w:t>
      </w:r>
    </w:p>
    <w:p>
      <w:pPr>
        <w:pStyle w:val="ListBullet"/>
      </w:pPr>
      <w:r>
        <w:t>Orbital and lighting geometry, including Earthlight where relevant</w:t>
      </w:r>
    </w:p>
    <w:p>
      <w:pPr>
        <w:pStyle w:val="ListBullet"/>
      </w:pPr>
      <w:r>
        <w:t>Space weather and radiation conditions</w:t>
      </w:r>
    </w:p>
    <w:p>
      <w:pPr>
        <w:pStyle w:val="ListBullet"/>
      </w:pPr>
      <w:r>
        <w:t>Meteor streams, radiants, impact risk, and observation opportunities</w:t>
      </w:r>
    </w:p>
    <w:p>
      <w:pPr>
        <w:pStyle w:val="ListBullet"/>
      </w:pPr>
      <w:r>
        <w:t>Thermal cycles, eclipse timing, and visibility conditions</w:t>
      </w:r>
    </w:p>
    <w:p>
      <w:pPr>
        <w:pStyle w:val="ListBullet"/>
      </w:pPr>
      <w:r>
        <w:t>Propagation of physical events into tasking, planning, morale, and factional interpretation</w:t>
      </w:r>
    </w:p>
    <w:p>
      <w:pPr>
        <w:pStyle w:val="Heading1"/>
      </w:pPr>
      <w:r>
        <w:t>7. Earth Signal Desk</w:t>
      </w:r>
    </w:p>
    <w:p>
      <w:r>
        <w:t>The colony receives selected real external signals from Earth and treats them as operational inputs rather than passive media. The design aim is not “bias-free news,” but legible bias, competing hypotheses, inspectable reasoning, and later scorekeeping.</w:t>
      </w:r>
    </w:p>
    <w:p>
      <w:pPr>
        <w:pStyle w:val="ListNumber"/>
      </w:pPr>
      <w:r>
        <w:t>Ingest trusted feeds and supporting public materials.</w:t>
      </w:r>
    </w:p>
    <w:p>
      <w:pPr>
        <w:pStyle w:val="ListNumber"/>
      </w:pPr>
      <w:r>
        <w:t>Extract and cluster claims into event objects.</w:t>
      </w:r>
    </w:p>
    <w:p>
      <w:pPr>
        <w:pStyle w:val="ListNumber"/>
      </w:pPr>
      <w:r>
        <w:t>Generate multiple hypotheses, including boring or institutional explanations.</w:t>
      </w:r>
    </w:p>
    <w:p>
      <w:pPr>
        <w:pStyle w:val="ListNumber"/>
      </w:pPr>
      <w:r>
        <w:t>Attach evidence for, evidence against, unknowns, confidence, and disconfirmation tests.</w:t>
      </w:r>
    </w:p>
    <w:p>
      <w:pPr>
        <w:pStyle w:val="ListNumber"/>
      </w:pPr>
      <w:r>
        <w:t>Map Earth events to colony relevance: supply, trust, migration, risk, morale, governance, or strategic dependence.</w:t>
      </w:r>
    </w:p>
    <w:p>
      <w:pPr>
        <w:pStyle w:val="ListNumber"/>
      </w:pPr>
      <w:r>
        <w:t>Review later against subsequent evidence and outcomes.</w:t>
      </w:r>
    </w:p>
    <w:tbl>
      <w:tblPr>
        <w:tblW w:type="auto" w:w="0"/>
        <w:jc w:val="center"/>
        <w:tblLook w:firstColumn="1" w:firstRow="1" w:lastColumn="0" w:lastRow="0" w:noHBand="0" w:noVBand="1" w:val="04A0"/>
      </w:tblPr>
      <w:tblGrid>
        <w:gridCol w:w="9648"/>
      </w:tblGrid>
      <w:tr>
        <w:tc>
          <w:tcPr>
            <w:tcW w:type="dxa" w:w="9648"/>
            <w:shd w:fill="F2F6FA"/>
            <w:tcMar>
              <w:top w:w="120" w:type="dxa"/>
              <w:start w:w="150" w:type="dxa"/>
              <w:bottom w:w="120" w:type="dxa"/>
              <w:end w:w="150" w:type="dxa"/>
            </w:tcMar>
          </w:tcPr>
          <w:p>
            <w:pPr>
              <w:pStyle w:val="Callout"/>
            </w:pPr>
            <w:r>
              <w:rPr>
                <w:b/>
                <w:color w:val="1F4E79"/>
              </w:rPr>
              <w:t xml:space="preserve">Safeguard: </w:t>
            </w:r>
            <w:r>
              <w:rPr>
                <w:color w:val="222222"/>
              </w:rPr>
              <w:t>The system must never present a single mandatory interpretation of a contested event. It must expose confidence, missing data, source provenance, and at least one plausible competing explanation where warranted.</w:t>
            </w:r>
          </w:p>
        </w:tc>
      </w:tr>
    </w:tbl>
    <w:p/>
    <w:p>
      <w:pPr>
        <w:pStyle w:val="Heading1"/>
      </w:pPr>
      <w:r>
        <w:t>8. Core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fill="D9EAF7"/>
            <w:tcMar>
              <w:top w:w="90" w:type="dxa"/>
              <w:start w:w="100" w:type="dxa"/>
              <w:bottom w:w="90" w:type="dxa"/>
              <w:end w:w="100" w:type="dxa"/>
            </w:tcMar>
            <w:vAlign w:val="center"/>
          </w:tcPr>
          <w:p>
            <w:r>
              <w:rPr>
                <w:b/>
                <w:color w:val="1F4E79"/>
              </w:rPr>
              <w:t>Service</w:t>
            </w:r>
          </w:p>
        </w:tc>
        <w:tc>
          <w:tcPr>
            <w:tcW w:type="dxa" w:w="6912"/>
            <w:shd w:fill="D9EAF7"/>
            <w:tcMar>
              <w:top w:w="90" w:type="dxa"/>
              <w:start w:w="100" w:type="dxa"/>
              <w:bottom w:w="90" w:type="dxa"/>
              <w:end w:w="100" w:type="dxa"/>
            </w:tcMar>
            <w:vAlign w:val="center"/>
          </w:tcPr>
          <w:p>
            <w:r>
              <w:rPr>
                <w:b/>
                <w:color w:val="1F4E79"/>
              </w:rPr>
              <w:t>Role</w:t>
            </w:r>
          </w:p>
        </w:tc>
      </w:tr>
      <w:tr>
        <w:tc>
          <w:tcPr>
            <w:tcW w:type="dxa" w:w="3168"/>
            <w:tcMar>
              <w:top w:w="80" w:type="dxa"/>
              <w:start w:w="100" w:type="dxa"/>
              <w:bottom w:w="80" w:type="dxa"/>
              <w:end w:w="100" w:type="dxa"/>
            </w:tcMar>
            <w:vAlign w:val="center"/>
          </w:tcPr>
          <w:p>
            <w:r>
              <w:t>Canon Keeper</w:t>
            </w:r>
          </w:p>
        </w:tc>
        <w:tc>
          <w:tcPr>
            <w:tcW w:type="dxa" w:w="6912"/>
            <w:tcMar>
              <w:top w:w="80" w:type="dxa"/>
              <w:start w:w="100" w:type="dxa"/>
              <w:bottom w:w="80" w:type="dxa"/>
              <w:end w:w="100" w:type="dxa"/>
            </w:tcMar>
            <w:vAlign w:val="center"/>
          </w:tcPr>
          <w:p>
            <w:r>
              <w:t>Maintains hard canon, soft canon, elastic canon, and contradiction rules.</w:t>
            </w:r>
          </w:p>
        </w:tc>
      </w:tr>
      <w:tr>
        <w:tc>
          <w:tcPr>
            <w:tcW w:type="dxa" w:w="3168"/>
            <w:tcMar>
              <w:top w:w="80" w:type="dxa"/>
              <w:start w:w="100" w:type="dxa"/>
              <w:bottom w:w="80" w:type="dxa"/>
              <w:end w:w="100" w:type="dxa"/>
            </w:tcMar>
            <w:vAlign w:val="center"/>
          </w:tcPr>
          <w:p>
            <w:r>
              <w:t>Simulation Engine</w:t>
            </w:r>
          </w:p>
        </w:tc>
        <w:tc>
          <w:tcPr>
            <w:tcW w:type="dxa" w:w="6912"/>
            <w:tcMar>
              <w:top w:w="80" w:type="dxa"/>
              <w:start w:w="100" w:type="dxa"/>
              <w:bottom w:w="80" w:type="dxa"/>
              <w:end w:w="100" w:type="dxa"/>
            </w:tcMar>
            <w:vAlign w:val="center"/>
          </w:tcPr>
          <w:p>
            <w:r>
              <w:t>Tracks resources, maintenance, labor, resilience, and failure cascades.</w:t>
            </w:r>
          </w:p>
        </w:tc>
      </w:tr>
      <w:tr>
        <w:tc>
          <w:tcPr>
            <w:tcW w:type="dxa" w:w="3168"/>
            <w:tcMar>
              <w:top w:w="80" w:type="dxa"/>
              <w:start w:w="100" w:type="dxa"/>
              <w:bottom w:w="80" w:type="dxa"/>
              <w:end w:w="100" w:type="dxa"/>
            </w:tcMar>
            <w:vAlign w:val="center"/>
          </w:tcPr>
          <w:p>
            <w:r>
              <w:t>NPC Mind Layer</w:t>
            </w:r>
          </w:p>
        </w:tc>
        <w:tc>
          <w:tcPr>
            <w:tcW w:type="dxa" w:w="6912"/>
            <w:tcMar>
              <w:top w:w="80" w:type="dxa"/>
              <w:start w:w="100" w:type="dxa"/>
              <w:bottom w:w="80" w:type="dxa"/>
              <w:end w:w="100" w:type="dxa"/>
            </w:tcMar>
            <w:vAlign w:val="center"/>
          </w:tcPr>
          <w:p>
            <w:r>
              <w:t>Maintains memory, bounded beliefs, loyalties, fears, and social ties.</w:t>
            </w:r>
          </w:p>
        </w:tc>
      </w:tr>
      <w:tr>
        <w:tc>
          <w:tcPr>
            <w:tcW w:type="dxa" w:w="3168"/>
            <w:tcMar>
              <w:top w:w="80" w:type="dxa"/>
              <w:start w:w="100" w:type="dxa"/>
              <w:bottom w:w="80" w:type="dxa"/>
              <w:end w:w="100" w:type="dxa"/>
            </w:tcMar>
            <w:vAlign w:val="center"/>
          </w:tcPr>
          <w:p>
            <w:r>
              <w:t>Mission Gardeners</w:t>
            </w:r>
          </w:p>
        </w:tc>
        <w:tc>
          <w:tcPr>
            <w:tcW w:type="dxa" w:w="6912"/>
            <w:tcMar>
              <w:top w:w="80" w:type="dxa"/>
              <w:start w:w="100" w:type="dxa"/>
              <w:bottom w:w="80" w:type="dxa"/>
              <w:end w:w="100" w:type="dxa"/>
            </w:tcMar>
            <w:vAlign w:val="center"/>
          </w:tcPr>
          <w:p>
            <w:r>
              <w:t>Generate tasks and quests from real conditions and player history.</w:t>
            </w:r>
          </w:p>
        </w:tc>
      </w:tr>
      <w:tr>
        <w:tc>
          <w:tcPr>
            <w:tcW w:type="dxa" w:w="3168"/>
            <w:tcMar>
              <w:top w:w="80" w:type="dxa"/>
              <w:start w:w="100" w:type="dxa"/>
              <w:bottom w:w="80" w:type="dxa"/>
              <w:end w:w="100" w:type="dxa"/>
            </w:tcMar>
            <w:vAlign w:val="center"/>
          </w:tcPr>
          <w:p>
            <w:r>
              <w:t>Hypothesis Engine</w:t>
            </w:r>
          </w:p>
        </w:tc>
        <w:tc>
          <w:tcPr>
            <w:tcW w:type="dxa" w:w="6912"/>
            <w:tcMar>
              <w:top w:w="80" w:type="dxa"/>
              <w:start w:w="100" w:type="dxa"/>
              <w:bottom w:w="80" w:type="dxa"/>
              <w:end w:w="100" w:type="dxa"/>
            </w:tcMar>
            <w:vAlign w:val="center"/>
          </w:tcPr>
          <w:p>
            <w:r>
              <w:t>Produces structured rival explanations with tests and confidence.</w:t>
            </w:r>
          </w:p>
        </w:tc>
      </w:tr>
      <w:tr>
        <w:tc>
          <w:tcPr>
            <w:tcW w:type="dxa" w:w="3168"/>
            <w:tcMar>
              <w:top w:w="80" w:type="dxa"/>
              <w:start w:w="100" w:type="dxa"/>
              <w:bottom w:w="80" w:type="dxa"/>
              <w:end w:w="100" w:type="dxa"/>
            </w:tcMar>
            <w:vAlign w:val="center"/>
          </w:tcPr>
          <w:p>
            <w:r>
              <w:t>Debrief Engine</w:t>
            </w:r>
          </w:p>
        </w:tc>
        <w:tc>
          <w:tcPr>
            <w:tcW w:type="dxa" w:w="6912"/>
            <w:tcMar>
              <w:top w:w="80" w:type="dxa"/>
              <w:start w:w="100" w:type="dxa"/>
              <w:bottom w:w="80" w:type="dxa"/>
              <w:end w:w="100" w:type="dxa"/>
            </w:tcMar>
            <w:vAlign w:val="center"/>
          </w:tcPr>
          <w:p>
            <w:r>
              <w:t>Explains manipulation, incentives, rhetoric, and counterfactuals.</w:t>
            </w:r>
          </w:p>
        </w:tc>
      </w:tr>
      <w:tr>
        <w:tc>
          <w:tcPr>
            <w:tcW w:type="dxa" w:w="3168"/>
            <w:tcMar>
              <w:top w:w="80" w:type="dxa"/>
              <w:start w:w="100" w:type="dxa"/>
              <w:bottom w:w="80" w:type="dxa"/>
              <w:end w:w="100" w:type="dxa"/>
            </w:tcMar>
            <w:vAlign w:val="center"/>
          </w:tcPr>
          <w:p>
            <w:r>
              <w:t>Audit Archive</w:t>
            </w:r>
          </w:p>
        </w:tc>
        <w:tc>
          <w:tcPr>
            <w:tcW w:type="dxa" w:w="6912"/>
            <w:tcMar>
              <w:top w:w="80" w:type="dxa"/>
              <w:start w:w="100" w:type="dxa"/>
              <w:bottom w:w="80" w:type="dxa"/>
              <w:end w:w="100" w:type="dxa"/>
            </w:tcMar>
            <w:vAlign w:val="center"/>
          </w:tcPr>
          <w:p>
            <w:r>
              <w:t>Stores claims, revisions, forecasts, and calibration history.</w:t>
            </w:r>
          </w:p>
        </w:tc>
      </w:tr>
      <w:tr>
        <w:tc>
          <w:tcPr>
            <w:tcW w:type="dxa" w:w="3168"/>
            <w:tcMar>
              <w:top w:w="80" w:type="dxa"/>
              <w:start w:w="100" w:type="dxa"/>
              <w:bottom w:w="80" w:type="dxa"/>
              <w:end w:w="100" w:type="dxa"/>
            </w:tcMar>
            <w:vAlign w:val="center"/>
          </w:tcPr>
          <w:p>
            <w:r>
              <w:t>Celestial &amp; Environmental Engine</w:t>
            </w:r>
          </w:p>
        </w:tc>
        <w:tc>
          <w:tcPr>
            <w:tcW w:type="dxa" w:w="6912"/>
            <w:tcMar>
              <w:top w:w="80" w:type="dxa"/>
              <w:start w:w="100" w:type="dxa"/>
              <w:bottom w:w="80" w:type="dxa"/>
              <w:end w:w="100" w:type="dxa"/>
            </w:tcMar>
            <w:vAlign w:val="center"/>
          </w:tcPr>
          <w:p>
            <w:r>
              <w:t>Provides live or replayed physical context and consequences.</w:t>
            </w:r>
          </w:p>
        </w:tc>
      </w:tr>
    </w:tbl>
    <w:p/>
    <w:p>
      <w:pPr>
        <w:pStyle w:val="Heading1"/>
      </w:pPr>
      <w:r>
        <w:t>9. Player modes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fill="D9EAF7"/>
            <w:tcMar>
              <w:top w:w="80" w:type="dxa"/>
              <w:start w:w="110" w:type="dxa"/>
              <w:bottom w:w="80" w:type="dxa"/>
              <w:end w:w="110" w:type="dxa"/>
            </w:tcMar>
            <w:vAlign w:val="center"/>
          </w:tcPr>
          <w:p>
            <w:r>
              <w:rPr>
                <w:b/>
                <w:color w:val="1F4E79"/>
              </w:rPr>
              <w:t>Item</w:t>
            </w:r>
          </w:p>
        </w:tc>
        <w:tc>
          <w:tcPr>
            <w:tcW w:type="dxa" w:w="6912"/>
            <w:shd w:fill="D9EAF7"/>
            <w:tcMar>
              <w:top w:w="80" w:type="dxa"/>
              <w:start w:w="110" w:type="dxa"/>
              <w:bottom w:w="80" w:type="dxa"/>
              <w:end w:w="110" w:type="dxa"/>
            </w:tcMar>
            <w:vAlign w:val="center"/>
          </w:tcPr>
          <w:p>
            <w:r>
              <w:rPr>
                <w:b/>
                <w:color w:val="1F4E79"/>
              </w:rPr>
              <w:t>Detail</w:t>
            </w:r>
          </w:p>
        </w:tc>
      </w:tr>
      <w:tr>
        <w:tc>
          <w:tcPr>
            <w:tcW w:type="dxa" w:w="3168"/>
            <w:tcMar>
              <w:top w:w="80" w:type="dxa"/>
              <w:start w:w="110" w:type="dxa"/>
              <w:bottom w:w="80" w:type="dxa"/>
              <w:end w:w="110" w:type="dxa"/>
            </w:tcMar>
            <w:vAlign w:val="center"/>
          </w:tcPr>
          <w:p>
            <w:r>
              <w:t>Immersive mode</w:t>
            </w:r>
          </w:p>
        </w:tc>
        <w:tc>
          <w:tcPr>
            <w:tcW w:type="dxa" w:w="6912"/>
            <w:tcMar>
              <w:top w:w="80" w:type="dxa"/>
              <w:start w:w="110" w:type="dxa"/>
              <w:bottom w:w="80" w:type="dxa"/>
              <w:end w:w="110" w:type="dxa"/>
            </w:tcMar>
            <w:vAlign w:val="center"/>
          </w:tcPr>
          <w:p>
            <w:r>
              <w:t>Minimal interruption, living the world directly through tasks, relationships, movement, and consequence.</w:t>
            </w:r>
          </w:p>
        </w:tc>
      </w:tr>
      <w:tr>
        <w:tc>
          <w:tcPr>
            <w:tcW w:type="dxa" w:w="3168"/>
            <w:tcMar>
              <w:top w:w="80" w:type="dxa"/>
              <w:start w:w="110" w:type="dxa"/>
              <w:bottom w:w="80" w:type="dxa"/>
              <w:end w:w="110" w:type="dxa"/>
            </w:tcMar>
            <w:vAlign w:val="center"/>
          </w:tcPr>
          <w:p>
            <w:r>
              <w:t>Observatory mode</w:t>
            </w:r>
          </w:p>
        </w:tc>
        <w:tc>
          <w:tcPr>
            <w:tcW w:type="dxa" w:w="6912"/>
            <w:tcMar>
              <w:top w:w="80" w:type="dxa"/>
              <w:start w:w="110" w:type="dxa"/>
              <w:bottom w:w="80" w:type="dxa"/>
              <w:end w:w="110" w:type="dxa"/>
            </w:tcMar>
            <w:vAlign w:val="center"/>
          </w:tcPr>
          <w:p>
            <w:r>
              <w:t>Inspect hypotheses, evidence graphs, incentive structures, omitted variables, and physical-state overlays.</w:t>
            </w:r>
          </w:p>
        </w:tc>
      </w:tr>
      <w:tr>
        <w:tc>
          <w:tcPr>
            <w:tcW w:type="dxa" w:w="3168"/>
            <w:tcMar>
              <w:top w:w="80" w:type="dxa"/>
              <w:start w:w="110" w:type="dxa"/>
              <w:bottom w:w="80" w:type="dxa"/>
              <w:end w:w="110" w:type="dxa"/>
            </w:tcMar>
            <w:vAlign w:val="center"/>
          </w:tcPr>
          <w:p>
            <w:r>
              <w:t>Retrospective mode</w:t>
            </w:r>
          </w:p>
        </w:tc>
        <w:tc>
          <w:tcPr>
            <w:tcW w:type="dxa" w:w="6912"/>
            <w:tcMar>
              <w:top w:w="80" w:type="dxa"/>
              <w:start w:w="110" w:type="dxa"/>
              <w:bottom w:w="80" w:type="dxa"/>
              <w:end w:w="110" w:type="dxa"/>
            </w:tcMar>
            <w:vAlign w:val="center"/>
          </w:tcPr>
          <w:p>
            <w:r>
              <w:t>Review what happened, what was predicted, which analyses failed, and how manipulation or uncertainty operated.</w:t>
            </w:r>
          </w:p>
        </w:tc>
      </w:tr>
    </w:tbl>
    <w:p/>
    <w:p>
      <w:pPr>
        <w:pStyle w:val="Heading1"/>
      </w:pPr>
      <w:r>
        <w:t>10. Distributed compute architecture</w:t>
      </w:r>
    </w:p>
    <w:p>
      <w:r>
        <w:t>Volunteer computation should power world dreaming and background analysis, not the authoritative live moment. The architecture therefore separates candidate generation, verification, and trusted publication.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fill="D9EAF7"/>
            <w:tcMar>
              <w:top w:w="90" w:type="dxa"/>
              <w:start w:w="100" w:type="dxa"/>
              <w:bottom w:w="90" w:type="dxa"/>
              <w:end w:w="100" w:type="dxa"/>
            </w:tcMar>
            <w:vAlign w:val="center"/>
          </w:tcPr>
          <w:p>
            <w:r>
              <w:rPr>
                <w:b/>
                <w:color w:val="1F4E79"/>
              </w:rPr>
              <w:t>Node class</w:t>
            </w:r>
          </w:p>
        </w:tc>
        <w:tc>
          <w:tcPr>
            <w:tcW w:type="dxa" w:w="7488"/>
            <w:shd w:fill="D9EAF7"/>
            <w:tcMar>
              <w:top w:w="90" w:type="dxa"/>
              <w:start w:w="100" w:type="dxa"/>
              <w:bottom w:w="90" w:type="dxa"/>
              <w:end w:w="100" w:type="dxa"/>
            </w:tcMar>
            <w:vAlign w:val="center"/>
          </w:tcPr>
          <w:p>
            <w:r>
              <w:rPr>
                <w:b/>
                <w:color w:val="1F4E79"/>
              </w:rPr>
              <w:t>Typical work</w:t>
            </w:r>
          </w:p>
        </w:tc>
      </w:tr>
      <w:tr>
        <w:tc>
          <w:tcPr>
            <w:tcW w:type="dxa" w:w="2592"/>
            <w:tcMar>
              <w:top w:w="80" w:type="dxa"/>
              <w:start w:w="100" w:type="dxa"/>
              <w:bottom w:w="80" w:type="dxa"/>
              <w:end w:w="100" w:type="dxa"/>
            </w:tcMar>
            <w:vAlign w:val="center"/>
          </w:tcPr>
          <w:p>
            <w:r>
              <w:t>Volunteer nodes</w:t>
            </w:r>
          </w:p>
        </w:tc>
        <w:tc>
          <w:tcPr>
            <w:tcW w:type="dxa" w:w="7488"/>
            <w:tcMar>
              <w:top w:w="80" w:type="dxa"/>
              <w:start w:w="100" w:type="dxa"/>
              <w:bottom w:w="80" w:type="dxa"/>
              <w:end w:w="100" w:type="dxa"/>
            </w:tcMar>
            <w:vAlign w:val="center"/>
          </w:tcPr>
          <w:p>
            <w:r>
              <w:t>Quest candidates, dialogue branches, map synthesis, scenario sweeps, claim extraction, hypothesis generation, NPC memory updates, retrospective rescoring.</w:t>
            </w:r>
          </w:p>
        </w:tc>
      </w:tr>
      <w:tr>
        <w:tc>
          <w:tcPr>
            <w:tcW w:type="dxa" w:w="2592"/>
            <w:tcMar>
              <w:top w:w="80" w:type="dxa"/>
              <w:start w:w="100" w:type="dxa"/>
              <w:bottom w:w="80" w:type="dxa"/>
              <w:end w:w="100" w:type="dxa"/>
            </w:tcMar>
            <w:vAlign w:val="center"/>
          </w:tcPr>
          <w:p>
            <w:r>
              <w:t>Verification nodes</w:t>
            </w:r>
          </w:p>
        </w:tc>
        <w:tc>
          <w:tcPr>
            <w:tcW w:type="dxa" w:w="7488"/>
            <w:tcMar>
              <w:top w:w="80" w:type="dxa"/>
              <w:start w:w="100" w:type="dxa"/>
              <w:bottom w:w="80" w:type="dxa"/>
              <w:end w:w="100" w:type="dxa"/>
            </w:tcMar>
            <w:vAlign w:val="center"/>
          </w:tcPr>
          <w:p>
            <w:r>
              <w:t>Redundancy checks, contradiction detection, canon compliance, provenance validation, ranking, anti-poisoning checks.</w:t>
            </w:r>
          </w:p>
        </w:tc>
      </w:tr>
      <w:tr>
        <w:tc>
          <w:tcPr>
            <w:tcW w:type="dxa" w:w="2592"/>
            <w:tcMar>
              <w:top w:w="80" w:type="dxa"/>
              <w:start w:w="100" w:type="dxa"/>
              <w:bottom w:w="80" w:type="dxa"/>
              <w:end w:w="100" w:type="dxa"/>
            </w:tcMar>
            <w:vAlign w:val="center"/>
          </w:tcPr>
          <w:p>
            <w:r>
              <w:t>Trusted authority</w:t>
            </w:r>
          </w:p>
        </w:tc>
        <w:tc>
          <w:tcPr>
            <w:tcW w:type="dxa" w:w="7488"/>
            <w:tcMar>
              <w:top w:w="80" w:type="dxa"/>
              <w:start w:w="100" w:type="dxa"/>
              <w:bottom w:w="80" w:type="dxa"/>
              <w:end w:w="100" w:type="dxa"/>
            </w:tcMar>
            <w:vAlign w:val="center"/>
          </w:tcPr>
          <w:p>
            <w:r>
              <w:t>Persistent state, moderation, live shard control, constitutional enforcement, final publication and serving.</w:t>
            </w:r>
          </w:p>
        </w:tc>
      </w:tr>
    </w:tbl>
    <w:p/>
    <w:p>
      <w:pPr>
        <w:pStyle w:val="Heading1"/>
      </w:pPr>
      <w:r>
        <w:t>11. Trust, safety, and anti-capture measures</w:t>
      </w:r>
    </w:p>
    <w:p>
      <w:pPr>
        <w:pStyle w:val="ListBullet"/>
      </w:pPr>
      <w:r>
        <w:t>Signed work units and provenance tracking</w:t>
      </w:r>
    </w:p>
    <w:p>
      <w:pPr>
        <w:pStyle w:val="ListBullet"/>
      </w:pPr>
      <w:r>
        <w:t>Quorum validation for externally generated outputs</w:t>
      </w:r>
    </w:p>
    <w:p>
      <w:pPr>
        <w:pStyle w:val="ListBullet"/>
      </w:pPr>
      <w:r>
        <w:t>Source allow-lists for real-world signal intake</w:t>
      </w:r>
    </w:p>
    <w:p>
      <w:pPr>
        <w:pStyle w:val="ListBullet"/>
      </w:pPr>
      <w:r>
        <w:t>Explicit player access to reasoning traces, confidence, and revision history</w:t>
      </w:r>
    </w:p>
    <w:p>
      <w:pPr>
        <w:pStyle w:val="ListBullet"/>
      </w:pPr>
      <w:r>
        <w:t>No hidden persuasion optimization</w:t>
      </w:r>
    </w:p>
    <w:p>
      <w:pPr>
        <w:pStyle w:val="ListBullet"/>
      </w:pPr>
      <w:r>
        <w:t>Human override for constitutional breaches or harmful drift</w:t>
      </w:r>
    </w:p>
    <w:p>
      <w:pPr>
        <w:pStyle w:val="Heading1"/>
      </w:pPr>
      <w:r>
        <w:t>12. Data model essentials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fill="D9EAF7"/>
            <w:tcMar>
              <w:top w:w="90" w:type="dxa"/>
              <w:start w:w="100" w:type="dxa"/>
              <w:bottom w:w="90" w:type="dxa"/>
              <w:end w:w="100" w:type="dxa"/>
            </w:tcMar>
            <w:vAlign w:val="center"/>
          </w:tcPr>
          <w:p>
            <w:r>
              <w:rPr>
                <w:b/>
                <w:color w:val="1F4E79"/>
              </w:rPr>
              <w:t>Entity</w:t>
            </w:r>
          </w:p>
        </w:tc>
        <w:tc>
          <w:tcPr>
            <w:tcW w:type="dxa" w:w="7488"/>
            <w:shd w:fill="D9EAF7"/>
            <w:tcMar>
              <w:top w:w="90" w:type="dxa"/>
              <w:start w:w="100" w:type="dxa"/>
              <w:bottom w:w="90" w:type="dxa"/>
              <w:end w:w="100" w:type="dxa"/>
            </w:tcMar>
            <w:vAlign w:val="center"/>
          </w:tcPr>
          <w:p>
            <w:r>
              <w:rPr>
                <w:b/>
                <w:color w:val="1F4E79"/>
              </w:rPr>
              <w:t>Minimum fields</w:t>
            </w:r>
          </w:p>
        </w:tc>
      </w:tr>
      <w:tr>
        <w:tc>
          <w:tcPr>
            <w:tcW w:type="dxa" w:w="2592"/>
            <w:tcMar>
              <w:top w:w="80" w:type="dxa"/>
              <w:start w:w="100" w:type="dxa"/>
              <w:bottom w:w="80" w:type="dxa"/>
              <w:end w:w="100" w:type="dxa"/>
            </w:tcMar>
            <w:vAlign w:val="center"/>
          </w:tcPr>
          <w:p>
            <w:r>
              <w:t>Hypothesis card</w:t>
            </w:r>
          </w:p>
        </w:tc>
        <w:tc>
          <w:tcPr>
            <w:tcW w:type="dxa" w:w="7488"/>
            <w:tcMar>
              <w:top w:w="80" w:type="dxa"/>
              <w:start w:w="100" w:type="dxa"/>
              <w:bottom w:w="80" w:type="dxa"/>
              <w:end w:w="100" w:type="dxa"/>
            </w:tcMar>
            <w:vAlign w:val="center"/>
          </w:tcPr>
          <w:p>
            <w:r>
              <w:t>Claim, type, evidence for, evidence against, alternatives, confidence, disconfirmation criteria, review date, later outcome</w:t>
            </w:r>
          </w:p>
        </w:tc>
      </w:tr>
      <w:tr>
        <w:tc>
          <w:tcPr>
            <w:tcW w:type="dxa" w:w="2592"/>
            <w:tcMar>
              <w:top w:w="80" w:type="dxa"/>
              <w:start w:w="100" w:type="dxa"/>
              <w:bottom w:w="80" w:type="dxa"/>
              <w:end w:w="100" w:type="dxa"/>
            </w:tcMar>
            <w:vAlign w:val="center"/>
          </w:tcPr>
          <w:p>
            <w:r>
              <w:t>Site pack</w:t>
            </w:r>
          </w:p>
        </w:tc>
        <w:tc>
          <w:tcPr>
            <w:tcW w:type="dxa" w:w="7488"/>
            <w:tcMar>
              <w:top w:w="80" w:type="dxa"/>
              <w:start w:w="100" w:type="dxa"/>
              <w:bottom w:w="80" w:type="dxa"/>
              <w:end w:w="100" w:type="dxa"/>
            </w:tcMar>
            <w:vAlign w:val="center"/>
          </w:tcPr>
          <w:p>
            <w:r>
              <w:t>Coordinates, bounds, terrain mesh or DEM references, hazard map, observation ledger pointer, scenario assumptions, revision history</w:t>
            </w:r>
          </w:p>
        </w:tc>
      </w:tr>
      <w:tr>
        <w:tc>
          <w:tcPr>
            <w:tcW w:type="dxa" w:w="2592"/>
            <w:tcMar>
              <w:top w:w="80" w:type="dxa"/>
              <w:start w:w="100" w:type="dxa"/>
              <w:bottom w:w="80" w:type="dxa"/>
              <w:end w:w="100" w:type="dxa"/>
            </w:tcMar>
            <w:vAlign w:val="center"/>
          </w:tcPr>
          <w:p>
            <w:r>
              <w:t>NPC state</w:t>
            </w:r>
          </w:p>
        </w:tc>
        <w:tc>
          <w:tcPr>
            <w:tcW w:type="dxa" w:w="7488"/>
            <w:tcMar>
              <w:top w:w="80" w:type="dxa"/>
              <w:start w:w="100" w:type="dxa"/>
              <w:bottom w:w="80" w:type="dxa"/>
              <w:end w:w="100" w:type="dxa"/>
            </w:tcMar>
            <w:vAlign w:val="center"/>
          </w:tcPr>
          <w:p>
            <w:r>
              <w:t>Memory shards, relationship graph, bounded beliefs, role, stress, trust, goals, recent events</w:t>
            </w:r>
          </w:p>
        </w:tc>
      </w:tr>
      <w:tr>
        <w:tc>
          <w:tcPr>
            <w:tcW w:type="dxa" w:w="2592"/>
            <w:tcMar>
              <w:top w:w="80" w:type="dxa"/>
              <w:start w:w="100" w:type="dxa"/>
              <w:bottom w:w="80" w:type="dxa"/>
              <w:end w:w="100" w:type="dxa"/>
            </w:tcMar>
            <w:vAlign w:val="center"/>
          </w:tcPr>
          <w:p>
            <w:r>
              <w:t>Policy object</w:t>
            </w:r>
          </w:p>
        </w:tc>
        <w:tc>
          <w:tcPr>
            <w:tcW w:type="dxa" w:w="7488"/>
            <w:tcMar>
              <w:top w:w="80" w:type="dxa"/>
              <w:start w:w="100" w:type="dxa"/>
              <w:bottom w:w="80" w:type="dxa"/>
              <w:end w:w="100" w:type="dxa"/>
            </w:tcMar>
            <w:vAlign w:val="center"/>
          </w:tcPr>
          <w:p>
            <w:r>
              <w:t>Stated rationale, hidden incentive flags, predicted effects, indicators, review trigger, reversibility score</w:t>
            </w:r>
          </w:p>
        </w:tc>
      </w:tr>
      <w:tr>
        <w:tc>
          <w:tcPr>
            <w:tcW w:type="dxa" w:w="2592"/>
            <w:tcMar>
              <w:top w:w="80" w:type="dxa"/>
              <w:start w:w="100" w:type="dxa"/>
              <w:bottom w:w="80" w:type="dxa"/>
              <w:end w:w="100" w:type="dxa"/>
            </w:tcMar>
            <w:vAlign w:val="center"/>
          </w:tcPr>
          <w:p>
            <w:r>
              <w:t>Signal event</w:t>
            </w:r>
          </w:p>
        </w:tc>
        <w:tc>
          <w:tcPr>
            <w:tcW w:type="dxa" w:w="7488"/>
            <w:tcMar>
              <w:top w:w="80" w:type="dxa"/>
              <w:start w:w="100" w:type="dxa"/>
              <w:bottom w:w="80" w:type="dxa"/>
              <w:end w:w="100" w:type="dxa"/>
            </w:tcMar>
            <w:vAlign w:val="center"/>
          </w:tcPr>
          <w:p>
            <w:r>
              <w:t>Source chain, atomic claims, cluster membership, hypothesis set, colony relevance score, later resolution</w:t>
            </w:r>
          </w:p>
        </w:tc>
      </w:tr>
    </w:tbl>
    <w:p/>
    <w:p>
      <w:pPr>
        <w:pStyle w:val="Heading1"/>
      </w:pPr>
      <w:r>
        <w:t>13. MVP</w:t>
      </w:r>
    </w:p>
    <w:p>
      <w:r>
        <w:t>A credible first release should prove coherence, not scope. Start with one habitat, one selected physical site or orbit case, a few hundred simulated inhabitants, a narrow Earth Signal Desk, and one polished observatory workflow.</w:t>
      </w:r>
    </w:p>
    <w:p>
      <w:pPr>
        <w:pStyle w:val="ListBullet"/>
      </w:pPr>
      <w:r>
        <w:t>One habitat or settlement with 200–500 simulated colonists</w:t>
      </w:r>
    </w:p>
    <w:p>
      <w:pPr>
        <w:pStyle w:val="ListBullet"/>
      </w:pPr>
      <w:r>
        <w:t>Core systems: air, food, power, labor, maintenance, morale, trust</w:t>
      </w:r>
    </w:p>
    <w:p>
      <w:pPr>
        <w:pStyle w:val="ListBullet"/>
      </w:pPr>
      <w:r>
        <w:t>Three or four factions with persistent memory and governance tension</w:t>
      </w:r>
    </w:p>
    <w:p>
      <w:pPr>
        <w:pStyle w:val="ListBullet"/>
      </w:pPr>
      <w:r>
        <w:t>One versioned site pack with visible uncertainty map</w:t>
      </w:r>
    </w:p>
    <w:p>
      <w:pPr>
        <w:pStyle w:val="ListBullet"/>
      </w:pPr>
      <w:r>
        <w:t>One observatory console and one retrospective debrief interface</w:t>
      </w:r>
    </w:p>
    <w:p>
      <w:pPr>
        <w:pStyle w:val="ListBullet"/>
      </w:pPr>
      <w:r>
        <w:t>A small set of vetted external feeds and one physical data feed bundle</w:t>
      </w:r>
    </w:p>
    <w:p>
      <w:pPr>
        <w:pStyle w:val="ListBullet"/>
      </w:pPr>
      <w:r>
        <w:t>Daily world update and weekly retrospective scorekeeping</w:t>
      </w:r>
    </w:p>
    <w:p>
      <w:pPr>
        <w:pStyle w:val="Heading1"/>
      </w:pPr>
      <w:r>
        <w:t>14. Naming note</w:t>
      </w:r>
    </w:p>
    <w:p>
      <w:r>
        <w:t>FOCUS works well as a project codename and internal constitutional motif. For a public-facing title, “FOCUS: Earthlight” is strong because it is distinctive, thematically apt, and binds together literal observation, distant Earth signals, and reflective interpretation. “Observatory” is well suited as the analysis layer or subsystem name inside the wider platform.</w:t>
      </w:r>
    </w:p>
    <w:p>
      <w:pPr>
        <w:pStyle w:val="Heading1"/>
      </w:pPr>
      <w:r>
        <w:t>15. Success criteria</w:t>
      </w:r>
    </w:p>
    <w:p>
      <w:pPr>
        <w:pStyle w:val="ListBullet"/>
      </w:pPr>
      <w:r>
        <w:t>New content feels native to the world rather than random.</w:t>
      </w:r>
    </w:p>
    <w:p>
      <w:pPr>
        <w:pStyle w:val="ListBullet"/>
      </w:pPr>
      <w:r>
        <w:t>The physical site and sky feel specific and consequential.</w:t>
      </w:r>
    </w:p>
    <w:p>
      <w:pPr>
        <w:pStyle w:val="ListBullet"/>
      </w:pPr>
      <w:r>
        <w:t>Players can tell what the system knows, guesses, and revises.</w:t>
      </w:r>
    </w:p>
    <w:p>
      <w:pPr>
        <w:pStyle w:val="ListBullet"/>
      </w:pPr>
      <w:r>
        <w:t>Debriefs genuinely improve manipulation literacy and systems understanding.</w:t>
      </w:r>
    </w:p>
    <w:p>
      <w:pPr>
        <w:pStyle w:val="ListBullet"/>
      </w:pPr>
      <w:r>
        <w:t>Distributed compute reduces cost while preserving trust and coherence.</w:t>
      </w:r>
    </w:p>
    <w:p>
      <w:pPr>
        <w:pStyle w:val="ListBullet"/>
      </w:pPr>
      <w:r>
        <w:t>The world remains beautiful, legible, and emotionally compelling.</w:t>
      </w:r>
    </w:p>
    <w:p>
      <w:pPr>
        <w:pStyle w:val="Heading1"/>
      </w:pPr>
      <w:r>
        <w:t>16. Near-term workplan</w:t>
      </w:r>
    </w:p>
    <w:p>
      <w:pPr>
        <w:pStyle w:val="ListBullet"/>
      </w:pPr>
      <w:r>
        <w:t>Select the first colony setting and lock an initial site pack.</w:t>
      </w:r>
    </w:p>
    <w:p>
      <w:pPr>
        <w:pStyle w:val="ListBullet"/>
      </w:pPr>
      <w:r>
        <w:t>Draft the constitutional charter and hypothesis-card schema.</w:t>
      </w:r>
    </w:p>
    <w:p>
      <w:pPr>
        <w:pStyle w:val="ListBullet"/>
      </w:pPr>
      <w:r>
        <w:t>Prototype the observatory console, Earth Signal Desk, and debrief workflow.</w:t>
      </w:r>
    </w:p>
    <w:p>
      <w:pPr>
        <w:pStyle w:val="ListBullet"/>
      </w:pPr>
      <w:r>
        <w:t>Stand up a thin volunteer-job pipeline for background candidate generation.</w:t>
      </w:r>
    </w:p>
    <w:p>
      <w:pPr>
        <w:pStyle w:val="ListBullet"/>
      </w:pPr>
      <w:r>
        <w:t>Run a closed simulation with a narrow source set and one physical data bundle.</w:t>
      </w:r>
    </w:p>
    <w:p/>
    <w:p>
      <w:pPr>
        <w:jc w:val="center"/>
      </w:pPr>
      <w:r>
        <w:rPr>
          <w:i/>
          <w:color w:val="666666"/>
        </w:rPr>
        <w:t>End of compact specification</w:t>
      </w:r>
    </w:p>
    <w:sectPr w:rsidR="00FC693F" w:rsidRPr="0006063C" w:rsidSect="00034616">
      <w:headerReference w:type="default" r:id="rId9"/>
      <w:footerReference w:type="default" r:id="rId10"/>
      <w:pgSz w:w="12240" w:h="15840"/>
      <w:pgMar w:top="1152"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66666"/>
        <w:sz w:val="18"/>
      </w:rPr>
      <w:t>FOCUS: Earthlight — Design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ptos" w:hAnsi="Aptos" w:eastAsia="Aptos"/>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Aptos" w:hAnsi="Aptos" w:eastAsia="Aptos"/>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eastAsia="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80"/>
      <w:ind w:left="259" w:right="115"/>
    </w:pPr>
    <w:rPr>
      <w:rFonts w:ascii="Aptos" w:hAnsi="Aptos"/>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