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37"/>
      </w:tblGrid>
      <w:tr>
        <w:trPr>
          <w:trHeight w:val="2891"/>
        </w:trPr>
        <w:tc>
          <w:tcPr>
            <w:tcW w:type="dxa" w:w="7937"/>
            <w:vAlign w:val="center"/>
          </w:tcPr>
          <w:p>
            <w:pPr>
              <w:jc w:val="center"/>
            </w:pPr>
            <w:r/>
            <w:r>
              <w:rPr>
                <w:rFonts w:ascii="Times New Roman" w:hAnsi="Times New Roman" w:eastAsia="Times New Roman"/>
                <w:b/>
                <w:i w:val="0"/>
                <w:sz w:val="24"/>
              </w:rPr>
              <w:t>PERBANDINGAN LARGE LANGUAGE MODELS SEBAGAI REASONING ENGINE PADA AGENTIC CONVERSATIONAL SALES ASSISTANT: ANALISIS KINERJA AGEN DAN PURCHASE FUNNEL DALAM E-COMMERCE</w:t>
            </w:r>
          </w:p>
        </w:tc>
      </w:tr>
      <w:tr>
        <w:trPr>
          <w:trHeight w:val="5839"/>
        </w:trPr>
        <w:tc>
          <w:tcPr>
            <w:tcW w:type="dxa" w:w="7937"/>
            <w:vAlign w:val="center"/>
          </w:tcPr>
          <w:p>
            <w:pPr>
              <w:jc w:val="center"/>
            </w:pPr>
            <w:r/>
            <w:r>
              <w:drawing>
                <wp:inline xmlns:a="http://schemas.openxmlformats.org/drawingml/2006/main" xmlns:pic="http://schemas.openxmlformats.org/drawingml/2006/picture">
                  <wp:extent cx="1530000" cy="1530000"/>
                  <wp:docPr id="1" name="Picture 1"/>
                  <wp:cNvGraphicFramePr>
                    <a:graphicFrameLocks noChangeAspect="1"/>
                  </wp:cNvGraphicFramePr>
                  <a:graphic>
                    <a:graphicData uri="http://schemas.openxmlformats.org/drawingml/2006/picture">
                      <pic:pic>
                        <pic:nvPicPr>
                          <pic:cNvPr id="0" name="logo_ums.png"/>
                          <pic:cNvPicPr/>
                        </pic:nvPicPr>
                        <pic:blipFill>
                          <a:blip r:embed="rId10"/>
                          <a:stretch>
                            <a:fillRect/>
                          </a:stretch>
                        </pic:blipFill>
                        <pic:spPr>
                          <a:xfrm>
                            <a:off x="0" y="0"/>
                            <a:ext cx="1530000" cy="1530000"/>
                          </a:xfrm>
                          <a:prstGeom prst="rect"/>
                        </pic:spPr>
                      </pic:pic>
                    </a:graphicData>
                  </a:graphic>
                </wp:inline>
              </w:drawing>
            </w:r>
          </w:p>
          <w:p>
            <w:pPr>
              <w:spacing w:line="240" w:lineRule="auto" w:after="160"/>
              <w:jc w:val="center"/>
            </w:pPr>
            <w:r>
              <w:rPr>
                <w:rFonts w:ascii="Times New Roman" w:hAnsi="Times New Roman" w:eastAsia="Times New Roman"/>
                <w:b/>
                <w:i w:val="0"/>
                <w:sz w:val="24"/>
              </w:rPr>
              <w:t>PROPOSAL SKRIPSI</w:t>
            </w:r>
          </w:p>
          <w:p>
            <w:pPr>
              <w:spacing w:line="240" w:lineRule="auto" w:after="0"/>
              <w:jc w:val="center"/>
            </w:pPr>
            <w:r>
              <w:rPr>
                <w:rFonts w:ascii="Times New Roman" w:hAnsi="Times New Roman" w:eastAsia="Times New Roman"/>
                <w:b w:val="0"/>
                <w:i w:val="0"/>
                <w:sz w:val="24"/>
              </w:rPr>
              <w:t>Disusun sebagai salah satu syarat penyusunan Skripsi pada Program Studi</w:t>
            </w:r>
          </w:p>
          <w:p>
            <w:pPr>
              <w:spacing w:line="240" w:lineRule="auto" w:after="200"/>
              <w:jc w:val="center"/>
            </w:pPr>
            <w:r>
              <w:rPr>
                <w:rFonts w:ascii="Times New Roman" w:hAnsi="Times New Roman" w:eastAsia="Times New Roman"/>
                <w:b w:val="0"/>
                <w:i w:val="0"/>
                <w:sz w:val="24"/>
              </w:rPr>
              <w:t>Teknik Informatika Fakultas Komunikasi dan Informatika</w:t>
            </w:r>
          </w:p>
          <w:p>
            <w:pPr>
              <w:spacing w:line="240" w:lineRule="auto" w:after="60"/>
              <w:jc w:val="center"/>
            </w:pPr>
            <w:r>
              <w:rPr>
                <w:rFonts w:ascii="Times New Roman" w:hAnsi="Times New Roman" w:eastAsia="Times New Roman"/>
                <w:b/>
                <w:i w:val="0"/>
                <w:sz w:val="24"/>
              </w:rPr>
              <w:t>Oleh:</w:t>
            </w:r>
          </w:p>
          <w:p>
            <w:pPr>
              <w:spacing w:line="240" w:lineRule="auto" w:after="0"/>
              <w:jc w:val="center"/>
            </w:pPr>
            <w:r>
              <w:rPr>
                <w:rFonts w:ascii="Times New Roman" w:hAnsi="Times New Roman" w:eastAsia="Times New Roman"/>
                <w:b/>
                <w:i w:val="0"/>
                <w:sz w:val="24"/>
              </w:rPr>
              <w:t>MUHAMMAD SYAHID KUSASIH</w:t>
            </w:r>
          </w:p>
          <w:p>
            <w:pPr>
              <w:spacing w:line="240" w:lineRule="auto" w:after="0"/>
              <w:jc w:val="center"/>
            </w:pPr>
            <w:r>
              <w:rPr>
                <w:rFonts w:ascii="Times New Roman" w:hAnsi="Times New Roman" w:eastAsia="Times New Roman"/>
                <w:b/>
                <w:i w:val="0"/>
                <w:sz w:val="24"/>
              </w:rPr>
              <w:t>L200230272</w:t>
            </w:r>
          </w:p>
        </w:tc>
      </w:tr>
      <w:tr>
        <w:trPr>
          <w:trHeight w:val="4365"/>
        </w:trPr>
        <w:tc>
          <w:tcPr>
            <w:tcW w:type="dxa" w:w="7937"/>
            <w:vAlign w:val="center"/>
          </w:tcPr>
          <w:p>
            <w:pPr>
              <w:spacing w:line="240" w:lineRule="auto"/>
              <w:jc w:val="center"/>
            </w:pPr>
            <w:r/>
            <w:r>
              <w:rPr>
                <w:rFonts w:ascii="Times New Roman" w:hAnsi="Times New Roman" w:eastAsia="Times New Roman"/>
                <w:b/>
                <w:i w:val="0"/>
                <w:sz w:val="24"/>
              </w:rPr>
              <w:t>TEKNIK INFORMATIKA</w:t>
            </w:r>
          </w:p>
          <w:p>
            <w:pPr>
              <w:spacing w:line="240" w:lineRule="auto"/>
              <w:jc w:val="center"/>
            </w:pPr>
            <w:r>
              <w:rPr>
                <w:rFonts w:ascii="Times New Roman" w:hAnsi="Times New Roman" w:eastAsia="Times New Roman"/>
                <w:b/>
                <w:i w:val="0"/>
                <w:sz w:val="24"/>
              </w:rPr>
              <w:t>FAKULTAS KOMUNIKASI DAN INFORMATIKA</w:t>
            </w:r>
          </w:p>
          <w:p>
            <w:pPr>
              <w:spacing w:line="240" w:lineRule="auto"/>
              <w:jc w:val="center"/>
            </w:pPr>
            <w:r>
              <w:rPr>
                <w:rFonts w:ascii="Times New Roman" w:hAnsi="Times New Roman" w:eastAsia="Times New Roman"/>
                <w:b/>
                <w:i w:val="0"/>
                <w:sz w:val="24"/>
              </w:rPr>
              <w:t>UNIVERSITAS MUHAMMADIYAH SURAKARTA</w:t>
            </w:r>
          </w:p>
          <w:p>
            <w:pPr>
              <w:spacing w:line="240" w:lineRule="auto"/>
              <w:jc w:val="center"/>
            </w:pPr>
            <w:r>
              <w:rPr>
                <w:rFonts w:ascii="Times New Roman" w:hAnsi="Times New Roman" w:eastAsia="Times New Roman"/>
                <w:b/>
                <w:i w:val="0"/>
                <w:sz w:val="24"/>
              </w:rPr>
              <w:t>2026</w:t>
            </w:r>
          </w:p>
        </w:tc>
      </w:tr>
    </w:tbl>
    <w:p>
      <w:pPr>
        <w:sectPr>
          <w:footerReference w:type="default" r:id="rId9"/>
          <w:pgSz w:w="11906" w:h="16838"/>
          <w:pgMar w:top="1701" w:right="1701" w:bottom="1701" w:left="2268" w:header="680" w:footer="737" w:gutter="0"/>
          <w:cols w:space="720"/>
          <w:docGrid w:linePitch="360"/>
        </w:sectPr>
      </w:pPr>
    </w:p>
    <w:p>
      <w:pPr>
        <w:spacing w:line="240" w:lineRule="auto" w:after="360"/>
        <w:jc w:val="center"/>
      </w:pPr>
      <w:r>
        <w:rPr>
          <w:rFonts w:ascii="Times New Roman" w:hAnsi="Times New Roman" w:eastAsia="Times New Roman"/>
          <w:b/>
          <w:i w:val="0"/>
          <w:sz w:val="24"/>
        </w:rPr>
        <w:t>HALAMAN PERSETUJUAN</w:t>
      </w:r>
    </w:p>
    <w:p>
      <w:pPr>
        <w:spacing w:line="240" w:lineRule="auto" w:after="240"/>
        <w:jc w:val="center"/>
      </w:pPr>
      <w:r>
        <w:rPr>
          <w:rFonts w:ascii="Times New Roman" w:hAnsi="Times New Roman" w:eastAsia="Times New Roman"/>
          <w:b/>
          <w:i w:val="0"/>
          <w:sz w:val="24"/>
        </w:rPr>
        <w:t>PROPOSAL SKRIPSI</w:t>
      </w:r>
    </w:p>
    <w:p>
      <w:pPr>
        <w:spacing w:line="240" w:lineRule="auto" w:after="320"/>
        <w:jc w:val="center"/>
      </w:pPr>
      <w:r>
        <w:rPr>
          <w:rFonts w:ascii="Times New Roman" w:hAnsi="Times New Roman" w:eastAsia="Times New Roman"/>
          <w:b/>
          <w:i w:val="0"/>
          <w:sz w:val="24"/>
        </w:rPr>
        <w:t>PERBANDINGAN LARGE LANGUAGE MODELS SEBAGAI REASONING ENGINE PADA AGENTIC CONVERSATIONAL SALES ASSISTANT: ANALISIS KINERJA AGEN DAN PURCHASE FUNNEL DALAM E-COMMERCE</w:t>
      </w:r>
    </w:p>
    <w:p>
      <w:pPr>
        <w:spacing w:line="240" w:lineRule="auto" w:after="80"/>
        <w:jc w:val="center"/>
      </w:pPr>
      <w:r>
        <w:rPr>
          <w:rFonts w:ascii="Times New Roman" w:hAnsi="Times New Roman" w:eastAsia="Times New Roman"/>
          <w:b w:val="0"/>
          <w:i w:val="0"/>
          <w:sz w:val="24"/>
        </w:rPr>
        <w:t>Oleh:</w:t>
      </w:r>
    </w:p>
    <w:p>
      <w:pPr>
        <w:spacing w:line="240" w:lineRule="auto" w:after="0"/>
        <w:jc w:val="center"/>
      </w:pPr>
      <w:r>
        <w:rPr>
          <w:rFonts w:ascii="Times New Roman" w:hAnsi="Times New Roman" w:eastAsia="Times New Roman"/>
          <w:b/>
          <w:i w:val="0"/>
          <w:sz w:val="24"/>
        </w:rPr>
        <w:t>MUHAMMAD SYAHID KUSASIH</w:t>
      </w:r>
    </w:p>
    <w:p>
      <w:pPr>
        <w:spacing w:line="240" w:lineRule="auto" w:after="360"/>
        <w:jc w:val="center"/>
      </w:pPr>
      <w:r>
        <w:rPr>
          <w:rFonts w:ascii="Times New Roman" w:hAnsi="Times New Roman" w:eastAsia="Times New Roman"/>
          <w:b/>
          <w:i w:val="0"/>
          <w:sz w:val="24"/>
        </w:rPr>
        <w:t>L200230272</w:t>
      </w:r>
    </w:p>
    <w:p>
      <w:pPr>
        <w:spacing w:line="240" w:lineRule="auto" w:after="360"/>
        <w:jc w:val="center"/>
      </w:pPr>
      <w:r>
        <w:rPr>
          <w:rFonts w:ascii="Times New Roman" w:hAnsi="Times New Roman" w:eastAsia="Times New Roman"/>
          <w:b w:val="0"/>
          <w:i w:val="0"/>
          <w:sz w:val="24"/>
        </w:rPr>
        <w:t>Telah diperiksa dan disetujui untuk diajukan pada tahapan akademik selanjutnya.</w:t>
      </w:r>
    </w:p>
    <w:p>
      <w:pPr>
        <w:spacing w:line="240" w:lineRule="auto" w:after="0"/>
        <w:jc w:val="center"/>
      </w:pPr>
      <w:r>
        <w:rPr>
          <w:rFonts w:ascii="Times New Roman" w:hAnsi="Times New Roman" w:eastAsia="Times New Roman"/>
          <w:b w:val="0"/>
          <w:i w:val="0"/>
          <w:sz w:val="24"/>
        </w:rPr>
        <w:t>Surakarta, __________________ 2026</w:t>
        <w:br/>
        <w:br/>
        <w:t>Dosen Pembimbing</w:t>
        <w:br/>
        <w:br/>
        <w:br/>
        <w:br/>
        <w:t>Helmi Imaduddin, S.Kom., M.Eng.</w:t>
        <w:br/>
        <w:t>NIDN/NIK. 0607069301</w:t>
      </w:r>
    </w:p>
    <w:p>
      <w:r>
        <w:br w:type="page"/>
      </w:r>
    </w:p>
    <w:p>
      <w:pPr>
        <w:spacing w:line="240" w:lineRule="auto" w:after="240"/>
        <w:jc w:val="center"/>
      </w:pPr>
      <w:r>
        <w:rPr>
          <w:rFonts w:ascii="Times New Roman" w:hAnsi="Times New Roman" w:eastAsia="Times New Roman"/>
          <w:b/>
          <w:i w:val="0"/>
          <w:sz w:val="24"/>
        </w:rPr>
        <w:t>DAFTAR ISI</w:t>
      </w:r>
    </w:p>
    <w:p>
      <w:r>
        <w:fldChar w:fldCharType="begin" w:dirty="true"/>
        <w:instrText xml:space="preserve"> TOC \o "1-3" \h \z \u </w:instrText>
        <w:fldChar w:fldCharType="separate"/>
      </w:r>
      <w:r>
        <w:rPr>
          <w:rFonts w:ascii="Times New Roman" w:hAnsi="Times New Roman" w:eastAsia="Times New Roman"/>
          <w:b w:val="0"/>
          <w:i/>
          <w:sz w:val="20"/>
        </w:rPr>
        <w:t>Daftar isi akan diperbarui saat dokumen dibuka di Microsoft Word. Jika nomor halaman belum sesuai, tekan Ctrl+A lalu F9.</w:t>
      </w:r>
      <w:r>
        <w:fldChar w:fldCharType="end"/>
      </w:r>
    </w:p>
    <w:p>
      <w:pPr>
        <w:sectPr>
          <w:footerReference w:type="default" r:id="rId11"/>
          <w:pgSz w:w="11906" w:h="16838"/>
          <w:pgMar w:top="1701" w:right="1701" w:bottom="1701" w:left="2268" w:header="680" w:footer="737" w:gutter="0"/>
          <w:cols w:space="720"/>
          <w:docGrid w:linePitch="360"/>
          <w:pgNumType w:fmt="lowerRoman" w:start="1"/>
        </w:sectPr>
      </w:pPr>
    </w:p>
    <w:p>
      <w:pPr>
        <w:pStyle w:val="Heading1"/>
      </w:pPr>
      <w:r>
        <w:t>BAB 1 PENDAHULUAN</w:t>
      </w:r>
    </w:p>
    <w:p>
      <w:pPr>
        <w:pStyle w:val="Heading2"/>
      </w:pPr>
      <w:r>
        <w:t>1.1 Latar Belakang Masalah</w:t>
      </w:r>
    </w:p>
    <w:p>
      <w:pPr>
        <w:ind w:firstLine="709"/>
      </w:pPr>
      <w:r>
        <w:rPr>
          <w:rFonts w:ascii="Times New Roman" w:hAnsi="Times New Roman" w:eastAsia="Times New Roman"/>
          <w:b w:val="0"/>
          <w:i w:val="0"/>
          <w:sz w:val="24"/>
        </w:rPr>
        <w:t>Perkembangan kecerdasan buatan dan teknologi pemrosesan bahasa alami memperluas penggunaan sistem percakapan pada layanan e-commerce. Dalam proses pembelian, pelanggan perlu mengidentifikasi kebutuhan, menelaah spesifikasi, membandingkan alternatif, dan menentukan produk yang sesuai dengan anggaran maupun preferensi. Conversational recommender systems memfasilitasi proses pencarian informasi dan pengambilan keputusan melalui dialog yang berlangsung secara bertahap. Namun, penilaian terhadap sistem semacam ini perlu mencakup kualitas komponen teknis sekaligus pengalaman pengguna, bukan hanya ketepatan rekomendasi secara terpisah (Jannach, 2023).</w:t>
      </w:r>
    </w:p>
    <w:p>
      <w:pPr>
        <w:ind w:firstLine="709"/>
      </w:pPr>
      <w:r>
        <w:rPr>
          <w:rFonts w:ascii="Times New Roman" w:hAnsi="Times New Roman" w:eastAsia="Times New Roman"/>
          <w:b w:val="0"/>
          <w:i w:val="0"/>
          <w:sz w:val="24"/>
        </w:rPr>
        <w:t>Kemampuan Large Language Models (LLM) dalam memahami instruksi dan menghasilkan respons memungkinkan pengembangan Agentic Conversational Sales Assistant, yakni agen percakapan yang tidak terbatas pada pemberian jawaban, tetapi dapat mengklarifikasi kebutuhan, memilih tindakan, memanggil perangkat eksternal (tools), memeriksa informasi produk, serta menyusun rekomendasi. Dalam penelitian ini, LLM berperan sebagai reasoning engine yang menentukan langkah dialog dan penggunaan tools, sedangkan data produk dan aturan operasi dikelola oleh sistem yang sama. Pendekatan ReAct memperlihatkan bagaimana proses penalaran dan tindakan berbantuan sumber eksternal dapat diintegrasikan dalam agen berbasis LLM (Yao et al., 2023).</w:t>
      </w:r>
    </w:p>
    <w:p>
      <w:pPr>
        <w:ind w:firstLine="709"/>
      </w:pPr>
      <w:r>
        <w:rPr>
          <w:rFonts w:ascii="Times New Roman" w:hAnsi="Times New Roman" w:eastAsia="Times New Roman"/>
          <w:b w:val="0"/>
          <w:i w:val="0"/>
          <w:sz w:val="24"/>
        </w:rPr>
        <w:t>Pemilihan LLM sebagai reasoning engine berpotensi menghasilkan perilaku agen yang berbeda meskipun arsitektur dan sumber informasinya seragam. Penelitian τ-bench menunjukkan tantangan agen berbasis LLM dalam melakukan interaksi berurutan dengan pengguna serta mematuhi aturan dan menjalankan tools pada tugas dunia nyata (Yao et al., 2025). Secara khusus pada aktivitas belanja, Shopping Reasoning Bench memperlihatkan variasi kemampuan model dalam menangani penalaran multi-putaran, batasan kebutuhan, dan pertukaran nilai antarpilihan produk (Fan et al., 2026). Temuan ini mendukung perlunya perbandingan kinerja beberapa LLM dalam konfigurasi asisten penjualan yang terkendali.</w:t>
      </w:r>
    </w:p>
    <w:p>
      <w:pPr>
        <w:ind w:firstLine="709"/>
      </w:pPr>
      <w:r>
        <w:rPr>
          <w:rFonts w:ascii="Times New Roman" w:hAnsi="Times New Roman" w:eastAsia="Times New Roman"/>
          <w:b w:val="0"/>
          <w:i w:val="0"/>
          <w:sz w:val="24"/>
        </w:rPr>
        <w:t>Kinerja agen penjualan tidak cukup dilihat dari kualitas bahasa atau jawaban akhir. Aspek penting lain meliputi keberhasilan menyelesaikan tugas, kepatuhan terhadap batasan pelanggan, kebenaran klaim mengenai produk, keberhasilan penggunaan tools, efisiensi percakapan, dan konsistensi hasil. Evaluasi yang menggabungkan metrik objektif dengan pengamatan interaksi pengguna direkomendasikan dalam kajian conversational recommender systems (Jannach, 2023). Di samping itu, risiko hallucination perlu diperiksa karena model generatif dapat menghasilkan informasi yang tidak sesuai dengan sumber rujukan (Ji et al., 2023).</w:t>
      </w:r>
    </w:p>
    <w:p>
      <w:pPr>
        <w:ind w:firstLine="709"/>
      </w:pPr>
      <w:r>
        <w:rPr>
          <w:rFonts w:ascii="Times New Roman" w:hAnsi="Times New Roman" w:eastAsia="Times New Roman"/>
          <w:b w:val="0"/>
          <w:i w:val="0"/>
          <w:sz w:val="24"/>
        </w:rPr>
        <w:t>Dari sisi pengguna, agen yang secara teknis memberikan rekomendasi baik belum tentu diikuti tindakan pembelian. Araujo (2018) menemukan bahwa isyarat desain dan pembingkaian agen percakapan memengaruhi persepsi pengguna terhadap agen maupun perusahaan. Luo et al. (2019) melalui eksperimen lapangan juga menunjukkan bahwa konteks penggunaan chatbot berhubungan dengan perilaku pembelian pelanggan. Oleh karena itu, keberhasilan sistem asisten penjualan perlu diamati tidak hanya pada keluaran teknis, melainkan juga pada perpindahan perilaku pengguna dalam proses pembelian. Kerangka customer journey menekankan pentingnya memahami berbagai titik kontak konsumen sepanjang proses keputusan pembelian (Lemon &amp; Verhoef, 2016).</w:t>
      </w:r>
    </w:p>
    <w:p>
      <w:pPr>
        <w:ind w:firstLine="709"/>
      </w:pPr>
      <w:r>
        <w:rPr>
          <w:rFonts w:ascii="Times New Roman" w:hAnsi="Times New Roman" w:eastAsia="Times New Roman"/>
          <w:b w:val="0"/>
          <w:i w:val="0"/>
          <w:sz w:val="24"/>
        </w:rPr>
        <w:t>Berdasarkan literatur yang ditinjau, kajian mengenai benchmark agen, kemampuan penalaran belanja, penilaian sistem rekomendasi percakapan, dan perilaku pelanggan telah memberikan dasar yang berbeda-beda. Akan tetapi, literatur tersebut belum secara langsung menjawab pertanyaan penelitian ini: bagaimana beberapa LLM yang ditempatkan bergantian sebagai reasoning engine dalam satu arsitektur agen penjualan yang sama dibandingkan melalui metrik teknis dan perilaku pengguna sepanjang purchase funnel. Pernyataan ini merupakan celah yang dirumuskan berdasarkan sumber yang ditinjau, bukan klaim bahwa seluruh penelitian sejenis belum pernah dilakukan.</w:t>
      </w:r>
    </w:p>
    <w:p>
      <w:pPr>
        <w:ind w:firstLine="709"/>
      </w:pPr>
      <w:r>
        <w:rPr>
          <w:rFonts w:ascii="Times New Roman" w:hAnsi="Times New Roman" w:eastAsia="Times New Roman"/>
          <w:b w:val="0"/>
          <w:i w:val="0"/>
          <w:sz w:val="24"/>
        </w:rPr>
        <w:t>Untuk menjawabnya, penelitian dirancang dalam dua tahap. Controlled Agent Benchmark akan membandingkan kinerja teknis beberapa LLM dengan skenario dan ground truth yang seragam. Randomized User Experiment akan menempatkan pengguna secara acak ke salah satu kondisi model dan mencatat kejadian pada purchase funnel, meliputi recommendation click, product selection, add-to-cart, checkout initiation, serta purchase conversion apabila transaksi pembayaran benar-benar tersedia dan dapat diverifikasi. Prompt, basis data produk, tools, harga, aturan agen, dan antarmuka akan dijaga setara sejauh kompatibel dengan masing-masing model. Penelitian ini diharapkan menghasilkan dasar empiris bagi pemilihan LLM, dengan tetap membedakan perbedaan antarkondisi eksperimen dari kesimpulan sebab-akibat yang memerlukan pengujian statistik dan pengendalian faktor perancu (Kohavi et al., 2020).</w:t>
      </w:r>
    </w:p>
    <w:p>
      <w:pPr>
        <w:pStyle w:val="Heading2"/>
      </w:pPr>
      <w:r>
        <w:t>1.2 Rumusan Masalah</w:t>
      </w:r>
    </w:p>
    <w:p>
      <w:pPr>
        <w:pStyle w:val="ListNumber"/>
      </w:pPr>
      <w:r>
        <w:rPr>
          <w:rFonts w:ascii="Times New Roman" w:hAnsi="Times New Roman" w:eastAsia="Times New Roman"/>
          <w:b w:val="0"/>
          <w:i w:val="0"/>
          <w:sz w:val="24"/>
        </w:rPr>
        <w:t>Bagaimana perbedaan kinerja beberapa Large Language Models sebagai reasoning engine pada arsitektur Agentic Conversational Sales Assistant yang sama berdasarkan metrik keberhasilan tugas, kepatuhan terhadap kebutuhan, halusinasi, keberhasilan tool, efisiensi, dan reliabilitas?</w:t>
      </w:r>
    </w:p>
    <w:p>
      <w:pPr>
        <w:pStyle w:val="ListNumber"/>
      </w:pPr>
      <w:r>
        <w:rPr>
          <w:rFonts w:ascii="Times New Roman" w:hAnsi="Times New Roman" w:eastAsia="Times New Roman"/>
          <w:b w:val="0"/>
          <w:i w:val="0"/>
          <w:sz w:val="24"/>
        </w:rPr>
        <w:t>Apakah kondisi penggunaan LLM yang berbeda menunjukkan perbedaan perilaku pengguna pada tahapan purchase funnel dalam e-commerce?</w:t>
      </w:r>
    </w:p>
    <w:p>
      <w:pPr>
        <w:pStyle w:val="ListNumber"/>
      </w:pPr>
      <w:r>
        <w:rPr>
          <w:rFonts w:ascii="Times New Roman" w:hAnsi="Times New Roman" w:eastAsia="Times New Roman"/>
          <w:b w:val="0"/>
          <w:i w:val="0"/>
          <w:sz w:val="24"/>
        </w:rPr>
        <w:t>Bagaimana hubungan antara indikator kinerja teknis agen dan progresi pengguna pada tahapan purchase funnel?</w:t>
      </w:r>
    </w:p>
    <w:p>
      <w:pPr>
        <w:pStyle w:val="Heading2"/>
      </w:pPr>
      <w:r>
        <w:t>1.3 Batasan Masalah</w:t>
      </w:r>
    </w:p>
    <w:p>
      <w:pPr>
        <w:pStyle w:val="ListBullet"/>
      </w:pPr>
      <w:r>
        <w:rPr>
          <w:rFonts w:ascii="Times New Roman" w:hAnsi="Times New Roman" w:eastAsia="Times New Roman"/>
          <w:b w:val="0"/>
          <w:i w:val="0"/>
          <w:sz w:val="24"/>
        </w:rPr>
        <w:t>Objek perbandingan adalah beberapa LLM yang diintegrasikan secara bergantian sebagai reasoning engine; identitas serta versi model ditetapkan dan didokumentasikan sebelum eksperimen.</w:t>
      </w:r>
    </w:p>
    <w:p>
      <w:pPr>
        <w:pStyle w:val="ListBullet"/>
      </w:pPr>
      <w:r>
        <w:rPr>
          <w:rFonts w:ascii="Times New Roman" w:hAnsi="Times New Roman" w:eastAsia="Times New Roman"/>
          <w:b w:val="0"/>
          <w:i w:val="0"/>
          <w:sz w:val="24"/>
        </w:rPr>
        <w:t>Sistem menggunakan satu kategori produk dan basis data produk yang divalidasi sebagai ground truth; kategori, jumlah produk, serta kriteria kelayakan ditentukan pada tahap persiapan.</w:t>
      </w:r>
    </w:p>
    <w:p>
      <w:pPr>
        <w:pStyle w:val="ListBullet"/>
      </w:pPr>
      <w:r>
        <w:rPr>
          <w:rFonts w:ascii="Times New Roman" w:hAnsi="Times New Roman" w:eastAsia="Times New Roman"/>
          <w:b w:val="0"/>
          <w:i w:val="0"/>
          <w:sz w:val="24"/>
        </w:rPr>
        <w:t>Prompt inti, informasi produk, tools, aturan agen, harga, dan antarmuka diupayakan sama pada seluruh kondisi; perbedaan yang diwajibkan antarmuka pemrograman model akan dicatat.</w:t>
      </w:r>
    </w:p>
    <w:p>
      <w:pPr>
        <w:pStyle w:val="ListBullet"/>
      </w:pPr>
      <w:r>
        <w:rPr>
          <w:rFonts w:ascii="Times New Roman" w:hAnsi="Times New Roman" w:eastAsia="Times New Roman"/>
          <w:b w:val="0"/>
          <w:i w:val="0"/>
          <w:sz w:val="24"/>
        </w:rPr>
        <w:t>Metrik teknis dibatasi pada Task Success Rate, Hard Constraint Satisfaction, Preference Satisfaction, Hallucination Rate, Tool Call Success Rate, Conversation Efficiency, dan Reliability.</w:t>
      </w:r>
    </w:p>
    <w:p>
      <w:pPr>
        <w:pStyle w:val="ListBullet"/>
      </w:pPr>
      <w:r>
        <w:rPr>
          <w:rFonts w:ascii="Times New Roman" w:hAnsi="Times New Roman" w:eastAsia="Times New Roman"/>
          <w:b w:val="0"/>
          <w:i w:val="0"/>
          <w:sz w:val="24"/>
        </w:rPr>
        <w:t>Perilaku pengguna diamati melalui recommendation click, product selection, add-to-cart, checkout initiation, serta purchase conversion apabila transaksi nyata tersedia. Jika pembayaran tidak difasilitasi, penelitian tidak mengklaim telah mengukur purchase conversion aktual.</w:t>
      </w:r>
    </w:p>
    <w:p>
      <w:pPr>
        <w:pStyle w:val="ListBullet"/>
      </w:pPr>
      <w:r>
        <w:rPr>
          <w:rFonts w:ascii="Times New Roman" w:hAnsi="Times New Roman" w:eastAsia="Times New Roman"/>
          <w:b w:val="0"/>
          <w:i w:val="0"/>
          <w:sz w:val="24"/>
        </w:rPr>
        <w:t>Penempatan pengguna ke kondisi model dilakukan secara acak dengan sticky assignment berbasis identitas pseudonim agar pengguna yang sama tidak berpindah kondisi.</w:t>
      </w:r>
    </w:p>
    <w:p>
      <w:pPr>
        <w:pStyle w:val="ListBullet"/>
      </w:pPr>
      <w:r>
        <w:rPr>
          <w:rFonts w:ascii="Times New Roman" w:hAnsi="Times New Roman" w:eastAsia="Times New Roman"/>
          <w:b w:val="0"/>
          <w:i w:val="0"/>
          <w:sz w:val="24"/>
        </w:rPr>
        <w:t>Penelitian membandingkan kinerja dan hubungan antarmetrik dalam lingkungan pengujian; hasilnya tidak otomatis mewakili semua kategori produk, populasi konsumen, atau model LLM.</w:t>
      </w:r>
    </w:p>
    <w:p>
      <w:pPr>
        <w:pStyle w:val="Heading2"/>
      </w:pPr>
      <w:r>
        <w:t>1.4 Tujuan Penelitian</w:t>
      </w:r>
    </w:p>
    <w:p>
      <w:pPr>
        <w:pStyle w:val="ListNumber"/>
      </w:pPr>
      <w:r>
        <w:rPr>
          <w:rFonts w:ascii="Times New Roman" w:hAnsi="Times New Roman" w:eastAsia="Times New Roman"/>
          <w:b w:val="0"/>
          <w:i w:val="0"/>
          <w:sz w:val="24"/>
        </w:rPr>
        <w:t>Membandingkan kinerja beberapa LLM ketika menjalankan fungsi reasoning engine dalam Agentic Conversational Sales Assistant menggunakan indikator teknis yang terukur.</w:t>
      </w:r>
    </w:p>
    <w:p>
      <w:pPr>
        <w:pStyle w:val="ListNumber"/>
      </w:pPr>
      <w:r>
        <w:rPr>
          <w:rFonts w:ascii="Times New Roman" w:hAnsi="Times New Roman" w:eastAsia="Times New Roman"/>
          <w:b w:val="0"/>
          <w:i w:val="0"/>
          <w:sz w:val="24"/>
        </w:rPr>
        <w:t>Menganalisis perbedaan capaian pengguna pada setiap tahapan purchase funnel antarkondisi LLM.</w:t>
      </w:r>
    </w:p>
    <w:p>
      <w:pPr>
        <w:pStyle w:val="ListNumber"/>
      </w:pPr>
      <w:r>
        <w:rPr>
          <w:rFonts w:ascii="Times New Roman" w:hAnsi="Times New Roman" w:eastAsia="Times New Roman"/>
          <w:b w:val="0"/>
          <w:i w:val="0"/>
          <w:sz w:val="24"/>
        </w:rPr>
        <w:t>Menganalisis hubungan antara indikator kinerja teknis agen dan perkembangan tindakan pengguna dalam purchase funnel.</w:t>
      </w:r>
    </w:p>
    <w:p>
      <w:pPr>
        <w:pStyle w:val="Heading2"/>
      </w:pPr>
      <w:r>
        <w:t>1.5 Manfaat Penelitian</w:t>
      </w:r>
    </w:p>
    <w:p>
      <w:pPr>
        <w:ind w:firstLine="709"/>
      </w:pPr>
      <w:r>
        <w:rPr>
          <w:rFonts w:ascii="Times New Roman" w:hAnsi="Times New Roman" w:eastAsia="Times New Roman"/>
          <w:b w:val="0"/>
          <w:i w:val="0"/>
          <w:sz w:val="24"/>
        </w:rPr>
        <w:t>Manfaat teoretis: Penelitian ini diharapkan memperkaya kajian komparatif LLM dalam sistem agen berbasis tools dengan menghubungkan evaluasi teknis dan perilaku pengguna pada konteks e-commerce. Hasilnya dapat menjadi dasar bagi penelitian lanjutan mengenai kesesuaian metrik benchmark dengan indikator perjalanan pembelian.</w:t>
      </w:r>
    </w:p>
    <w:p>
      <w:pPr>
        <w:ind w:firstLine="709"/>
      </w:pPr>
      <w:r>
        <w:rPr>
          <w:rFonts w:ascii="Times New Roman" w:hAnsi="Times New Roman" w:eastAsia="Times New Roman"/>
          <w:b w:val="0"/>
          <w:i w:val="0"/>
          <w:sz w:val="24"/>
        </w:rPr>
        <w:t>Manfaat praktis: Penelitian ini diharapkan memberikan pertimbangan berbasis data kepada pengembang dan pengelola e-commerce ketika memilih LLM sebagai reasoning engine, khususnya dengan memperhatikan akurasi rekomendasi, kepatuhan pada batasan pelanggan, efisiensi sistem, dan progresi pengguna menuju tindakan pembelian.</w:t>
      </w:r>
    </w:p>
    <w:p>
      <w:pPr>
        <w:pStyle w:val="Heading1"/>
      </w:pPr>
      <w:r>
        <w:t>BAB 2 TINJAUAN PUSTAKA DAN DASAR TEORI</w:t>
      </w:r>
    </w:p>
    <w:p>
      <w:pPr>
        <w:pStyle w:val="Heading2"/>
      </w:pPr>
      <w:r>
        <w:t>2.1 Studi Literatur dan Penelitian Terkait</w:t>
      </w:r>
    </w:p>
    <w:p>
      <w:pPr>
        <w:ind w:firstLine="709"/>
      </w:pPr>
      <w:r>
        <w:rPr>
          <w:rFonts w:ascii="Times New Roman" w:hAnsi="Times New Roman" w:eastAsia="Times New Roman"/>
          <w:b w:val="0"/>
          <w:i w:val="0"/>
          <w:sz w:val="24"/>
        </w:rPr>
        <w:t>Kajian literatur penelitian ini dikelompokkan dalam empat rumpun: (1) sistem rekomendasi berbasis percakapan, (2) arsitektur agen LLM dan evaluasi penggunaan tools, (3) benchmark penalaran belanja, serta (4) persepsi dan tindakan konsumen. Pengelompokan tersebut membantu membedakan bukti mengenai kualitas teknis sistem dari bukti mengenai perilaku pembeli.</w:t>
      </w:r>
    </w:p>
    <w:p>
      <w:pPr>
        <w:ind w:firstLine="709"/>
      </w:pPr>
      <w:r>
        <w:rPr>
          <w:rFonts w:ascii="Times New Roman" w:hAnsi="Times New Roman" w:eastAsia="Times New Roman"/>
          <w:b w:val="0"/>
          <w:i w:val="0"/>
          <w:sz w:val="24"/>
        </w:rPr>
        <w:t>Jannach (2023) meninjau pendekatan evaluasi conversational recommender systems dan menjelaskan bahwa sistem yang tersusun dari banyak komponen perlu dinilai dengan kombinasi evaluasi komputasional serta evaluasi berorientasi pengguna. Riset tersebut menjadi dasar pemilihan dua jalur pengukuran pada penelitian ini. Akan tetapi, artikel tersebut berupa kajian evaluasi sistem rekomendasi percakapan, bukan perbandingan beberapa reasoning engine pada agen penjualan yang dikendalikan secara identik.</w:t>
      </w:r>
    </w:p>
    <w:p>
      <w:pPr>
        <w:ind w:firstLine="709"/>
      </w:pPr>
      <w:r>
        <w:rPr>
          <w:rFonts w:ascii="Times New Roman" w:hAnsi="Times New Roman" w:eastAsia="Times New Roman"/>
          <w:b w:val="0"/>
          <w:i w:val="0"/>
          <w:sz w:val="24"/>
        </w:rPr>
        <w:t>Yao et al. (2023) memperkenalkan ReAct, yang menghubungkan proses penalaran dan tindakan agen untuk memanfaatkan sumber eksternal saat menyelesaikan tugas. Schick et al. (2023) melalui Toolformer menunjukkan prinsip bahwa model bahasa dapat belajar kapan dan bagaimana menggunakan antarmuka tools. Kedua penelitian memperkuat landasan teknis agen yang mampu mengeksekusi tindakan, tetapi tidak memusatkan pembahasannya pada pengaruh pemilihan model terhadap progresi pembelian konsumen.</w:t>
      </w:r>
    </w:p>
    <w:p>
      <w:pPr>
        <w:ind w:firstLine="709"/>
      </w:pPr>
      <w:r>
        <w:rPr>
          <w:rFonts w:ascii="Times New Roman" w:hAnsi="Times New Roman" w:eastAsia="Times New Roman"/>
          <w:b w:val="0"/>
          <w:i w:val="0"/>
          <w:sz w:val="24"/>
        </w:rPr>
        <w:t>Yao et al. (2025) mengembangkan τ-bench untuk mengevaluasi agen pada interaksi dinamis yang melibatkan pengguna, tools, dan aturan domain. Evaluasi semacam ini menegaskan pentingnya keberhasilan akhir tugas dan konsistensi lintas pengulangan. Pada konteks belanja, Fan et al. (2026) memperkenalkan Shopping Reasoning Bench, suatu benchmark berbasis rubrik pakar untuk skenario belanja satu dan banyak putaran. Studi tersebut menemukan adanya kesenjangan kemampuan penalaran antarmodel dan kesulitan pada percakapan multi-putaran. Artikel Fan et al. (2026) merupakan preprint arXiv sehingga status telaah sejawatnya perlu diperhatikan.</w:t>
      </w:r>
    </w:p>
    <w:p>
      <w:pPr>
        <w:ind w:firstLine="709"/>
      </w:pPr>
      <w:r>
        <w:rPr>
          <w:rFonts w:ascii="Times New Roman" w:hAnsi="Times New Roman" w:eastAsia="Times New Roman"/>
          <w:b w:val="0"/>
          <w:i w:val="0"/>
          <w:sz w:val="24"/>
        </w:rPr>
        <w:t>Lewis et al. (2020) menjelaskan pendekatan retrieval-augmented generation yang memanfaatkan sumber pengetahuan eksternal untuk tugas berbasis informasi. Dalam penelitian ini, gagasan penggunaan sumber eksternal diadaptasi secara terbatas melalui tools pencarian basis data produk, bukan dengan mengasumsikan bahwa implementasi memakai seluruh arsitektur RAG pada makalah tersebut. Sementara itu, Ji et al. (2023) merangkum masalah halusinasi pada generasi bahasa dan mendukung kebutuhan pemeriksaan klaim produk terhadap sumber data yang dapat diverifikasi.</w:t>
      </w:r>
    </w:p>
    <w:p>
      <w:pPr>
        <w:ind w:firstLine="709"/>
      </w:pPr>
      <w:r>
        <w:rPr>
          <w:rFonts w:ascii="Times New Roman" w:hAnsi="Times New Roman" w:eastAsia="Times New Roman"/>
          <w:b w:val="0"/>
          <w:i w:val="0"/>
          <w:sz w:val="24"/>
        </w:rPr>
        <w:t>Araujo (2018) meneliti pengaruh isyarat antropomorfis dan cara agen diperkenalkan terhadap persepsi pengguna dan perusahaan. Luo et al. (2019) menggunakan data eksperimen lapangan untuk memeriksa dampak pengungkapan chatbot terhadap pembelian pelanggan. Kedua artikel menunjukkan bahwa pengalaman dan keputusan konsumen perlu diperhitungkan saat menilai agen percakapan. Namun, keduanya tidak secara khusus mengisolasi perbandingan beberapa LLM sebagai reasoning engine dalam satu agen penjualan.</w:t>
      </w:r>
    </w:p>
    <w:p>
      <w:pPr>
        <w:ind w:firstLine="709"/>
      </w:pPr>
      <w:r>
        <w:rPr>
          <w:rFonts w:ascii="Times New Roman" w:hAnsi="Times New Roman" w:eastAsia="Times New Roman"/>
          <w:b w:val="0"/>
          <w:i w:val="0"/>
          <w:sz w:val="24"/>
        </w:rPr>
        <w:t>Lemon dan Verhoef (2016) menempatkan customer journey sebagai rangkaian interaksi konsumen yang mencakup tahapan sebelum, saat, dan setelah pembelian. Sebagai dasar metodologi eksperimen, Kohavi et al. (2020) menguraikan prinsip eksperimen daring terkontrol, definisi metrik, dan pentingnya validitas hasil. Keduanya dipakai untuk menyusun tahapan purchase funnel dan rancangan randomisasi pengguna; tahapan funnel yang dioperasionalkan dalam penelitian ini merupakan indikator rancangan penelitian, bukan daftar metrik yang secara persis ditetapkan dalam kedua sumber tersebut.</w:t>
      </w:r>
    </w:p>
    <w:p>
      <w:pPr>
        <w:pStyle w:val="Heading2"/>
      </w:pPr>
      <w:r>
        <w:t>2.2 Perbandingan Penelitian Terdahulu dan Research Gap</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E8E7FF"/>
            <w:vAlign w:val="center"/>
          </w:tcPr>
          <w:p>
            <w:pPr>
              <w:jc w:val="center"/>
            </w:pPr>
            <w:r>
              <w:rPr>
                <w:rFonts w:ascii="Times New Roman" w:hAnsi="Times New Roman" w:eastAsia="Times New Roman"/>
                <w:b/>
                <w:i w:val="0"/>
                <w:sz w:val="18"/>
              </w:rPr>
              <w:t>Penulis dan Tahun</w:t>
            </w:r>
          </w:p>
        </w:tc>
        <w:tc>
          <w:tcPr>
            <w:tcW w:type="dxa" w:w="1587"/>
            <w:shd w:fill="E8E7FF"/>
            <w:vAlign w:val="center"/>
          </w:tcPr>
          <w:p>
            <w:pPr>
              <w:jc w:val="center"/>
            </w:pPr>
            <w:r>
              <w:rPr>
                <w:rFonts w:ascii="Times New Roman" w:hAnsi="Times New Roman" w:eastAsia="Times New Roman"/>
                <w:b/>
                <w:i w:val="0"/>
                <w:sz w:val="18"/>
              </w:rPr>
              <w:t>Fokus Penelitian</w:t>
            </w:r>
          </w:p>
        </w:tc>
        <w:tc>
          <w:tcPr>
            <w:tcW w:type="dxa" w:w="1587"/>
            <w:shd w:fill="E8E7FF"/>
            <w:vAlign w:val="center"/>
          </w:tcPr>
          <w:p>
            <w:pPr>
              <w:jc w:val="center"/>
            </w:pPr>
            <w:r>
              <w:rPr>
                <w:rFonts w:ascii="Times New Roman" w:hAnsi="Times New Roman" w:eastAsia="Times New Roman"/>
                <w:b/>
                <w:i w:val="0"/>
                <w:sz w:val="18"/>
              </w:rPr>
              <w:t>Metode</w:t>
            </w:r>
          </w:p>
        </w:tc>
        <w:tc>
          <w:tcPr>
            <w:tcW w:type="dxa" w:w="1587"/>
            <w:shd w:fill="E8E7FF"/>
            <w:vAlign w:val="center"/>
          </w:tcPr>
          <w:p>
            <w:pPr>
              <w:jc w:val="center"/>
            </w:pPr>
            <w:r>
              <w:rPr>
                <w:rFonts w:ascii="Times New Roman" w:hAnsi="Times New Roman" w:eastAsia="Times New Roman"/>
                <w:b/>
                <w:i w:val="0"/>
                <w:sz w:val="18"/>
              </w:rPr>
              <w:t>Hasil Utama</w:t>
            </w:r>
          </w:p>
        </w:tc>
        <w:tc>
          <w:tcPr>
            <w:tcW w:type="dxa" w:w="1587"/>
            <w:shd w:fill="E8E7FF"/>
            <w:vAlign w:val="center"/>
          </w:tcPr>
          <w:p>
            <w:pPr>
              <w:jc w:val="center"/>
            </w:pPr>
            <w:r>
              <w:rPr>
                <w:rFonts w:ascii="Times New Roman" w:hAnsi="Times New Roman" w:eastAsia="Times New Roman"/>
                <w:b/>
                <w:i w:val="0"/>
                <w:sz w:val="18"/>
              </w:rPr>
              <w:t>Perbedaan atau Celah terhadap Penelitian Ini</w:t>
            </w:r>
          </w:p>
        </w:tc>
      </w:tr>
      <w:tr>
        <w:tc>
          <w:tcPr>
            <w:tcW w:type="dxa" w:w="1587"/>
          </w:tcPr>
          <w:p>
            <w:pPr>
              <w:spacing w:line="240" w:lineRule="auto"/>
            </w:pPr>
            <w:r>
              <w:rPr>
                <w:rFonts w:ascii="Times New Roman" w:hAnsi="Times New Roman" w:eastAsia="Times New Roman"/>
                <w:b w:val="0"/>
                <w:i w:val="0"/>
                <w:sz w:val="18"/>
              </w:rPr>
              <w:t>Jannach (2023)</w:t>
            </w:r>
          </w:p>
        </w:tc>
        <w:tc>
          <w:tcPr>
            <w:tcW w:type="dxa" w:w="1587"/>
          </w:tcPr>
          <w:p>
            <w:pPr>
              <w:spacing w:line="240" w:lineRule="auto"/>
            </w:pPr>
            <w:r>
              <w:rPr>
                <w:rFonts w:ascii="Times New Roman" w:hAnsi="Times New Roman" w:eastAsia="Times New Roman"/>
                <w:b w:val="0"/>
                <w:i w:val="0"/>
                <w:sz w:val="18"/>
              </w:rPr>
              <w:t>Evaluasi conversational recommender systems</w:t>
            </w:r>
          </w:p>
        </w:tc>
        <w:tc>
          <w:tcPr>
            <w:tcW w:type="dxa" w:w="1587"/>
          </w:tcPr>
          <w:p>
            <w:pPr>
              <w:spacing w:line="240" w:lineRule="auto"/>
            </w:pPr>
            <w:r>
              <w:rPr>
                <w:rFonts w:ascii="Times New Roman" w:hAnsi="Times New Roman" w:eastAsia="Times New Roman"/>
                <w:b w:val="0"/>
                <w:i w:val="0"/>
                <w:sz w:val="18"/>
              </w:rPr>
              <w:t>Tinjauan literatur</w:t>
            </w:r>
          </w:p>
        </w:tc>
        <w:tc>
          <w:tcPr>
            <w:tcW w:type="dxa" w:w="1587"/>
          </w:tcPr>
          <w:p>
            <w:pPr>
              <w:spacing w:line="240" w:lineRule="auto"/>
            </w:pPr>
            <w:r>
              <w:rPr>
                <w:rFonts w:ascii="Times New Roman" w:hAnsi="Times New Roman" w:eastAsia="Times New Roman"/>
                <w:b w:val="0"/>
                <w:i w:val="0"/>
                <w:sz w:val="18"/>
              </w:rPr>
              <w:t>Evaluasi perlu mencakup komponen sistem dan persepsi pengguna</w:t>
            </w:r>
          </w:p>
        </w:tc>
        <w:tc>
          <w:tcPr>
            <w:tcW w:type="dxa" w:w="1587"/>
          </w:tcPr>
          <w:p>
            <w:pPr>
              <w:spacing w:line="240" w:lineRule="auto"/>
            </w:pPr>
            <w:r>
              <w:rPr>
                <w:rFonts w:ascii="Times New Roman" w:hAnsi="Times New Roman" w:eastAsia="Times New Roman"/>
                <w:b w:val="0"/>
                <w:i w:val="0"/>
                <w:sz w:val="18"/>
              </w:rPr>
              <w:t>Tidak menguji perbedaan beberapa LLM pada agen penjualan yang sama</w:t>
            </w:r>
          </w:p>
        </w:tc>
      </w:tr>
      <w:tr>
        <w:tc>
          <w:tcPr>
            <w:tcW w:type="dxa" w:w="1587"/>
          </w:tcPr>
          <w:p>
            <w:pPr>
              <w:spacing w:line="240" w:lineRule="auto"/>
            </w:pPr>
            <w:r>
              <w:rPr>
                <w:rFonts w:ascii="Times New Roman" w:hAnsi="Times New Roman" w:eastAsia="Times New Roman"/>
                <w:b w:val="0"/>
                <w:i w:val="0"/>
                <w:sz w:val="18"/>
              </w:rPr>
              <w:t>Yao et al. (2023)</w:t>
            </w:r>
          </w:p>
        </w:tc>
        <w:tc>
          <w:tcPr>
            <w:tcW w:type="dxa" w:w="1587"/>
          </w:tcPr>
          <w:p>
            <w:pPr>
              <w:spacing w:line="240" w:lineRule="auto"/>
            </w:pPr>
            <w:r>
              <w:rPr>
                <w:rFonts w:ascii="Times New Roman" w:hAnsi="Times New Roman" w:eastAsia="Times New Roman"/>
                <w:b w:val="0"/>
                <w:i w:val="0"/>
                <w:sz w:val="18"/>
              </w:rPr>
              <w:t>Integrasi reasoning dan acting pada agen LLM</w:t>
            </w:r>
          </w:p>
        </w:tc>
        <w:tc>
          <w:tcPr>
            <w:tcW w:type="dxa" w:w="1587"/>
          </w:tcPr>
          <w:p>
            <w:pPr>
              <w:spacing w:line="240" w:lineRule="auto"/>
            </w:pPr>
            <w:r>
              <w:rPr>
                <w:rFonts w:ascii="Times New Roman" w:hAnsi="Times New Roman" w:eastAsia="Times New Roman"/>
                <w:b w:val="0"/>
                <w:i w:val="0"/>
                <w:sz w:val="18"/>
              </w:rPr>
              <w:t>ReAct dan pengujian tugas interaktif</w:t>
            </w:r>
          </w:p>
        </w:tc>
        <w:tc>
          <w:tcPr>
            <w:tcW w:type="dxa" w:w="1587"/>
          </w:tcPr>
          <w:p>
            <w:pPr>
              <w:spacing w:line="240" w:lineRule="auto"/>
            </w:pPr>
            <w:r>
              <w:rPr>
                <w:rFonts w:ascii="Times New Roman" w:hAnsi="Times New Roman" w:eastAsia="Times New Roman"/>
                <w:b w:val="0"/>
                <w:i w:val="0"/>
                <w:sz w:val="18"/>
              </w:rPr>
              <w:t>Perencanaan tindakan dan interaksi sumber eksternal dapat digabungkan</w:t>
            </w:r>
          </w:p>
        </w:tc>
        <w:tc>
          <w:tcPr>
            <w:tcW w:type="dxa" w:w="1587"/>
          </w:tcPr>
          <w:p>
            <w:pPr>
              <w:spacing w:line="240" w:lineRule="auto"/>
            </w:pPr>
            <w:r>
              <w:rPr>
                <w:rFonts w:ascii="Times New Roman" w:hAnsi="Times New Roman" w:eastAsia="Times New Roman"/>
                <w:b w:val="0"/>
                <w:i w:val="0"/>
                <w:sz w:val="18"/>
              </w:rPr>
              <w:t>Tidak menganalisis funnel pembelian konsumen</w:t>
            </w:r>
          </w:p>
        </w:tc>
      </w:tr>
      <w:tr>
        <w:tc>
          <w:tcPr>
            <w:tcW w:type="dxa" w:w="1587"/>
          </w:tcPr>
          <w:p>
            <w:pPr>
              <w:spacing w:line="240" w:lineRule="auto"/>
            </w:pPr>
            <w:r>
              <w:rPr>
                <w:rFonts w:ascii="Times New Roman" w:hAnsi="Times New Roman" w:eastAsia="Times New Roman"/>
                <w:b w:val="0"/>
                <w:i w:val="0"/>
                <w:sz w:val="18"/>
              </w:rPr>
              <w:t>Schick et al. (2023)</w:t>
            </w:r>
          </w:p>
        </w:tc>
        <w:tc>
          <w:tcPr>
            <w:tcW w:type="dxa" w:w="1587"/>
          </w:tcPr>
          <w:p>
            <w:pPr>
              <w:spacing w:line="240" w:lineRule="auto"/>
            </w:pPr>
            <w:r>
              <w:rPr>
                <w:rFonts w:ascii="Times New Roman" w:hAnsi="Times New Roman" w:eastAsia="Times New Roman"/>
                <w:b w:val="0"/>
                <w:i w:val="0"/>
                <w:sz w:val="18"/>
              </w:rPr>
              <w:t>Penggunaan tools oleh model bahasa</w:t>
            </w:r>
          </w:p>
        </w:tc>
        <w:tc>
          <w:tcPr>
            <w:tcW w:type="dxa" w:w="1587"/>
          </w:tcPr>
          <w:p>
            <w:pPr>
              <w:spacing w:line="240" w:lineRule="auto"/>
            </w:pPr>
            <w:r>
              <w:rPr>
                <w:rFonts w:ascii="Times New Roman" w:hAnsi="Times New Roman" w:eastAsia="Times New Roman"/>
                <w:b w:val="0"/>
                <w:i w:val="0"/>
                <w:sz w:val="18"/>
              </w:rPr>
              <w:t>Pengembangan dan pengujian Toolformer</w:t>
            </w:r>
          </w:p>
        </w:tc>
        <w:tc>
          <w:tcPr>
            <w:tcW w:type="dxa" w:w="1587"/>
          </w:tcPr>
          <w:p>
            <w:pPr>
              <w:spacing w:line="240" w:lineRule="auto"/>
            </w:pPr>
            <w:r>
              <w:rPr>
                <w:rFonts w:ascii="Times New Roman" w:hAnsi="Times New Roman" w:eastAsia="Times New Roman"/>
                <w:b w:val="0"/>
                <w:i w:val="0"/>
                <w:sz w:val="18"/>
              </w:rPr>
              <w:t>Memberikan pendekatan pemilihan serta pemanggilan API oleh LM</w:t>
            </w:r>
          </w:p>
        </w:tc>
        <w:tc>
          <w:tcPr>
            <w:tcW w:type="dxa" w:w="1587"/>
          </w:tcPr>
          <w:p>
            <w:pPr>
              <w:spacing w:line="240" w:lineRule="auto"/>
            </w:pPr>
            <w:r>
              <w:rPr>
                <w:rFonts w:ascii="Times New Roman" w:hAnsi="Times New Roman" w:eastAsia="Times New Roman"/>
                <w:b w:val="0"/>
                <w:i w:val="0"/>
                <w:sz w:val="18"/>
              </w:rPr>
              <w:t>Tidak membandingkan variasi LLM pada sistem penjualan dan outcome pengguna</w:t>
            </w:r>
          </w:p>
        </w:tc>
      </w:tr>
      <w:tr>
        <w:tc>
          <w:tcPr>
            <w:tcW w:type="dxa" w:w="1587"/>
          </w:tcPr>
          <w:p>
            <w:pPr>
              <w:spacing w:line="240" w:lineRule="auto"/>
            </w:pPr>
            <w:r>
              <w:rPr>
                <w:rFonts w:ascii="Times New Roman" w:hAnsi="Times New Roman" w:eastAsia="Times New Roman"/>
                <w:b w:val="0"/>
                <w:i w:val="0"/>
                <w:sz w:val="18"/>
              </w:rPr>
              <w:t>Yao et al. (2025)</w:t>
            </w:r>
          </w:p>
        </w:tc>
        <w:tc>
          <w:tcPr>
            <w:tcW w:type="dxa" w:w="1587"/>
          </w:tcPr>
          <w:p>
            <w:pPr>
              <w:spacing w:line="240" w:lineRule="auto"/>
            </w:pPr>
            <w:r>
              <w:rPr>
                <w:rFonts w:ascii="Times New Roman" w:hAnsi="Times New Roman" w:eastAsia="Times New Roman"/>
                <w:b w:val="0"/>
                <w:i w:val="0"/>
                <w:sz w:val="18"/>
              </w:rPr>
              <w:t>Keberhasilan dan keandalan agen dengan tools serta pengguna</w:t>
            </w:r>
          </w:p>
        </w:tc>
        <w:tc>
          <w:tcPr>
            <w:tcW w:type="dxa" w:w="1587"/>
          </w:tcPr>
          <w:p>
            <w:pPr>
              <w:spacing w:line="240" w:lineRule="auto"/>
            </w:pPr>
            <w:r>
              <w:rPr>
                <w:rFonts w:ascii="Times New Roman" w:hAnsi="Times New Roman" w:eastAsia="Times New Roman"/>
                <w:b w:val="0"/>
                <w:i w:val="0"/>
                <w:sz w:val="18"/>
              </w:rPr>
              <w:t>Benchmark τ-bench</w:t>
            </w:r>
          </w:p>
        </w:tc>
        <w:tc>
          <w:tcPr>
            <w:tcW w:type="dxa" w:w="1587"/>
          </w:tcPr>
          <w:p>
            <w:pPr>
              <w:spacing w:line="240" w:lineRule="auto"/>
            </w:pPr>
            <w:r>
              <w:rPr>
                <w:rFonts w:ascii="Times New Roman" w:hAnsi="Times New Roman" w:eastAsia="Times New Roman"/>
                <w:b w:val="0"/>
                <w:i w:val="0"/>
                <w:sz w:val="18"/>
              </w:rPr>
              <w:t>Menunjukkan tantangan agen pada tugas multi-langkah dan aturan domain</w:t>
            </w:r>
          </w:p>
        </w:tc>
        <w:tc>
          <w:tcPr>
            <w:tcW w:type="dxa" w:w="1587"/>
          </w:tcPr>
          <w:p>
            <w:pPr>
              <w:spacing w:line="240" w:lineRule="auto"/>
            </w:pPr>
            <w:r>
              <w:rPr>
                <w:rFonts w:ascii="Times New Roman" w:hAnsi="Times New Roman" w:eastAsia="Times New Roman"/>
                <w:b w:val="0"/>
                <w:i w:val="0"/>
                <w:sz w:val="18"/>
              </w:rPr>
              <w:t>Tidak mengukur tahapan purchase funnel e-commerce</w:t>
            </w:r>
          </w:p>
        </w:tc>
      </w:tr>
      <w:tr>
        <w:tc>
          <w:tcPr>
            <w:tcW w:type="dxa" w:w="1587"/>
          </w:tcPr>
          <w:p>
            <w:pPr>
              <w:spacing w:line="240" w:lineRule="auto"/>
            </w:pPr>
            <w:r>
              <w:rPr>
                <w:rFonts w:ascii="Times New Roman" w:hAnsi="Times New Roman" w:eastAsia="Times New Roman"/>
                <w:b w:val="0"/>
                <w:i w:val="0"/>
                <w:sz w:val="18"/>
              </w:rPr>
              <w:t>Fan et al. (2026)</w:t>
            </w:r>
          </w:p>
        </w:tc>
        <w:tc>
          <w:tcPr>
            <w:tcW w:type="dxa" w:w="1587"/>
          </w:tcPr>
          <w:p>
            <w:pPr>
              <w:spacing w:line="240" w:lineRule="auto"/>
            </w:pPr>
            <w:r>
              <w:rPr>
                <w:rFonts w:ascii="Times New Roman" w:hAnsi="Times New Roman" w:eastAsia="Times New Roman"/>
                <w:b w:val="0"/>
                <w:i w:val="0"/>
                <w:sz w:val="18"/>
              </w:rPr>
              <w:t>Penalaran percakapan belanja multi-putaran</w:t>
            </w:r>
          </w:p>
        </w:tc>
        <w:tc>
          <w:tcPr>
            <w:tcW w:type="dxa" w:w="1587"/>
          </w:tcPr>
          <w:p>
            <w:pPr>
              <w:spacing w:line="240" w:lineRule="auto"/>
            </w:pPr>
            <w:r>
              <w:rPr>
                <w:rFonts w:ascii="Times New Roman" w:hAnsi="Times New Roman" w:eastAsia="Times New Roman"/>
                <w:b w:val="0"/>
                <w:i w:val="0"/>
                <w:sz w:val="18"/>
              </w:rPr>
              <w:t>Benchmark berbasis rubrik pakar; preprint</w:t>
            </w:r>
          </w:p>
        </w:tc>
        <w:tc>
          <w:tcPr>
            <w:tcW w:type="dxa" w:w="1587"/>
          </w:tcPr>
          <w:p>
            <w:pPr>
              <w:spacing w:line="240" w:lineRule="auto"/>
            </w:pPr>
            <w:r>
              <w:rPr>
                <w:rFonts w:ascii="Times New Roman" w:hAnsi="Times New Roman" w:eastAsia="Times New Roman"/>
                <w:b w:val="0"/>
                <w:i w:val="0"/>
                <w:sz w:val="18"/>
              </w:rPr>
              <w:t>Menunjukkan variasi kualitas penalaran belanja antarmodel</w:t>
            </w:r>
          </w:p>
        </w:tc>
        <w:tc>
          <w:tcPr>
            <w:tcW w:type="dxa" w:w="1587"/>
          </w:tcPr>
          <w:p>
            <w:pPr>
              <w:spacing w:line="240" w:lineRule="auto"/>
            </w:pPr>
            <w:r>
              <w:rPr>
                <w:rFonts w:ascii="Times New Roman" w:hAnsi="Times New Roman" w:eastAsia="Times New Roman"/>
                <w:b w:val="0"/>
                <w:i w:val="0"/>
                <w:sz w:val="18"/>
              </w:rPr>
              <w:t>Tidak menguji progresi perilaku pembelian pengguna pada satu antarmuka eksperimen</w:t>
            </w:r>
          </w:p>
        </w:tc>
      </w:tr>
      <w:tr>
        <w:tc>
          <w:tcPr>
            <w:tcW w:type="dxa" w:w="1587"/>
          </w:tcPr>
          <w:p>
            <w:pPr>
              <w:spacing w:line="240" w:lineRule="auto"/>
            </w:pPr>
            <w:r>
              <w:rPr>
                <w:rFonts w:ascii="Times New Roman" w:hAnsi="Times New Roman" w:eastAsia="Times New Roman"/>
                <w:b w:val="0"/>
                <w:i w:val="0"/>
                <w:sz w:val="18"/>
              </w:rPr>
              <w:t>Araujo (2018)</w:t>
            </w:r>
          </w:p>
        </w:tc>
        <w:tc>
          <w:tcPr>
            <w:tcW w:type="dxa" w:w="1587"/>
          </w:tcPr>
          <w:p>
            <w:pPr>
              <w:spacing w:line="240" w:lineRule="auto"/>
            </w:pPr>
            <w:r>
              <w:rPr>
                <w:rFonts w:ascii="Times New Roman" w:hAnsi="Times New Roman" w:eastAsia="Times New Roman"/>
                <w:b w:val="0"/>
                <w:i w:val="0"/>
                <w:sz w:val="18"/>
              </w:rPr>
              <w:t>Persepsi terhadap desain agen percakapan</w:t>
            </w:r>
          </w:p>
        </w:tc>
        <w:tc>
          <w:tcPr>
            <w:tcW w:type="dxa" w:w="1587"/>
          </w:tcPr>
          <w:p>
            <w:pPr>
              <w:spacing w:line="240" w:lineRule="auto"/>
            </w:pPr>
            <w:r>
              <w:rPr>
                <w:rFonts w:ascii="Times New Roman" w:hAnsi="Times New Roman" w:eastAsia="Times New Roman"/>
                <w:b w:val="0"/>
                <w:i w:val="0"/>
                <w:sz w:val="18"/>
              </w:rPr>
              <w:t>Eksperimen pengguna</w:t>
            </w:r>
          </w:p>
        </w:tc>
        <w:tc>
          <w:tcPr>
            <w:tcW w:type="dxa" w:w="1587"/>
          </w:tcPr>
          <w:p>
            <w:pPr>
              <w:spacing w:line="240" w:lineRule="auto"/>
            </w:pPr>
            <w:r>
              <w:rPr>
                <w:rFonts w:ascii="Times New Roman" w:hAnsi="Times New Roman" w:eastAsia="Times New Roman"/>
                <w:b w:val="0"/>
                <w:i w:val="0"/>
                <w:sz w:val="18"/>
              </w:rPr>
              <w:t>Isyarat desain dan framing memengaruhi persepsi</w:t>
            </w:r>
          </w:p>
        </w:tc>
        <w:tc>
          <w:tcPr>
            <w:tcW w:type="dxa" w:w="1587"/>
          </w:tcPr>
          <w:p>
            <w:pPr>
              <w:spacing w:line="240" w:lineRule="auto"/>
            </w:pPr>
            <w:r>
              <w:rPr>
                <w:rFonts w:ascii="Times New Roman" w:hAnsi="Times New Roman" w:eastAsia="Times New Roman"/>
                <w:b w:val="0"/>
                <w:i w:val="0"/>
                <w:sz w:val="18"/>
              </w:rPr>
              <w:t>Tidak mengisolasi perbedaan reasoning engine LLM</w:t>
            </w:r>
          </w:p>
        </w:tc>
      </w:tr>
      <w:tr>
        <w:tc>
          <w:tcPr>
            <w:tcW w:type="dxa" w:w="1587"/>
          </w:tcPr>
          <w:p>
            <w:pPr>
              <w:spacing w:line="240" w:lineRule="auto"/>
            </w:pPr>
            <w:r>
              <w:rPr>
                <w:rFonts w:ascii="Times New Roman" w:hAnsi="Times New Roman" w:eastAsia="Times New Roman"/>
                <w:b w:val="0"/>
                <w:i w:val="0"/>
                <w:sz w:val="18"/>
              </w:rPr>
              <w:t>Luo et al. (2019)</w:t>
            </w:r>
          </w:p>
        </w:tc>
        <w:tc>
          <w:tcPr>
            <w:tcW w:type="dxa" w:w="1587"/>
          </w:tcPr>
          <w:p>
            <w:pPr>
              <w:spacing w:line="240" w:lineRule="auto"/>
            </w:pPr>
            <w:r>
              <w:rPr>
                <w:rFonts w:ascii="Times New Roman" w:hAnsi="Times New Roman" w:eastAsia="Times New Roman"/>
                <w:b w:val="0"/>
                <w:i w:val="0"/>
                <w:sz w:val="18"/>
              </w:rPr>
              <w:t>Pengaruh pengungkapan chatbot terhadap pembelian</w:t>
            </w:r>
          </w:p>
        </w:tc>
        <w:tc>
          <w:tcPr>
            <w:tcW w:type="dxa" w:w="1587"/>
          </w:tcPr>
          <w:p>
            <w:pPr>
              <w:spacing w:line="240" w:lineRule="auto"/>
            </w:pPr>
            <w:r>
              <w:rPr>
                <w:rFonts w:ascii="Times New Roman" w:hAnsi="Times New Roman" w:eastAsia="Times New Roman"/>
                <w:b w:val="0"/>
                <w:i w:val="0"/>
                <w:sz w:val="18"/>
              </w:rPr>
              <w:t>Eksperimen lapangan</w:t>
            </w:r>
          </w:p>
        </w:tc>
        <w:tc>
          <w:tcPr>
            <w:tcW w:type="dxa" w:w="1587"/>
          </w:tcPr>
          <w:p>
            <w:pPr>
              <w:spacing w:line="240" w:lineRule="auto"/>
            </w:pPr>
            <w:r>
              <w:rPr>
                <w:rFonts w:ascii="Times New Roman" w:hAnsi="Times New Roman" w:eastAsia="Times New Roman"/>
                <w:b w:val="0"/>
                <w:i w:val="0"/>
                <w:sz w:val="18"/>
              </w:rPr>
              <w:t>Pengungkapan identitas chatbot dapat mengubah hasil pembelian</w:t>
            </w:r>
          </w:p>
        </w:tc>
        <w:tc>
          <w:tcPr>
            <w:tcW w:type="dxa" w:w="1587"/>
          </w:tcPr>
          <w:p>
            <w:pPr>
              <w:spacing w:line="240" w:lineRule="auto"/>
            </w:pPr>
            <w:r>
              <w:rPr>
                <w:rFonts w:ascii="Times New Roman" w:hAnsi="Times New Roman" w:eastAsia="Times New Roman"/>
                <w:b w:val="0"/>
                <w:i w:val="0"/>
                <w:sz w:val="18"/>
              </w:rPr>
              <w:t>Membandingkan konteks chatbot versus manusia/pengungkapan, bukan antarmodel LLM</w:t>
            </w:r>
          </w:p>
        </w:tc>
      </w:tr>
      <w:tr>
        <w:tc>
          <w:tcPr>
            <w:tcW w:type="dxa" w:w="1587"/>
          </w:tcPr>
          <w:p>
            <w:pPr>
              <w:spacing w:line="240" w:lineRule="auto"/>
            </w:pPr>
            <w:r>
              <w:rPr>
                <w:rFonts w:ascii="Times New Roman" w:hAnsi="Times New Roman" w:eastAsia="Times New Roman"/>
                <w:b w:val="0"/>
                <w:i w:val="0"/>
                <w:sz w:val="18"/>
              </w:rPr>
              <w:t>Lemon &amp; Verhoef (2016)</w:t>
            </w:r>
          </w:p>
        </w:tc>
        <w:tc>
          <w:tcPr>
            <w:tcW w:type="dxa" w:w="1587"/>
          </w:tcPr>
          <w:p>
            <w:pPr>
              <w:spacing w:line="240" w:lineRule="auto"/>
            </w:pPr>
            <w:r>
              <w:rPr>
                <w:rFonts w:ascii="Times New Roman" w:hAnsi="Times New Roman" w:eastAsia="Times New Roman"/>
                <w:b w:val="0"/>
                <w:i w:val="0"/>
                <w:sz w:val="18"/>
              </w:rPr>
              <w:t>Customer journey lintas titik kontak</w:t>
            </w:r>
          </w:p>
        </w:tc>
        <w:tc>
          <w:tcPr>
            <w:tcW w:type="dxa" w:w="1587"/>
          </w:tcPr>
          <w:p>
            <w:pPr>
              <w:spacing w:line="240" w:lineRule="auto"/>
            </w:pPr>
            <w:r>
              <w:rPr>
                <w:rFonts w:ascii="Times New Roman" w:hAnsi="Times New Roman" w:eastAsia="Times New Roman"/>
                <w:b w:val="0"/>
                <w:i w:val="0"/>
                <w:sz w:val="18"/>
              </w:rPr>
              <w:t>Kajian konseptual</w:t>
            </w:r>
          </w:p>
        </w:tc>
        <w:tc>
          <w:tcPr>
            <w:tcW w:type="dxa" w:w="1587"/>
          </w:tcPr>
          <w:p>
            <w:pPr>
              <w:spacing w:line="240" w:lineRule="auto"/>
            </w:pPr>
            <w:r>
              <w:rPr>
                <w:rFonts w:ascii="Times New Roman" w:hAnsi="Times New Roman" w:eastAsia="Times New Roman"/>
                <w:b w:val="0"/>
                <w:i w:val="0"/>
                <w:sz w:val="18"/>
              </w:rPr>
              <w:t>Menjelaskan pentingnya pengalaman sepanjang perjalanan konsumen</w:t>
            </w:r>
          </w:p>
        </w:tc>
        <w:tc>
          <w:tcPr>
            <w:tcW w:type="dxa" w:w="1587"/>
          </w:tcPr>
          <w:p>
            <w:pPr>
              <w:spacing w:line="240" w:lineRule="auto"/>
            </w:pPr>
            <w:r>
              <w:rPr>
                <w:rFonts w:ascii="Times New Roman" w:hAnsi="Times New Roman" w:eastAsia="Times New Roman"/>
                <w:b w:val="0"/>
                <w:i w:val="0"/>
                <w:sz w:val="18"/>
              </w:rPr>
              <w:t>Tidak memberikan benchmark LLM maupun arsitektur agen</w:t>
            </w:r>
          </w:p>
        </w:tc>
      </w:tr>
    </w:tbl>
    <w:p>
      <w:pPr>
        <w:ind w:firstLine="709"/>
      </w:pPr>
      <w:r>
        <w:rPr>
          <w:rFonts w:ascii="Times New Roman" w:hAnsi="Times New Roman" w:eastAsia="Times New Roman"/>
          <w:b w:val="0"/>
          <w:i w:val="0"/>
          <w:sz w:val="24"/>
        </w:rPr>
        <w:t>Perbandingan tersebut menunjukkan tiga celah yang relevan dengan rancangan penelitian ini. Pertama, riset benchmark agen berfokus pada keberhasilan menyelesaikan tugas dan penggunaan tools, sedangkan kajian perilaku konsumen berfokus pada persepsi atau pembelian. Kedua, benchmark penalaran belanja belum secara langsung memberikan bukti mengenai tindakan pengguna dalam satu pengalaman e-commerce yang dikendalikan. Ketiga, belum terjawab dalam literatur terpilih apakah variasi kinerja teknis reasoning engine berkaitan dengan perubahan bertahap dari melihat rekomendasi hingga memulai checkout atau menyelesaikan pembelian.</w:t>
      </w:r>
    </w:p>
    <w:p>
      <w:pPr>
        <w:ind w:firstLine="709"/>
      </w:pPr>
      <w:r>
        <w:rPr>
          <w:rFonts w:ascii="Times New Roman" w:hAnsi="Times New Roman" w:eastAsia="Times New Roman"/>
          <w:b w:val="0"/>
          <w:i w:val="0"/>
          <w:sz w:val="24"/>
        </w:rPr>
        <w:t>Dengan demikian, posisi penelitian ini adalah membandingkan beberapa LLM pada arsitektur Agentic Conversational Sales Assistant yang sama dan menghubungkan dua lapisan pengukuran: kinerja teknis agen melalui Controlled Agent Benchmark serta perilaku pengguna melalui Randomized User Experiment. Kontribusi yang ditargetkan adalah perbandingan terpadu antarmodel dan analisis hubungan antarlapisan. Klaim kebaruan bersifat relatif terhadap literatur yang telah dikaji serta tetap memerlukan pembaruan telaah pustaka sebelum proposal difinalkan.</w:t>
      </w:r>
    </w:p>
    <w:p>
      <w:pPr>
        <w:pStyle w:val="Heading2"/>
      </w:pPr>
      <w:r>
        <w:t>2.3 Landasan Teori</w:t>
      </w:r>
    </w:p>
    <w:p>
      <w:pPr>
        <w:ind w:firstLine="709"/>
      </w:pPr>
      <w:r>
        <w:rPr>
          <w:rFonts w:ascii="Times New Roman" w:hAnsi="Times New Roman" w:eastAsia="Times New Roman"/>
          <w:b w:val="0"/>
          <w:i w:val="0"/>
          <w:sz w:val="24"/>
        </w:rPr>
        <w:t>Landasan teori berikut menjelaskan konsep operasional yang digunakan untuk merancang agen, membandingkan LLM, menentukan metrik, dan menginterpretasikan tindakan pengguna. Istilah teknis dipertahankan untuk menjaga kesesuaian dengan literatur komputasi dan e-commerce.</w:t>
      </w:r>
    </w:p>
    <w:p>
      <w:pPr>
        <w:pStyle w:val="Heading2"/>
      </w:pPr>
      <w:r>
        <w:t>2.4 E-Commerce dan Sistem Rekomendasi Berbasis Percakapan</w:t>
      </w:r>
    </w:p>
    <w:p>
      <w:pPr>
        <w:ind w:firstLine="709"/>
      </w:pPr>
      <w:r>
        <w:rPr>
          <w:rFonts w:ascii="Times New Roman" w:hAnsi="Times New Roman" w:eastAsia="Times New Roman"/>
          <w:b w:val="0"/>
          <w:i w:val="0"/>
          <w:sz w:val="24"/>
        </w:rPr>
        <w:t>E-commerce dalam penelitian ini dipahami sebagai lingkungan digital tempat pengguna mencari dan memilih produk melalui katalog serta antarmuka transaksi. Proses tersebut dapat dibantu conversational recommender system, yaitu sistem rekomendasi yang mengumpulkan kebutuhan dan memberikan pilihan melalui dialog interaktif. Jannach (2023) menekankan perlunya mengevaluasi kualitas komponen dan pengalaman pengguna ketika sistem rekomendasi berinteraksi secara bertahap. Dalam penelitian ini, katalog produk menjadi sumber fakta, sedangkan percakapan menjadi sarana penggalian kebutuhan dan penyampaian rekomendasi.</w:t>
      </w:r>
    </w:p>
    <w:p>
      <w:pPr>
        <w:ind w:firstLine="709"/>
      </w:pPr>
      <w:r>
        <w:rPr>
          <w:rFonts w:ascii="Times New Roman" w:hAnsi="Times New Roman" w:eastAsia="Times New Roman"/>
          <w:b w:val="0"/>
          <w:i w:val="0"/>
          <w:sz w:val="24"/>
        </w:rPr>
        <w:t>Kebutuhan pelanggan dibedakan menjadi hard constraints (syarat yang wajib dipenuhi, misalnya batas harga maksimal) dan preferences (keinginan yang dapat dinegosiasikan, misalnya warna atau merek). Pembedaan ini adalah definisi operasional penelitian untuk mencegah produk yang hanya cocok secara preferensi dinilai berhasil ketika melanggar syarat mutlak. Ground truth produk disiapkan dari data katalog yang telah diperiksa dan aturan kelayakan yang terdokumentasi (Fan et al., 2026).</w:t>
      </w:r>
    </w:p>
    <w:p>
      <w:pPr>
        <w:pStyle w:val="Heading2"/>
      </w:pPr>
      <w:r>
        <w:t>2.5 Large Language Models sebagai Reasoning Engine</w:t>
      </w:r>
    </w:p>
    <w:p>
      <w:pPr>
        <w:ind w:firstLine="709"/>
      </w:pPr>
      <w:r>
        <w:rPr>
          <w:rFonts w:ascii="Times New Roman" w:hAnsi="Times New Roman" w:eastAsia="Times New Roman"/>
          <w:b w:val="0"/>
          <w:i w:val="0"/>
          <w:sz w:val="24"/>
        </w:rPr>
        <w:t>Large Language Models adalah model bahasa berparameter besar yang menghasilkan atau memproses rangkaian token dari konteks masukan. Arsitektur Transformer yang diperkenalkan Vaswani et al. (2017) merupakan salah satu fondasi utama perkembangan model bahasa modern. Dalam penelitian ini, istilah reasoning engine merujuk pada peran fungsional LLM untuk menafsirkan tujuan pengguna, memilih langkah klarifikasi, memutuskan pemanggilan tools, mempertimbangkan alternatif, serta membentuk respons. Penyebutan reasoning engine tidak berarti proses internal model identik dengan penalaran manusia.</w:t>
      </w:r>
    </w:p>
    <w:p>
      <w:pPr>
        <w:ind w:firstLine="709"/>
      </w:pPr>
      <w:r>
        <w:rPr>
          <w:rFonts w:ascii="Times New Roman" w:hAnsi="Times New Roman" w:eastAsia="Times New Roman"/>
          <w:b w:val="0"/>
          <w:i w:val="0"/>
          <w:sz w:val="24"/>
        </w:rPr>
        <w:t>Model yang dibandingkan akan menggunakan instruksi inti, definisi tools, basis data, dan aturan keputusan yang sama sejauh dimungkinkan oleh penyedia masing-masing. Perbedaan versi model, pengaturan sampling, batas konteks, dan perilaku antarmuka pemrograman perlu dicatat agar interpretasi hasil tidak mengabaikan faktor implementasi (Kohavi et al., 2020).</w:t>
      </w:r>
    </w:p>
    <w:p>
      <w:pPr>
        <w:pStyle w:val="Heading2"/>
      </w:pPr>
      <w:r>
        <w:t>2.6 Agentic AI, ReAct, dan Orkestrasi Tools</w:t>
      </w:r>
    </w:p>
    <w:p>
      <w:pPr>
        <w:ind w:firstLine="709"/>
      </w:pPr>
      <w:r>
        <w:rPr>
          <w:rFonts w:ascii="Times New Roman" w:hAnsi="Times New Roman" w:eastAsia="Times New Roman"/>
          <w:b w:val="0"/>
          <w:i w:val="0"/>
          <w:sz w:val="24"/>
        </w:rPr>
        <w:t>Agentic AI dalam konteks ini merupakan sistem yang menggabungkan LLM dengan alur kendali dan kemampuan bertindak terhadap lingkungan, misalnya mengakses basis data atau memanggil fungsi pencarian. Pola ReAct mengilustrasikan hubungan antara langkah penalaran dan tindakan yang memanfaatkan hasil observasi eksternal (Yao et al., 2023). Toolformer memperlihatkan bahwa kemampuan penggunaan API merupakan dimensi penting bagi model bahasa (Schick et al., 2023).</w:t>
      </w:r>
    </w:p>
    <w:p>
      <w:pPr>
        <w:ind w:firstLine="709"/>
      </w:pPr>
      <w:r>
        <w:rPr>
          <w:rFonts w:ascii="Times New Roman" w:hAnsi="Times New Roman" w:eastAsia="Times New Roman"/>
          <w:b w:val="0"/>
          <w:i w:val="0"/>
          <w:sz w:val="24"/>
        </w:rPr>
        <w:t>Arsitektur agen dirancang sebagai alur: masukan pengguna → interpretasi kebutuhan oleh LLM → keputusan klarifikasi atau pemanggilan tool → hasil dari katalog produk → validasi batasan dan fakta → rekomendasi/respons → pencatatan interaksi. Sistem perlu memisahkan keluaran LLM dari validasi data, karena klaim harga, stok, dan spesifikasi tidak dapat dianggap benar hanya karena disampaikan dengan lancar. Penggunaan data eksternal untuk mendukung keluaran model sejalan dengan motivasi pendekatan retrieval-augmented generation (Lewis et al., 2020).</w:t>
      </w:r>
    </w:p>
    <w:p>
      <w:pPr>
        <w:pStyle w:val="Heading2"/>
      </w:pPr>
      <w:r>
        <w:t>2.7 Ground Truth, Kepatuhan Batasan, dan Hallucination</w:t>
      </w:r>
    </w:p>
    <w:p>
      <w:pPr>
        <w:ind w:firstLine="709"/>
      </w:pPr>
      <w:r>
        <w:rPr>
          <w:rFonts w:ascii="Times New Roman" w:hAnsi="Times New Roman" w:eastAsia="Times New Roman"/>
          <w:b w:val="0"/>
          <w:i w:val="0"/>
          <w:sz w:val="24"/>
        </w:rPr>
        <w:t>Ground truth merupakan acuan yang disusun sebelum pengujian untuk menentukan kesesuaian jawaban dan rekomendasi dengan skenario. Acuan ini dapat berupa atribut produk yang benar, aturan syarat mutlak, serta kumpulan produk yang dianggap layak berdasarkan skenario. Kebenaran informasi perlu dievaluasi terhadap katalog dan aturan yang tersedia, bukan pengetahuan umum model. Literatur tentang hallucination menjelaskan bahwa keluaran generatif dapat mengandung informasi yang tidak didukung sumber (Ji et al., 2023).</w:t>
      </w:r>
    </w:p>
    <w:p>
      <w:pPr>
        <w:ind w:firstLine="709"/>
      </w:pPr>
      <w:r>
        <w:rPr>
          <w:rFonts w:ascii="Times New Roman" w:hAnsi="Times New Roman" w:eastAsia="Times New Roman"/>
          <w:b w:val="0"/>
          <w:i w:val="0"/>
          <w:sz w:val="24"/>
        </w:rPr>
        <w:t>Pada pengujian, satu klaim produk dinilai hallucinated jika bertentangan dengan fakta pada basis data atau menyebut atribut yang tidak memiliki dukungan dalam sumber yang ditentukan. Klaim yang tidak dapat diverifikasi ditandai tersendiri agar tidak otomatis dianggap benar. Penetapan rubrik dilakukan sebelum eksperimen, menggunakan anotator atau pemeriksaan aturan yang terdokumentasi.</w:t>
      </w:r>
    </w:p>
    <w:p>
      <w:pPr>
        <w:pStyle w:val="Heading2"/>
      </w:pPr>
      <w:r>
        <w:t>2.8 Metrik Perbandingan Kinerja Agen</w:t>
      </w:r>
    </w:p>
    <w:p>
      <w:pPr>
        <w:ind w:firstLine="709"/>
      </w:pPr>
      <w:r>
        <w:rPr>
          <w:rFonts w:ascii="Times New Roman" w:hAnsi="Times New Roman" w:eastAsia="Times New Roman"/>
          <w:b w:val="0"/>
          <w:i w:val="0"/>
          <w:sz w:val="24"/>
        </w:rPr>
        <w:t>Pengukuran kinerja teknis mengadaptasi prinsip penyelesaian tugas dan penggunaan tools dalam τ-bench (Yao et al., 2025), serta evaluasi berbasis kriteria kebutuhan belanja pada Shopping Reasoning Bench (Fan et al., 2026). Rumus di bawah adalah definisi operasional yang diusulkan untuk penelitian ini dan tidak semuanya merupakan rumus yang dinyatakan secara identik oleh sumber tersebut.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E8E7FF"/>
            <w:vAlign w:val="center"/>
          </w:tcPr>
          <w:p>
            <w:pPr>
              <w:jc w:val="center"/>
            </w:pPr>
            <w:r>
              <w:rPr>
                <w:rFonts w:ascii="Times New Roman" w:hAnsi="Times New Roman" w:eastAsia="Times New Roman"/>
                <w:b/>
                <w:i w:val="0"/>
                <w:sz w:val="18"/>
              </w:rPr>
              <w:t>Metrik</w:t>
            </w:r>
          </w:p>
        </w:tc>
        <w:tc>
          <w:tcPr>
            <w:tcW w:type="dxa" w:w="1984"/>
            <w:shd w:fill="E8E7FF"/>
            <w:vAlign w:val="center"/>
          </w:tcPr>
          <w:p>
            <w:pPr>
              <w:jc w:val="center"/>
            </w:pPr>
            <w:r>
              <w:rPr>
                <w:rFonts w:ascii="Times New Roman" w:hAnsi="Times New Roman" w:eastAsia="Times New Roman"/>
                <w:b/>
                <w:i w:val="0"/>
                <w:sz w:val="18"/>
              </w:rPr>
              <w:t>Definisi Operasional</w:t>
            </w:r>
          </w:p>
        </w:tc>
        <w:tc>
          <w:tcPr>
            <w:tcW w:type="dxa" w:w="1984"/>
            <w:shd w:fill="E8E7FF"/>
            <w:vAlign w:val="center"/>
          </w:tcPr>
          <w:p>
            <w:pPr>
              <w:jc w:val="center"/>
            </w:pPr>
            <w:r>
              <w:rPr>
                <w:rFonts w:ascii="Times New Roman" w:hAnsi="Times New Roman" w:eastAsia="Times New Roman"/>
                <w:b/>
                <w:i w:val="0"/>
                <w:sz w:val="18"/>
              </w:rPr>
              <w:t>Rumus atau Cara Pengukuran</w:t>
            </w:r>
          </w:p>
        </w:tc>
        <w:tc>
          <w:tcPr>
            <w:tcW w:type="dxa" w:w="1984"/>
            <w:shd w:fill="E8E7FF"/>
            <w:vAlign w:val="center"/>
          </w:tcPr>
          <w:p>
            <w:pPr>
              <w:jc w:val="center"/>
            </w:pPr>
            <w:r>
              <w:rPr>
                <w:rFonts w:ascii="Times New Roman" w:hAnsi="Times New Roman" w:eastAsia="Times New Roman"/>
                <w:b/>
                <w:i w:val="0"/>
                <w:sz w:val="18"/>
              </w:rPr>
              <w:t>Interpretasi</w:t>
            </w:r>
          </w:p>
        </w:tc>
      </w:tr>
      <w:tr>
        <w:tc>
          <w:tcPr>
            <w:tcW w:type="dxa" w:w="1984"/>
          </w:tcPr>
          <w:p>
            <w:pPr>
              <w:spacing w:line="240" w:lineRule="auto"/>
            </w:pPr>
            <w:r>
              <w:rPr>
                <w:rFonts w:ascii="Times New Roman" w:hAnsi="Times New Roman" w:eastAsia="Times New Roman"/>
                <w:b w:val="0"/>
                <w:i w:val="0"/>
                <w:sz w:val="18"/>
              </w:rPr>
              <w:t>Task Success Rate (TSR)</w:t>
            </w:r>
          </w:p>
        </w:tc>
        <w:tc>
          <w:tcPr>
            <w:tcW w:type="dxa" w:w="1984"/>
          </w:tcPr>
          <w:p>
            <w:pPr>
              <w:spacing w:line="240" w:lineRule="auto"/>
            </w:pPr>
            <w:r>
              <w:rPr>
                <w:rFonts w:ascii="Times New Roman" w:hAnsi="Times New Roman" w:eastAsia="Times New Roman"/>
                <w:b w:val="0"/>
                <w:i w:val="0"/>
                <w:sz w:val="18"/>
              </w:rPr>
              <w:t>Proporsi skenario yang memenuhi tujuan akhir sesuai ground truth</w:t>
            </w:r>
          </w:p>
        </w:tc>
        <w:tc>
          <w:tcPr>
            <w:tcW w:type="dxa" w:w="1984"/>
          </w:tcPr>
          <w:p>
            <w:pPr>
              <w:spacing w:line="240" w:lineRule="auto"/>
            </w:pPr>
            <w:r>
              <w:rPr>
                <w:rFonts w:ascii="Times New Roman" w:hAnsi="Times New Roman" w:eastAsia="Times New Roman"/>
                <w:b w:val="0"/>
                <w:i w:val="0"/>
                <w:sz w:val="18"/>
              </w:rPr>
              <w:t>TSR = jumlah skenario berhasil / jumlah skenario valid</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Hard Constraint Satisfaction (HCS)</w:t>
            </w:r>
          </w:p>
        </w:tc>
        <w:tc>
          <w:tcPr>
            <w:tcW w:type="dxa" w:w="1984"/>
          </w:tcPr>
          <w:p>
            <w:pPr>
              <w:spacing w:line="240" w:lineRule="auto"/>
            </w:pPr>
            <w:r>
              <w:rPr>
                <w:rFonts w:ascii="Times New Roman" w:hAnsi="Times New Roman" w:eastAsia="Times New Roman"/>
                <w:b w:val="0"/>
                <w:i w:val="0"/>
                <w:sz w:val="18"/>
              </w:rPr>
              <w:t>Proporsi syarat mutlak yang dipenuhi rekomendasi</w:t>
            </w:r>
          </w:p>
        </w:tc>
        <w:tc>
          <w:tcPr>
            <w:tcW w:type="dxa" w:w="1984"/>
          </w:tcPr>
          <w:p>
            <w:pPr>
              <w:spacing w:line="240" w:lineRule="auto"/>
            </w:pPr>
            <w:r>
              <w:rPr>
                <w:rFonts w:ascii="Times New Roman" w:hAnsi="Times New Roman" w:eastAsia="Times New Roman"/>
                <w:b w:val="0"/>
                <w:i w:val="0"/>
                <w:sz w:val="18"/>
              </w:rPr>
              <w:t>HCS = jumlah hard constraints terpenuhi / jumlah hard constraints yang dinilai</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Preference Satisfaction (PS)</w:t>
            </w:r>
          </w:p>
        </w:tc>
        <w:tc>
          <w:tcPr>
            <w:tcW w:type="dxa" w:w="1984"/>
          </w:tcPr>
          <w:p>
            <w:pPr>
              <w:spacing w:line="240" w:lineRule="auto"/>
            </w:pPr>
            <w:r>
              <w:rPr>
                <w:rFonts w:ascii="Times New Roman" w:hAnsi="Times New Roman" w:eastAsia="Times New Roman"/>
                <w:b w:val="0"/>
                <w:i w:val="0"/>
                <w:sz w:val="18"/>
              </w:rPr>
              <w:t>Proporsi preferensi opsional yang dipenuhi produk rekomendasi</w:t>
            </w:r>
          </w:p>
        </w:tc>
        <w:tc>
          <w:tcPr>
            <w:tcW w:type="dxa" w:w="1984"/>
          </w:tcPr>
          <w:p>
            <w:pPr>
              <w:spacing w:line="240" w:lineRule="auto"/>
            </w:pPr>
            <w:r>
              <w:rPr>
                <w:rFonts w:ascii="Times New Roman" w:hAnsi="Times New Roman" w:eastAsia="Times New Roman"/>
                <w:b w:val="0"/>
                <w:i w:val="0"/>
                <w:sz w:val="18"/>
              </w:rPr>
              <w:t>PS = jumlah preferensi terpenuhi / jumlah preferensi yang dinilai</w:t>
            </w:r>
          </w:p>
        </w:tc>
        <w:tc>
          <w:tcPr>
            <w:tcW w:type="dxa" w:w="1984"/>
          </w:tcPr>
          <w:p>
            <w:pPr>
              <w:spacing w:line="240" w:lineRule="auto"/>
            </w:pPr>
            <w:r>
              <w:rPr>
                <w:rFonts w:ascii="Times New Roman" w:hAnsi="Times New Roman" w:eastAsia="Times New Roman"/>
                <w:b w:val="0"/>
                <w:i w:val="0"/>
                <w:sz w:val="18"/>
              </w:rPr>
              <w:t>Lebih tinggi lebih baik; dipisahkan dari HCS</w:t>
            </w:r>
          </w:p>
        </w:tc>
      </w:tr>
      <w:tr>
        <w:tc>
          <w:tcPr>
            <w:tcW w:type="dxa" w:w="1984"/>
          </w:tcPr>
          <w:p>
            <w:pPr>
              <w:spacing w:line="240" w:lineRule="auto"/>
            </w:pPr>
            <w:r>
              <w:rPr>
                <w:rFonts w:ascii="Times New Roman" w:hAnsi="Times New Roman" w:eastAsia="Times New Roman"/>
                <w:b w:val="0"/>
                <w:i w:val="0"/>
                <w:sz w:val="18"/>
              </w:rPr>
              <w:t>Hallucination Rate (HR)</w:t>
            </w:r>
          </w:p>
        </w:tc>
        <w:tc>
          <w:tcPr>
            <w:tcW w:type="dxa" w:w="1984"/>
          </w:tcPr>
          <w:p>
            <w:pPr>
              <w:spacing w:line="240" w:lineRule="auto"/>
            </w:pPr>
            <w:r>
              <w:rPr>
                <w:rFonts w:ascii="Times New Roman" w:hAnsi="Times New Roman" w:eastAsia="Times New Roman"/>
                <w:b w:val="0"/>
                <w:i w:val="0"/>
                <w:sz w:val="18"/>
              </w:rPr>
              <w:t>Proporsi klaim faktual tidak didukung atau salah dibanding seluruh klaim faktual yang dapat dinilai</w:t>
            </w:r>
          </w:p>
        </w:tc>
        <w:tc>
          <w:tcPr>
            <w:tcW w:type="dxa" w:w="1984"/>
          </w:tcPr>
          <w:p>
            <w:pPr>
              <w:spacing w:line="240" w:lineRule="auto"/>
            </w:pPr>
            <w:r>
              <w:rPr>
                <w:rFonts w:ascii="Times New Roman" w:hAnsi="Times New Roman" w:eastAsia="Times New Roman"/>
                <w:b w:val="0"/>
                <w:i w:val="0"/>
                <w:sz w:val="18"/>
              </w:rPr>
              <w:t>HR = jumlah klaim halusinasi / jumlah klaim faktual yang dinilai</w:t>
            </w:r>
          </w:p>
        </w:tc>
        <w:tc>
          <w:tcPr>
            <w:tcW w:type="dxa" w:w="1984"/>
          </w:tcPr>
          <w:p>
            <w:pPr>
              <w:spacing w:line="240" w:lineRule="auto"/>
            </w:pPr>
            <w:r>
              <w:rPr>
                <w:rFonts w:ascii="Times New Roman" w:hAnsi="Times New Roman" w:eastAsia="Times New Roman"/>
                <w:b w:val="0"/>
                <w:i w:val="0"/>
                <w:sz w:val="18"/>
              </w:rPr>
              <w:t>Lebih rendah lebih baik</w:t>
            </w:r>
          </w:p>
        </w:tc>
      </w:tr>
      <w:tr>
        <w:tc>
          <w:tcPr>
            <w:tcW w:type="dxa" w:w="1984"/>
          </w:tcPr>
          <w:p>
            <w:pPr>
              <w:spacing w:line="240" w:lineRule="auto"/>
            </w:pPr>
            <w:r>
              <w:rPr>
                <w:rFonts w:ascii="Times New Roman" w:hAnsi="Times New Roman" w:eastAsia="Times New Roman"/>
                <w:b w:val="0"/>
                <w:i w:val="0"/>
                <w:sz w:val="18"/>
              </w:rPr>
              <w:t>Tool Call Success Rate (TCSR)</w:t>
            </w:r>
          </w:p>
        </w:tc>
        <w:tc>
          <w:tcPr>
            <w:tcW w:type="dxa" w:w="1984"/>
          </w:tcPr>
          <w:p>
            <w:pPr>
              <w:spacing w:line="240" w:lineRule="auto"/>
            </w:pPr>
            <w:r>
              <w:rPr>
                <w:rFonts w:ascii="Times New Roman" w:hAnsi="Times New Roman" w:eastAsia="Times New Roman"/>
                <w:b w:val="0"/>
                <w:i w:val="0"/>
                <w:sz w:val="18"/>
              </w:rPr>
              <w:t>Proporsi upaya pemanggilan tool yang valid dan berhasil</w:t>
            </w:r>
          </w:p>
        </w:tc>
        <w:tc>
          <w:tcPr>
            <w:tcW w:type="dxa" w:w="1984"/>
          </w:tcPr>
          <w:p>
            <w:pPr>
              <w:spacing w:line="240" w:lineRule="auto"/>
            </w:pPr>
            <w:r>
              <w:rPr>
                <w:rFonts w:ascii="Times New Roman" w:hAnsi="Times New Roman" w:eastAsia="Times New Roman"/>
                <w:b w:val="0"/>
                <w:i w:val="0"/>
                <w:sz w:val="18"/>
              </w:rPr>
              <w:t>TCSR = jumlah panggilan tool berhasil / seluruh upaya pemanggilan tool</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Conversation Efficiency (CE)</w:t>
            </w:r>
          </w:p>
        </w:tc>
        <w:tc>
          <w:tcPr>
            <w:tcW w:type="dxa" w:w="1984"/>
          </w:tcPr>
          <w:p>
            <w:pPr>
              <w:spacing w:line="240" w:lineRule="auto"/>
            </w:pPr>
            <w:r>
              <w:rPr>
                <w:rFonts w:ascii="Times New Roman" w:hAnsi="Times New Roman" w:eastAsia="Times New Roman"/>
                <w:b w:val="0"/>
                <w:i w:val="0"/>
                <w:sz w:val="18"/>
              </w:rPr>
              <w:t>Banyaknya giliran atau token yang diperlukan sampai tugas berhasil</w:t>
            </w:r>
          </w:p>
        </w:tc>
        <w:tc>
          <w:tcPr>
            <w:tcW w:type="dxa" w:w="1984"/>
          </w:tcPr>
          <w:p>
            <w:pPr>
              <w:spacing w:line="240" w:lineRule="auto"/>
            </w:pPr>
            <w:r>
              <w:rPr>
                <w:rFonts w:ascii="Times New Roman" w:hAnsi="Times New Roman" w:eastAsia="Times New Roman"/>
                <w:b w:val="0"/>
                <w:i w:val="0"/>
                <w:sz w:val="18"/>
              </w:rPr>
              <w:t>Turns-to-Success dan Tokens-to-Success dihitung pada skenario berhasil; kegagalan dilaporkan terpisah</w:t>
            </w:r>
          </w:p>
        </w:tc>
        <w:tc>
          <w:tcPr>
            <w:tcW w:type="dxa" w:w="1984"/>
          </w:tcPr>
          <w:p>
            <w:pPr>
              <w:spacing w:line="240" w:lineRule="auto"/>
            </w:pPr>
            <w:r>
              <w:rPr>
                <w:rFonts w:ascii="Times New Roman" w:hAnsi="Times New Roman" w:eastAsia="Times New Roman"/>
                <w:b w:val="0"/>
                <w:i w:val="0"/>
                <w:sz w:val="18"/>
              </w:rPr>
              <w:t>Lebih rendah lebih efisien pada kualitas keberhasilan yang setara</w:t>
            </w:r>
          </w:p>
        </w:tc>
      </w:tr>
      <w:tr>
        <w:tc>
          <w:tcPr>
            <w:tcW w:type="dxa" w:w="1984"/>
          </w:tcPr>
          <w:p>
            <w:pPr>
              <w:spacing w:line="240" w:lineRule="auto"/>
            </w:pPr>
            <w:r>
              <w:rPr>
                <w:rFonts w:ascii="Times New Roman" w:hAnsi="Times New Roman" w:eastAsia="Times New Roman"/>
                <w:b w:val="0"/>
                <w:i w:val="0"/>
                <w:sz w:val="18"/>
              </w:rPr>
              <w:t>Reliability</w:t>
            </w:r>
          </w:p>
        </w:tc>
        <w:tc>
          <w:tcPr>
            <w:tcW w:type="dxa" w:w="1984"/>
          </w:tcPr>
          <w:p>
            <w:pPr>
              <w:spacing w:line="240" w:lineRule="auto"/>
            </w:pPr>
            <w:r>
              <w:rPr>
                <w:rFonts w:ascii="Times New Roman" w:hAnsi="Times New Roman" w:eastAsia="Times New Roman"/>
                <w:b w:val="0"/>
                <w:i w:val="0"/>
                <w:sz w:val="18"/>
              </w:rPr>
              <w:t>Konsistensi keberhasilan pada pengulangan skenario yang sama</w:t>
            </w:r>
          </w:p>
        </w:tc>
        <w:tc>
          <w:tcPr>
            <w:tcW w:type="dxa" w:w="1984"/>
          </w:tcPr>
          <w:p>
            <w:pPr>
              <w:spacing w:line="240" w:lineRule="auto"/>
            </w:pPr>
            <w:r>
              <w:rPr>
                <w:rFonts w:ascii="Times New Roman" w:hAnsi="Times New Roman" w:eastAsia="Times New Roman"/>
                <w:b w:val="0"/>
                <w:i w:val="0"/>
                <w:sz w:val="18"/>
              </w:rPr>
              <w:t>Reliability = jumlah pengulangan berhasil / jumlah pengulangan valid</w:t>
            </w:r>
          </w:p>
        </w:tc>
        <w:tc>
          <w:tcPr>
            <w:tcW w:type="dxa" w:w="1984"/>
          </w:tcPr>
          <w:p>
            <w:pPr>
              <w:spacing w:line="240" w:lineRule="auto"/>
            </w:pPr>
            <w:r>
              <w:rPr>
                <w:rFonts w:ascii="Times New Roman" w:hAnsi="Times New Roman" w:eastAsia="Times New Roman"/>
                <w:b w:val="0"/>
                <w:i w:val="0"/>
                <w:sz w:val="18"/>
              </w:rPr>
              <w:t>Lebih tinggi lebih baik</w:t>
            </w:r>
          </w:p>
        </w:tc>
      </w:tr>
    </w:tbl>
    <w:p>
      <w:pPr>
        <w:ind w:firstLine="709"/>
      </w:pPr>
      <w:r>
        <w:rPr>
          <w:rFonts w:ascii="Times New Roman" w:hAnsi="Times New Roman" w:eastAsia="Times New Roman"/>
          <w:b w:val="0"/>
          <w:i w:val="0"/>
          <w:sz w:val="24"/>
        </w:rPr>
        <w:t>Jika penyebut suatu metrik bernilai nol, metrik ditandai not applicable dan tidak diberi nilai nol secara paksa. Untuk indikator berbasis constraint, hasil setiap skenario dihitung terlebih dahulu kemudian dirata-ratakan menggunakan aturan bobot yang dinyatakan di awal. Efisiensi tidak boleh dibandingkan hanya pada percakapan yang berhasil tanpa ikut melaporkan tingkat kegagalan, karena model yang sering gagal dapat terlihat cepat secara menyesatkan.</w:t>
      </w:r>
    </w:p>
    <w:p>
      <w:pPr>
        <w:ind w:firstLine="709"/>
      </w:pPr>
      <w:r>
        <w:rPr>
          <w:rFonts w:ascii="Times New Roman" w:hAnsi="Times New Roman" w:eastAsia="Times New Roman"/>
          <w:b w:val="0"/>
          <w:i w:val="0"/>
          <w:sz w:val="24"/>
        </w:rPr>
        <w:t>Reliability diuji dengan menjalankan skenario yang sama pada beberapa pengulangan dan melaporkan variasi kinerja. Apabila model nondeterministik, pengulangan membantu memperkirakan kestabilan hasil. Model dengan skor rata-rata tinggi tetapi variasi besar tidak serta-merta menjadi pilihan operasional terbaik (Yao et al., 2025).</w:t>
      </w:r>
    </w:p>
    <w:p>
      <w:pPr>
        <w:pStyle w:val="Heading2"/>
      </w:pPr>
      <w:r>
        <w:t>2.9 Purchase Funnel dan Indikator Perilaku Pengguna</w:t>
      </w:r>
    </w:p>
    <w:p>
      <w:pPr>
        <w:ind w:firstLine="709"/>
      </w:pPr>
      <w:r>
        <w:rPr>
          <w:rFonts w:ascii="Times New Roman" w:hAnsi="Times New Roman" w:eastAsia="Times New Roman"/>
          <w:b w:val="0"/>
          <w:i w:val="0"/>
          <w:sz w:val="24"/>
        </w:rPr>
        <w:t>Purchase funnel dipahami sebagai pengoperasionalan urutan tindakan pengguna selama proses belanja, dari ketertarikan pada rekomendasi hingga transaksi. Literatur customer journey menunjukkan bahwa pengalaman konsumen berlangsung melalui beberapa titik kontak dan tidak selalu mengikuti pola linear yang sederhana (Lemon &amp; Verhoef, 2016). Oleh karena itu, urutan funnel yang digunakan di sini berfungsi sebagai kerangka pencatatan peristiwa, bukan asumsi bahwa setiap pengguna pasti melewati semua tahap.</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E8E7FF"/>
            <w:vAlign w:val="center"/>
          </w:tcPr>
          <w:p>
            <w:pPr>
              <w:jc w:val="center"/>
            </w:pPr>
            <w:r>
              <w:rPr>
                <w:rFonts w:ascii="Times New Roman" w:hAnsi="Times New Roman" w:eastAsia="Times New Roman"/>
                <w:b/>
                <w:i w:val="0"/>
                <w:sz w:val="18"/>
              </w:rPr>
              <w:t>Tahap</w:t>
            </w:r>
          </w:p>
        </w:tc>
        <w:tc>
          <w:tcPr>
            <w:tcW w:type="dxa" w:w="1984"/>
            <w:shd w:fill="E8E7FF"/>
            <w:vAlign w:val="center"/>
          </w:tcPr>
          <w:p>
            <w:pPr>
              <w:jc w:val="center"/>
            </w:pPr>
            <w:r>
              <w:rPr>
                <w:rFonts w:ascii="Times New Roman" w:hAnsi="Times New Roman" w:eastAsia="Times New Roman"/>
                <w:b/>
                <w:i w:val="0"/>
                <w:sz w:val="18"/>
              </w:rPr>
              <w:t>Peristiwa yang Dicatat</w:t>
            </w:r>
          </w:p>
        </w:tc>
        <w:tc>
          <w:tcPr>
            <w:tcW w:type="dxa" w:w="1984"/>
            <w:shd w:fill="E8E7FF"/>
            <w:vAlign w:val="center"/>
          </w:tcPr>
          <w:p>
            <w:pPr>
              <w:jc w:val="center"/>
            </w:pPr>
            <w:r>
              <w:rPr>
                <w:rFonts w:ascii="Times New Roman" w:hAnsi="Times New Roman" w:eastAsia="Times New Roman"/>
                <w:b/>
                <w:i w:val="0"/>
                <w:sz w:val="18"/>
              </w:rPr>
              <w:t>Indikator Utama</w:t>
            </w:r>
          </w:p>
        </w:tc>
        <w:tc>
          <w:tcPr>
            <w:tcW w:type="dxa" w:w="1984"/>
            <w:shd w:fill="E8E7FF"/>
            <w:vAlign w:val="center"/>
          </w:tcPr>
          <w:p>
            <w:pPr>
              <w:jc w:val="center"/>
            </w:pPr>
            <w:r>
              <w:rPr>
                <w:rFonts w:ascii="Times New Roman" w:hAnsi="Times New Roman" w:eastAsia="Times New Roman"/>
                <w:b/>
                <w:i w:val="0"/>
                <w:sz w:val="18"/>
              </w:rPr>
              <w:t>Catatan Pengukuran</w:t>
            </w:r>
          </w:p>
        </w:tc>
      </w:tr>
      <w:tr>
        <w:tc>
          <w:tcPr>
            <w:tcW w:type="dxa" w:w="1984"/>
          </w:tcPr>
          <w:p>
            <w:pPr>
              <w:spacing w:line="240" w:lineRule="auto"/>
            </w:pPr>
            <w:r>
              <w:rPr>
                <w:rFonts w:ascii="Times New Roman" w:hAnsi="Times New Roman" w:eastAsia="Times New Roman"/>
                <w:b w:val="0"/>
                <w:i w:val="0"/>
                <w:sz w:val="18"/>
              </w:rPr>
              <w:t>Recommendation Click</w:t>
            </w:r>
          </w:p>
        </w:tc>
        <w:tc>
          <w:tcPr>
            <w:tcW w:type="dxa" w:w="1984"/>
          </w:tcPr>
          <w:p>
            <w:pPr>
              <w:spacing w:line="240" w:lineRule="auto"/>
            </w:pPr>
            <w:r>
              <w:rPr>
                <w:rFonts w:ascii="Times New Roman" w:hAnsi="Times New Roman" w:eastAsia="Times New Roman"/>
                <w:b w:val="0"/>
                <w:i w:val="0"/>
                <w:sz w:val="18"/>
              </w:rPr>
              <w:t>Pengguna membuka detail produk rekomendasi</w:t>
            </w:r>
          </w:p>
        </w:tc>
        <w:tc>
          <w:tcPr>
            <w:tcW w:type="dxa" w:w="1984"/>
          </w:tcPr>
          <w:p>
            <w:pPr>
              <w:spacing w:line="240" w:lineRule="auto"/>
            </w:pPr>
            <w:r>
              <w:rPr>
                <w:rFonts w:ascii="Times New Roman" w:hAnsi="Times New Roman" w:eastAsia="Times New Roman"/>
                <w:b w:val="0"/>
                <w:i w:val="0"/>
                <w:sz w:val="18"/>
              </w:rPr>
              <w:t>Jumlah/proporsi pengguna yang melakukan klik</w:t>
            </w:r>
          </w:p>
        </w:tc>
        <w:tc>
          <w:tcPr>
            <w:tcW w:type="dxa" w:w="1984"/>
          </w:tcPr>
          <w:p>
            <w:pPr>
              <w:spacing w:line="240" w:lineRule="auto"/>
            </w:pPr>
            <w:r>
              <w:rPr>
                <w:rFonts w:ascii="Times New Roman" w:hAnsi="Times New Roman" w:eastAsia="Times New Roman"/>
                <w:b w:val="0"/>
                <w:i w:val="0"/>
                <w:sz w:val="18"/>
              </w:rPr>
              <w:t>Event dikaitkan dengan produk dan sesi percakapan</w:t>
            </w:r>
          </w:p>
        </w:tc>
      </w:tr>
      <w:tr>
        <w:tc>
          <w:tcPr>
            <w:tcW w:type="dxa" w:w="1984"/>
          </w:tcPr>
          <w:p>
            <w:pPr>
              <w:spacing w:line="240" w:lineRule="auto"/>
            </w:pPr>
            <w:r>
              <w:rPr>
                <w:rFonts w:ascii="Times New Roman" w:hAnsi="Times New Roman" w:eastAsia="Times New Roman"/>
                <w:b w:val="0"/>
                <w:i w:val="0"/>
                <w:sz w:val="18"/>
              </w:rPr>
              <w:t>Product Selection</w:t>
            </w:r>
          </w:p>
        </w:tc>
        <w:tc>
          <w:tcPr>
            <w:tcW w:type="dxa" w:w="1984"/>
          </w:tcPr>
          <w:p>
            <w:pPr>
              <w:spacing w:line="240" w:lineRule="auto"/>
            </w:pPr>
            <w:r>
              <w:rPr>
                <w:rFonts w:ascii="Times New Roman" w:hAnsi="Times New Roman" w:eastAsia="Times New Roman"/>
                <w:b w:val="0"/>
                <w:i w:val="0"/>
                <w:sz w:val="18"/>
              </w:rPr>
              <w:t>Pengguna secara eksplisit memilih salah satu produk rekomendasi</w:t>
            </w:r>
          </w:p>
        </w:tc>
        <w:tc>
          <w:tcPr>
            <w:tcW w:type="dxa" w:w="1984"/>
          </w:tcPr>
          <w:p>
            <w:pPr>
              <w:spacing w:line="240" w:lineRule="auto"/>
            </w:pPr>
            <w:r>
              <w:rPr>
                <w:rFonts w:ascii="Times New Roman" w:hAnsi="Times New Roman" w:eastAsia="Times New Roman"/>
                <w:b w:val="0"/>
                <w:i w:val="0"/>
                <w:sz w:val="18"/>
              </w:rPr>
              <w:t>Jumlah/proporsi pengguna yang membuat pilihan</w:t>
            </w:r>
          </w:p>
        </w:tc>
        <w:tc>
          <w:tcPr>
            <w:tcW w:type="dxa" w:w="1984"/>
          </w:tcPr>
          <w:p>
            <w:pPr>
              <w:spacing w:line="240" w:lineRule="auto"/>
            </w:pPr>
            <w:r>
              <w:rPr>
                <w:rFonts w:ascii="Times New Roman" w:hAnsi="Times New Roman" w:eastAsia="Times New Roman"/>
                <w:b w:val="0"/>
                <w:i w:val="0"/>
                <w:sz w:val="18"/>
              </w:rPr>
              <w:t>Pilihan tercatat melalui aksi/konfirmasi yang terdefinisi</w:t>
            </w:r>
          </w:p>
        </w:tc>
      </w:tr>
      <w:tr>
        <w:tc>
          <w:tcPr>
            <w:tcW w:type="dxa" w:w="1984"/>
          </w:tcPr>
          <w:p>
            <w:pPr>
              <w:spacing w:line="240" w:lineRule="auto"/>
            </w:pPr>
            <w:r>
              <w:rPr>
                <w:rFonts w:ascii="Times New Roman" w:hAnsi="Times New Roman" w:eastAsia="Times New Roman"/>
                <w:b w:val="0"/>
                <w:i w:val="0"/>
                <w:sz w:val="18"/>
              </w:rPr>
              <w:t>Add-to-Cart</w:t>
            </w:r>
          </w:p>
        </w:tc>
        <w:tc>
          <w:tcPr>
            <w:tcW w:type="dxa" w:w="1984"/>
          </w:tcPr>
          <w:p>
            <w:pPr>
              <w:spacing w:line="240" w:lineRule="auto"/>
            </w:pPr>
            <w:r>
              <w:rPr>
                <w:rFonts w:ascii="Times New Roman" w:hAnsi="Times New Roman" w:eastAsia="Times New Roman"/>
                <w:b w:val="0"/>
                <w:i w:val="0"/>
                <w:sz w:val="18"/>
              </w:rPr>
              <w:t>Pengguna memasukkan produk terkait rekomendasi ke keranjang</w:t>
            </w:r>
          </w:p>
        </w:tc>
        <w:tc>
          <w:tcPr>
            <w:tcW w:type="dxa" w:w="1984"/>
          </w:tcPr>
          <w:p>
            <w:pPr>
              <w:spacing w:line="240" w:lineRule="auto"/>
            </w:pPr>
            <w:r>
              <w:rPr>
                <w:rFonts w:ascii="Times New Roman" w:hAnsi="Times New Roman" w:eastAsia="Times New Roman"/>
                <w:b w:val="0"/>
                <w:i w:val="0"/>
                <w:sz w:val="18"/>
              </w:rPr>
              <w:t>Add-to-Cart Rate</w:t>
            </w:r>
          </w:p>
        </w:tc>
        <w:tc>
          <w:tcPr>
            <w:tcW w:type="dxa" w:w="1984"/>
          </w:tcPr>
          <w:p>
            <w:pPr>
              <w:spacing w:line="240" w:lineRule="auto"/>
            </w:pPr>
            <w:r>
              <w:rPr>
                <w:rFonts w:ascii="Times New Roman" w:hAnsi="Times New Roman" w:eastAsia="Times New Roman"/>
                <w:b w:val="0"/>
                <w:i w:val="0"/>
                <w:sz w:val="18"/>
              </w:rPr>
              <w:t>Produk yang ditambahkan harus dapat ditelusuri ke rekomendasi</w:t>
            </w:r>
          </w:p>
        </w:tc>
      </w:tr>
      <w:tr>
        <w:tc>
          <w:tcPr>
            <w:tcW w:type="dxa" w:w="1984"/>
          </w:tcPr>
          <w:p>
            <w:pPr>
              <w:spacing w:line="240" w:lineRule="auto"/>
            </w:pPr>
            <w:r>
              <w:rPr>
                <w:rFonts w:ascii="Times New Roman" w:hAnsi="Times New Roman" w:eastAsia="Times New Roman"/>
                <w:b w:val="0"/>
                <w:i w:val="0"/>
                <w:sz w:val="18"/>
              </w:rPr>
              <w:t>Checkout Initiation</w:t>
            </w:r>
          </w:p>
        </w:tc>
        <w:tc>
          <w:tcPr>
            <w:tcW w:type="dxa" w:w="1984"/>
          </w:tcPr>
          <w:p>
            <w:pPr>
              <w:spacing w:line="240" w:lineRule="auto"/>
            </w:pPr>
            <w:r>
              <w:rPr>
                <w:rFonts w:ascii="Times New Roman" w:hAnsi="Times New Roman" w:eastAsia="Times New Roman"/>
                <w:b w:val="0"/>
                <w:i w:val="0"/>
                <w:sz w:val="18"/>
              </w:rPr>
              <w:t>Pengguna memulai alur checkout</w:t>
            </w:r>
          </w:p>
        </w:tc>
        <w:tc>
          <w:tcPr>
            <w:tcW w:type="dxa" w:w="1984"/>
          </w:tcPr>
          <w:p>
            <w:pPr>
              <w:spacing w:line="240" w:lineRule="auto"/>
            </w:pPr>
            <w:r>
              <w:rPr>
                <w:rFonts w:ascii="Times New Roman" w:hAnsi="Times New Roman" w:eastAsia="Times New Roman"/>
                <w:b w:val="0"/>
                <w:i w:val="0"/>
                <w:sz w:val="18"/>
              </w:rPr>
              <w:t>Checkout Initiation Rate</w:t>
            </w:r>
          </w:p>
        </w:tc>
        <w:tc>
          <w:tcPr>
            <w:tcW w:type="dxa" w:w="1984"/>
          </w:tcPr>
          <w:p>
            <w:pPr>
              <w:spacing w:line="240" w:lineRule="auto"/>
            </w:pPr>
            <w:r>
              <w:rPr>
                <w:rFonts w:ascii="Times New Roman" w:hAnsi="Times New Roman" w:eastAsia="Times New Roman"/>
                <w:b w:val="0"/>
                <w:i w:val="0"/>
                <w:sz w:val="18"/>
              </w:rPr>
              <w:t>Tidak sama dengan transaksi berhasil</w:t>
            </w:r>
          </w:p>
        </w:tc>
      </w:tr>
      <w:tr>
        <w:tc>
          <w:tcPr>
            <w:tcW w:type="dxa" w:w="1984"/>
          </w:tcPr>
          <w:p>
            <w:pPr>
              <w:spacing w:line="240" w:lineRule="auto"/>
            </w:pPr>
            <w:r>
              <w:rPr>
                <w:rFonts w:ascii="Times New Roman" w:hAnsi="Times New Roman" w:eastAsia="Times New Roman"/>
                <w:b w:val="0"/>
                <w:i w:val="0"/>
                <w:sz w:val="18"/>
              </w:rPr>
              <w:t>Purchase Conversion</w:t>
            </w:r>
          </w:p>
        </w:tc>
        <w:tc>
          <w:tcPr>
            <w:tcW w:type="dxa" w:w="1984"/>
          </w:tcPr>
          <w:p>
            <w:pPr>
              <w:spacing w:line="240" w:lineRule="auto"/>
            </w:pPr>
            <w:r>
              <w:rPr>
                <w:rFonts w:ascii="Times New Roman" w:hAnsi="Times New Roman" w:eastAsia="Times New Roman"/>
                <w:b w:val="0"/>
                <w:i w:val="0"/>
                <w:sz w:val="18"/>
              </w:rPr>
              <w:t>Pengguna menyelesaikan pembayaran yang terverifikasi</w:t>
            </w:r>
          </w:p>
        </w:tc>
        <w:tc>
          <w:tcPr>
            <w:tcW w:type="dxa" w:w="1984"/>
          </w:tcPr>
          <w:p>
            <w:pPr>
              <w:spacing w:line="240" w:lineRule="auto"/>
            </w:pPr>
            <w:r>
              <w:rPr>
                <w:rFonts w:ascii="Times New Roman" w:hAnsi="Times New Roman" w:eastAsia="Times New Roman"/>
                <w:b w:val="0"/>
                <w:i w:val="0"/>
                <w:sz w:val="18"/>
              </w:rPr>
              <w:t>Purchase Conversion Rate</w:t>
            </w:r>
          </w:p>
        </w:tc>
        <w:tc>
          <w:tcPr>
            <w:tcW w:type="dxa" w:w="1984"/>
          </w:tcPr>
          <w:p>
            <w:pPr>
              <w:spacing w:line="240" w:lineRule="auto"/>
            </w:pPr>
            <w:r>
              <w:rPr>
                <w:rFonts w:ascii="Times New Roman" w:hAnsi="Times New Roman" w:eastAsia="Times New Roman"/>
                <w:b w:val="0"/>
                <w:i w:val="0"/>
                <w:sz w:val="18"/>
              </w:rPr>
              <w:t>Hanya dapat dinilai jika transaksi nyata diaktifkan dan diverifikasi</w:t>
            </w:r>
          </w:p>
        </w:tc>
      </w:tr>
    </w:tbl>
    <w:p>
      <w:pPr>
        <w:ind w:firstLine="709"/>
      </w:pPr>
      <w:r>
        <w:rPr>
          <w:rFonts w:ascii="Times New Roman" w:hAnsi="Times New Roman" w:eastAsia="Times New Roman"/>
          <w:b w:val="0"/>
          <w:i w:val="0"/>
          <w:sz w:val="24"/>
        </w:rPr>
        <w:t>Setiap tingkat funnel sebaiknya dilaporkan dengan dua basis penyebut berbeda: (1) proporsi kumulatif dari seluruh pengguna teralokasi pada suatu kondisi model, dan (2) proporsi kondisional dari pengguna yang mencapai tahap sebelumnya. Pendekatan pertama menunjukkan capaian terhadap populasi eksperimen; pendekatan kedua menunjukkan perpindahan antartahap. Kedua penyebut tidak boleh dipertukarkan. Dalam prototipe tanpa pembayaran nyata, indikator paling akhir yang dapat diklaim hanyalah checkout initiation atau purchase intention jika memang diukur secara tersendiri.</w:t>
      </w:r>
    </w:p>
    <w:p>
      <w:pPr>
        <w:ind w:firstLine="709"/>
      </w:pPr>
      <w:r>
        <w:rPr>
          <w:rFonts w:ascii="Times New Roman" w:hAnsi="Times New Roman" w:eastAsia="Times New Roman"/>
          <w:b w:val="0"/>
          <w:i w:val="0"/>
          <w:sz w:val="24"/>
        </w:rPr>
        <w:t>Perbedaan perilaku konsumen dalam interaksi chatbot dapat dipengaruhi faktor selain akurasi rekomendasi, termasuk cara agen ditampilkan dan diungkapkan kepada pengguna (Araujo, 2018; Luo et al., 2019). Karena itu, identitas visual agen, sapaan, dan desain antarmuka dipertahankan setara pada setiap kondisi.</w:t>
      </w:r>
    </w:p>
    <w:p>
      <w:pPr>
        <w:pStyle w:val="Heading2"/>
      </w:pPr>
      <w:r>
        <w:t>2.10 Controlled Agent Benchmark dan Randomized User Experiment</w:t>
      </w:r>
    </w:p>
    <w:p>
      <w:pPr>
        <w:ind w:firstLine="709"/>
      </w:pPr>
      <w:r>
        <w:rPr>
          <w:rFonts w:ascii="Times New Roman" w:hAnsi="Times New Roman" w:eastAsia="Times New Roman"/>
          <w:b w:val="0"/>
          <w:i w:val="0"/>
          <w:sz w:val="24"/>
        </w:rPr>
        <w:t>Controlled Agent Benchmark merupakan tahap pengujian internal dengan skenario belanja terstandar dan jawaban acuan untuk menilai kinerja teknis. Pada tahap ini setiap LLM menerima skenario dan akses sumber data yang setara, lalu hasil percakapan serta pemanggilan tool direkam. Skema pengukuran terutama mengacu pada evaluasi agen berbasis interaksi dan kriteria keberhasilan tugas (Yao et al., 2025; Fan et al., 2026).</w:t>
      </w:r>
    </w:p>
    <w:p>
      <w:pPr>
        <w:ind w:firstLine="709"/>
      </w:pPr>
      <w:r>
        <w:rPr>
          <w:rFonts w:ascii="Times New Roman" w:hAnsi="Times New Roman" w:eastAsia="Times New Roman"/>
          <w:b w:val="0"/>
          <w:i w:val="0"/>
          <w:sz w:val="24"/>
        </w:rPr>
        <w:t>Randomized User Experiment merupakan tahap pengujian yang melibatkan partisipan untuk mengamati tindakan nyata pada antarmuka e-commerce. Partisipan ditempatkan secara acak pada salah satu kondisi LLM dan assignment dipertahankan selama eksperimen menggunakan ID pseudonim agar tidak terjadi perpindahan kondisi yang tidak direncanakan. Prinsip eksperimen daring terkontrol serta pemeriksaan asumsi randomisasi mengacu pada Kohavi et al. (2020).</w:t>
      </w:r>
    </w:p>
    <w:p>
      <w:pPr>
        <w:ind w:firstLine="709"/>
      </w:pPr>
      <w:r>
        <w:rPr>
          <w:rFonts w:ascii="Times New Roman" w:hAnsi="Times New Roman" w:eastAsia="Times New Roman"/>
          <w:b w:val="0"/>
          <w:i w:val="0"/>
          <w:sz w:val="24"/>
        </w:rPr>
        <w:t>Seluruh eksperimen perlu mendokumentasikan jumlah partisipan, kriteria inklusi, durasi pengamatan, kelengkapan event log, serta kemungkinan kegagalan jaringan atau layanan API. Tidak seluruh perbedaan observasional dapat disebut akibat langsung model tanpa pemeriksaan keseimbangan kelompok dan potensi perancu. Identitas partisipan perlu dipseudonimkan dan tujuan pencatatan aktivitas harus disampaikan dalam persetujuan partisipasi.</w:t>
      </w:r>
    </w:p>
    <w:p>
      <w:pPr>
        <w:pStyle w:val="Heading2"/>
      </w:pPr>
      <w:r>
        <w:t>2.11 Kerangka Pemikiran dan Hubungan Antarkonstruk</w:t>
      </w:r>
    </w:p>
    <w:p>
      <w:pPr>
        <w:ind w:firstLine="709"/>
      </w:pPr>
      <w:r>
        <w:rPr>
          <w:rFonts w:ascii="Times New Roman" w:hAnsi="Times New Roman" w:eastAsia="Times New Roman"/>
          <w:b w:val="0"/>
          <w:i w:val="0"/>
          <w:sz w:val="24"/>
        </w:rPr>
        <w:t>Kerangka pemikiran menempatkan jenis LLM sebagai variabel perlakuan yang dipasang bergantian pada reasoning engine. Perlakuan ini diperkirakan berkaitan dengan keluaran lapisan teknis (task success, constraint satisfaction, hallucination, tool calls, efficiency, reliability), yang selanjutnya dapat berasosiasi dengan kejadian pada purchase funnel. Lingkungan sistem, basis data, prompt inti, desain antarmuka, dan aturan produk diperlakukan sebagai faktor yang dikendalikan.</w:t>
      </w:r>
    </w:p>
    <w:p>
      <w:pPr>
        <w:ind w:firstLine="709"/>
      </w:pPr>
      <w:r>
        <w:rPr>
          <w:rFonts w:ascii="Times New Roman" w:hAnsi="Times New Roman" w:eastAsia="Times New Roman"/>
          <w:b w:val="0"/>
          <w:i w:val="0"/>
          <w:sz w:val="24"/>
        </w:rPr>
        <w:t>Secara konseptual hubungan yang diuji adalah: Kondisi LLM → Kinerja Teknis Agen → Progresi Purchase Funnel. Panah pertama merupakan perbandingan antarkondisi model; panah kedua merupakan hubungan empiris yang memerlukan analisis tersendiri. Hubungan statistik antarindikator tidak otomatis membuktikan mediasi atau kausalitas. Kerangka ini mengintegrasikan perhatian terhadap kualitas sistem dari Jannach (2023), benchmark agen dari Yao et al. (2025), serta perjalanan konsumen dari Lemon dan Verhoef (2016).</w:t>
      </w:r>
    </w:p>
    <w:p>
      <w:pPr>
        <w:pStyle w:val="Heading1"/>
      </w:pPr>
      <w:r>
        <w:t>BAB 3 METODOLOGI PENELITIAN</w:t>
      </w:r>
    </w:p>
    <w:p>
      <w:pPr>
        <w:pStyle w:val="Heading2"/>
      </w:pPr>
      <w:r>
        <w:t>3.1 Desain Penelitian</w:t>
      </w:r>
    </w:p>
    <w:p>
      <w:pPr>
        <w:ind w:firstLine="709"/>
      </w:pPr>
      <w:r>
        <w:rPr>
          <w:rFonts w:ascii="Times New Roman" w:hAnsi="Times New Roman" w:eastAsia="Times New Roman"/>
          <w:b w:val="0"/>
          <w:i w:val="0"/>
          <w:sz w:val="24"/>
        </w:rPr>
        <w:t>Penelitian menggunakan pendekatan kuantitatif komparatif melalui dua eksperimen yang saling melengkapi. Eksperimen I berupa Controlled Agent Benchmark untuk menguji beberapa LLM pada skenario belanja yang terstandar. Eksperimen II berupa Randomized User Experiment untuk membandingkan kejadian pada purchase funnel antarkondisi model. Analisis akhir mengaitkan hasil kinerja agen dengan pengukuran perilaku pengguna, tanpa mengasumsikan hubungan kausal di luar dukungan desain (Kohavi et al., 2020).</w:t>
      </w:r>
    </w:p>
    <w:p>
      <w:pPr>
        <w:pStyle w:val="Heading2"/>
      </w:pPr>
      <w:r>
        <w:t>3.2 Objek, Subjek, dan Data Penelitian</w:t>
      </w:r>
    </w:p>
    <w:p>
      <w:pPr>
        <w:ind w:firstLine="709"/>
      </w:pPr>
      <w:r>
        <w:rPr>
          <w:rFonts w:ascii="Times New Roman" w:hAnsi="Times New Roman" w:eastAsia="Times New Roman"/>
          <w:b w:val="0"/>
          <w:i w:val="0"/>
          <w:sz w:val="24"/>
        </w:rPr>
        <w:t>Objek penelitian adalah beberapa LLM sebagai reasoning engine yang dijalankan pada satu arsitektur Agentic Conversational Sales Assistant. Subjek pada eksperimen pengguna ialah partisipan yang berinteraksi dengan antarmuka e-commerce dalam kondisi eksperimen. Data mencakup katalog produk terverifikasi, skenario dan ground truth, transkrip percakapan, log tools, jumlah putaran dan token, identitas kondisi model yang disamarkan, serta event funnel. Jenis dan versi LLM, kategori produk, ukuran sampel, periode penelitian, serta prosedur rekrutmen ditetapkan setelah persetujuan rancangan penelitian.</w:t>
      </w:r>
    </w:p>
    <w:p>
      <w:pPr>
        <w:pStyle w:val="Heading2"/>
      </w:pPr>
      <w:r>
        <w:t>3.3 Variabel atau Fokus Penelitian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E8E7FF"/>
            <w:vAlign w:val="center"/>
          </w:tcPr>
          <w:p>
            <w:pPr>
              <w:jc w:val="center"/>
            </w:pPr>
            <w:r>
              <w:rPr>
                <w:rFonts w:ascii="Times New Roman" w:hAnsi="Times New Roman" w:eastAsia="Times New Roman"/>
                <w:b/>
                <w:i w:val="0"/>
                <w:sz w:val="18"/>
              </w:rPr>
              <w:t>Variabel/Fokus</w:t>
            </w:r>
          </w:p>
        </w:tc>
        <w:tc>
          <w:tcPr>
            <w:tcW w:type="dxa" w:w="1984"/>
            <w:shd w:fill="E8E7FF"/>
            <w:vAlign w:val="center"/>
          </w:tcPr>
          <w:p>
            <w:pPr>
              <w:jc w:val="center"/>
            </w:pPr>
            <w:r>
              <w:rPr>
                <w:rFonts w:ascii="Times New Roman" w:hAnsi="Times New Roman" w:eastAsia="Times New Roman"/>
                <w:b/>
                <w:i w:val="0"/>
                <w:sz w:val="18"/>
              </w:rPr>
              <w:t>Definisi Operasional</w:t>
            </w:r>
          </w:p>
        </w:tc>
        <w:tc>
          <w:tcPr>
            <w:tcW w:type="dxa" w:w="1984"/>
            <w:shd w:fill="E8E7FF"/>
            <w:vAlign w:val="center"/>
          </w:tcPr>
          <w:p>
            <w:pPr>
              <w:jc w:val="center"/>
            </w:pPr>
            <w:r>
              <w:rPr>
                <w:rFonts w:ascii="Times New Roman" w:hAnsi="Times New Roman" w:eastAsia="Times New Roman"/>
                <w:b/>
                <w:i w:val="0"/>
                <w:sz w:val="18"/>
              </w:rPr>
              <w:t>Indikator</w:t>
            </w:r>
          </w:p>
        </w:tc>
        <w:tc>
          <w:tcPr>
            <w:tcW w:type="dxa" w:w="1984"/>
            <w:shd w:fill="E8E7FF"/>
            <w:vAlign w:val="center"/>
          </w:tcPr>
          <w:p>
            <w:pPr>
              <w:jc w:val="center"/>
            </w:pPr>
            <w:r>
              <w:rPr>
                <w:rFonts w:ascii="Times New Roman" w:hAnsi="Times New Roman" w:eastAsia="Times New Roman"/>
                <w:b/>
                <w:i w:val="0"/>
                <w:sz w:val="18"/>
              </w:rPr>
              <w:t>Sumber atau Instrumen</w:t>
            </w:r>
          </w:p>
        </w:tc>
      </w:tr>
      <w:tr>
        <w:tc>
          <w:tcPr>
            <w:tcW w:type="dxa" w:w="1984"/>
          </w:tcPr>
          <w:p>
            <w:pPr>
              <w:spacing w:line="240" w:lineRule="auto"/>
            </w:pPr>
            <w:r>
              <w:rPr>
                <w:rFonts w:ascii="Times New Roman" w:hAnsi="Times New Roman" w:eastAsia="Times New Roman"/>
                <w:b w:val="0"/>
                <w:i w:val="0"/>
                <w:sz w:val="18"/>
              </w:rPr>
              <w:t>Variabel perlakuan: kondisi LLM</w:t>
            </w:r>
          </w:p>
        </w:tc>
        <w:tc>
          <w:tcPr>
            <w:tcW w:type="dxa" w:w="1984"/>
          </w:tcPr>
          <w:p>
            <w:pPr>
              <w:spacing w:line="240" w:lineRule="auto"/>
            </w:pPr>
            <w:r>
              <w:rPr>
                <w:rFonts w:ascii="Times New Roman" w:hAnsi="Times New Roman" w:eastAsia="Times New Roman"/>
                <w:b w:val="0"/>
                <w:i w:val="0"/>
                <w:sz w:val="18"/>
              </w:rPr>
              <w:t>Jenis dan versi model yang dipasang sebagai reasoning engine</w:t>
            </w:r>
          </w:p>
        </w:tc>
        <w:tc>
          <w:tcPr>
            <w:tcW w:type="dxa" w:w="1984"/>
          </w:tcPr>
          <w:p>
            <w:pPr>
              <w:spacing w:line="240" w:lineRule="auto"/>
            </w:pPr>
            <w:r>
              <w:rPr>
                <w:rFonts w:ascii="Times New Roman" w:hAnsi="Times New Roman" w:eastAsia="Times New Roman"/>
                <w:b w:val="0"/>
                <w:i w:val="0"/>
                <w:sz w:val="18"/>
              </w:rPr>
              <w:t>Model A, B, C atau kelompok yang ditetapkan</w:t>
            </w:r>
          </w:p>
        </w:tc>
        <w:tc>
          <w:tcPr>
            <w:tcW w:type="dxa" w:w="1984"/>
          </w:tcPr>
          <w:p>
            <w:pPr>
              <w:spacing w:line="240" w:lineRule="auto"/>
            </w:pPr>
            <w:r>
              <w:rPr>
                <w:rFonts w:ascii="Times New Roman" w:hAnsi="Times New Roman" w:eastAsia="Times New Roman"/>
                <w:b w:val="0"/>
                <w:i w:val="0"/>
                <w:sz w:val="18"/>
              </w:rPr>
              <w:t>Konfigurasi API dan catatan eksperimen</w:t>
            </w:r>
          </w:p>
        </w:tc>
      </w:tr>
      <w:tr>
        <w:tc>
          <w:tcPr>
            <w:tcW w:type="dxa" w:w="1984"/>
          </w:tcPr>
          <w:p>
            <w:pPr>
              <w:spacing w:line="240" w:lineRule="auto"/>
            </w:pPr>
            <w:r>
              <w:rPr>
                <w:rFonts w:ascii="Times New Roman" w:hAnsi="Times New Roman" w:eastAsia="Times New Roman"/>
                <w:b w:val="0"/>
                <w:i w:val="0"/>
                <w:sz w:val="18"/>
              </w:rPr>
              <w:t>Kinerja teknis agen</w:t>
            </w:r>
          </w:p>
        </w:tc>
        <w:tc>
          <w:tcPr>
            <w:tcW w:type="dxa" w:w="1984"/>
          </w:tcPr>
          <w:p>
            <w:pPr>
              <w:spacing w:line="240" w:lineRule="auto"/>
            </w:pPr>
            <w:r>
              <w:rPr>
                <w:rFonts w:ascii="Times New Roman" w:hAnsi="Times New Roman" w:eastAsia="Times New Roman"/>
                <w:b w:val="0"/>
                <w:i w:val="0"/>
                <w:sz w:val="18"/>
              </w:rPr>
              <w:t>Keberhasilan agen menyelesaikan tugas dan mematuhi aturan</w:t>
            </w:r>
          </w:p>
        </w:tc>
        <w:tc>
          <w:tcPr>
            <w:tcW w:type="dxa" w:w="1984"/>
          </w:tcPr>
          <w:p>
            <w:pPr>
              <w:spacing w:line="240" w:lineRule="auto"/>
            </w:pPr>
            <w:r>
              <w:rPr>
                <w:rFonts w:ascii="Times New Roman" w:hAnsi="Times New Roman" w:eastAsia="Times New Roman"/>
                <w:b w:val="0"/>
                <w:i w:val="0"/>
                <w:sz w:val="18"/>
              </w:rPr>
              <w:t>TSR; HCS; PS; HR; TCSR; turns/tokens; reliability</w:t>
            </w:r>
          </w:p>
        </w:tc>
        <w:tc>
          <w:tcPr>
            <w:tcW w:type="dxa" w:w="1984"/>
          </w:tcPr>
          <w:p>
            <w:pPr>
              <w:spacing w:line="240" w:lineRule="auto"/>
            </w:pPr>
            <w:r>
              <w:rPr>
                <w:rFonts w:ascii="Times New Roman" w:hAnsi="Times New Roman" w:eastAsia="Times New Roman"/>
                <w:b w:val="0"/>
                <w:i w:val="0"/>
                <w:sz w:val="18"/>
              </w:rPr>
              <w:t>Skenario benchmark; ground truth; log sistem</w:t>
            </w:r>
          </w:p>
        </w:tc>
      </w:tr>
      <w:tr>
        <w:tc>
          <w:tcPr>
            <w:tcW w:type="dxa" w:w="1984"/>
          </w:tcPr>
          <w:p>
            <w:pPr>
              <w:spacing w:line="240" w:lineRule="auto"/>
            </w:pPr>
            <w:r>
              <w:rPr>
                <w:rFonts w:ascii="Times New Roman" w:hAnsi="Times New Roman" w:eastAsia="Times New Roman"/>
                <w:b w:val="0"/>
                <w:i w:val="0"/>
                <w:sz w:val="18"/>
              </w:rPr>
              <w:t>Purchase funnel</w:t>
            </w:r>
          </w:p>
        </w:tc>
        <w:tc>
          <w:tcPr>
            <w:tcW w:type="dxa" w:w="1984"/>
          </w:tcPr>
          <w:p>
            <w:pPr>
              <w:spacing w:line="240" w:lineRule="auto"/>
            </w:pPr>
            <w:r>
              <w:rPr>
                <w:rFonts w:ascii="Times New Roman" w:hAnsi="Times New Roman" w:eastAsia="Times New Roman"/>
                <w:b w:val="0"/>
                <w:i w:val="0"/>
                <w:sz w:val="18"/>
              </w:rPr>
              <w:t>Peristiwa perilaku selama sesi belanja</w:t>
            </w:r>
          </w:p>
        </w:tc>
        <w:tc>
          <w:tcPr>
            <w:tcW w:type="dxa" w:w="1984"/>
          </w:tcPr>
          <w:p>
            <w:pPr>
              <w:spacing w:line="240" w:lineRule="auto"/>
            </w:pPr>
            <w:r>
              <w:rPr>
                <w:rFonts w:ascii="Times New Roman" w:hAnsi="Times New Roman" w:eastAsia="Times New Roman"/>
                <w:b w:val="0"/>
                <w:i w:val="0"/>
                <w:sz w:val="18"/>
              </w:rPr>
              <w:t>Recommendation Click; Product Selection; Add-to-Cart; Checkout Initiation; Purchase Conversion bila tersedia</w:t>
            </w:r>
          </w:p>
        </w:tc>
        <w:tc>
          <w:tcPr>
            <w:tcW w:type="dxa" w:w="1984"/>
          </w:tcPr>
          <w:p>
            <w:pPr>
              <w:spacing w:line="240" w:lineRule="auto"/>
            </w:pPr>
            <w:r>
              <w:rPr>
                <w:rFonts w:ascii="Times New Roman" w:hAnsi="Times New Roman" w:eastAsia="Times New Roman"/>
                <w:b w:val="0"/>
                <w:i w:val="0"/>
                <w:sz w:val="18"/>
              </w:rPr>
              <w:t>Event analytics; log sesi; log transaksi terverifikasi</w:t>
            </w:r>
          </w:p>
        </w:tc>
      </w:tr>
      <w:tr>
        <w:tc>
          <w:tcPr>
            <w:tcW w:type="dxa" w:w="1984"/>
          </w:tcPr>
          <w:p>
            <w:pPr>
              <w:spacing w:line="240" w:lineRule="auto"/>
            </w:pPr>
            <w:r>
              <w:rPr>
                <w:rFonts w:ascii="Times New Roman" w:hAnsi="Times New Roman" w:eastAsia="Times New Roman"/>
                <w:b w:val="0"/>
                <w:i w:val="0"/>
                <w:sz w:val="18"/>
              </w:rPr>
              <w:t>Faktor kendali</w:t>
            </w:r>
          </w:p>
        </w:tc>
        <w:tc>
          <w:tcPr>
            <w:tcW w:type="dxa" w:w="1984"/>
          </w:tcPr>
          <w:p>
            <w:pPr>
              <w:spacing w:line="240" w:lineRule="auto"/>
            </w:pPr>
            <w:r>
              <w:rPr>
                <w:rFonts w:ascii="Times New Roman" w:hAnsi="Times New Roman" w:eastAsia="Times New Roman"/>
                <w:b w:val="0"/>
                <w:i w:val="0"/>
                <w:sz w:val="18"/>
              </w:rPr>
              <w:t>Lingkungan yang dipertahankan seragam</w:t>
            </w:r>
          </w:p>
        </w:tc>
        <w:tc>
          <w:tcPr>
            <w:tcW w:type="dxa" w:w="1984"/>
          </w:tcPr>
          <w:p>
            <w:pPr>
              <w:spacing w:line="240" w:lineRule="auto"/>
            </w:pPr>
            <w:r>
              <w:rPr>
                <w:rFonts w:ascii="Times New Roman" w:hAnsi="Times New Roman" w:eastAsia="Times New Roman"/>
                <w:b w:val="0"/>
                <w:i w:val="0"/>
                <w:sz w:val="18"/>
              </w:rPr>
              <w:t>Prompt inti; data; tools; harga; antarmuka</w:t>
            </w:r>
          </w:p>
        </w:tc>
        <w:tc>
          <w:tcPr>
            <w:tcW w:type="dxa" w:w="1984"/>
          </w:tcPr>
          <w:p>
            <w:pPr>
              <w:spacing w:line="240" w:lineRule="auto"/>
            </w:pPr>
            <w:r>
              <w:rPr>
                <w:rFonts w:ascii="Times New Roman" w:hAnsi="Times New Roman" w:eastAsia="Times New Roman"/>
                <w:b w:val="0"/>
                <w:i w:val="0"/>
                <w:sz w:val="18"/>
              </w:rPr>
              <w:t>Checklist konfigurasi dan pengendalian perubahan</w:t>
            </w:r>
          </w:p>
        </w:tc>
      </w:tr>
    </w:tbl>
    <w:p>
      <w:pPr>
        <w:pStyle w:val="Heading2"/>
      </w:pPr>
      <w:r>
        <w:t>3.4 Instrumen atau Komponen Penelitian</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E8E7FF"/>
            <w:vAlign w:val="center"/>
          </w:tcPr>
          <w:p>
            <w:pPr>
              <w:jc w:val="center"/>
            </w:pPr>
            <w:r>
              <w:rPr>
                <w:rFonts w:ascii="Times New Roman" w:hAnsi="Times New Roman" w:eastAsia="Times New Roman"/>
                <w:b/>
                <w:i w:val="0"/>
                <w:sz w:val="18"/>
              </w:rPr>
              <w:t>Komponen/Instrumen</w:t>
            </w:r>
          </w:p>
        </w:tc>
        <w:tc>
          <w:tcPr>
            <w:tcW w:type="dxa" w:w="2646"/>
            <w:shd w:fill="E8E7FF"/>
            <w:vAlign w:val="center"/>
          </w:tcPr>
          <w:p>
            <w:pPr>
              <w:jc w:val="center"/>
            </w:pPr>
            <w:r>
              <w:rPr>
                <w:rFonts w:ascii="Times New Roman" w:hAnsi="Times New Roman" w:eastAsia="Times New Roman"/>
                <w:b/>
                <w:i w:val="0"/>
                <w:sz w:val="18"/>
              </w:rPr>
              <w:t>Fungsi</w:t>
            </w:r>
          </w:p>
        </w:tc>
        <w:tc>
          <w:tcPr>
            <w:tcW w:type="dxa" w:w="2646"/>
            <w:shd w:fill="E8E7FF"/>
            <w:vAlign w:val="center"/>
          </w:tcPr>
          <w:p>
            <w:pPr>
              <w:jc w:val="center"/>
            </w:pPr>
            <w:r>
              <w:rPr>
                <w:rFonts w:ascii="Times New Roman" w:hAnsi="Times New Roman" w:eastAsia="Times New Roman"/>
                <w:b/>
                <w:i w:val="0"/>
                <w:sz w:val="18"/>
              </w:rPr>
              <w:t>Spesifikasi atau Prosedur</w:t>
            </w:r>
          </w:p>
        </w:tc>
      </w:tr>
      <w:tr>
        <w:tc>
          <w:tcPr>
            <w:tcW w:type="dxa" w:w="2646"/>
          </w:tcPr>
          <w:p>
            <w:pPr>
              <w:spacing w:line="240" w:lineRule="auto"/>
            </w:pPr>
            <w:r>
              <w:rPr>
                <w:rFonts w:ascii="Times New Roman" w:hAnsi="Times New Roman" w:eastAsia="Times New Roman"/>
                <w:b w:val="0"/>
                <w:i w:val="0"/>
                <w:sz w:val="18"/>
              </w:rPr>
              <w:t>Aplikasi e-commerce eksperimental</w:t>
            </w:r>
          </w:p>
        </w:tc>
        <w:tc>
          <w:tcPr>
            <w:tcW w:type="dxa" w:w="2646"/>
          </w:tcPr>
          <w:p>
            <w:pPr>
              <w:spacing w:line="240" w:lineRule="auto"/>
            </w:pPr>
            <w:r>
              <w:rPr>
                <w:rFonts w:ascii="Times New Roman" w:hAnsi="Times New Roman" w:eastAsia="Times New Roman"/>
                <w:b w:val="0"/>
                <w:i w:val="0"/>
                <w:sz w:val="18"/>
              </w:rPr>
              <w:t>Menyajikan katalog dan antarmuka percakapan</w:t>
            </w:r>
          </w:p>
        </w:tc>
        <w:tc>
          <w:tcPr>
            <w:tcW w:type="dxa" w:w="2646"/>
          </w:tcPr>
          <w:p>
            <w:pPr>
              <w:spacing w:line="240" w:lineRule="auto"/>
            </w:pPr>
            <w:r>
              <w:rPr>
                <w:rFonts w:ascii="Times New Roman" w:hAnsi="Times New Roman" w:eastAsia="Times New Roman"/>
                <w:b w:val="0"/>
                <w:i w:val="0"/>
                <w:sz w:val="18"/>
              </w:rPr>
              <w:t>Desain dan fitur identik lintas kondisi LLM</w:t>
            </w:r>
          </w:p>
        </w:tc>
      </w:tr>
      <w:tr>
        <w:tc>
          <w:tcPr>
            <w:tcW w:type="dxa" w:w="2646"/>
          </w:tcPr>
          <w:p>
            <w:pPr>
              <w:spacing w:line="240" w:lineRule="auto"/>
            </w:pPr>
            <w:r>
              <w:rPr>
                <w:rFonts w:ascii="Times New Roman" w:hAnsi="Times New Roman" w:eastAsia="Times New Roman"/>
                <w:b w:val="0"/>
                <w:i w:val="0"/>
                <w:sz w:val="18"/>
              </w:rPr>
              <w:t>Agent orchestrator</w:t>
            </w:r>
          </w:p>
        </w:tc>
        <w:tc>
          <w:tcPr>
            <w:tcW w:type="dxa" w:w="2646"/>
          </w:tcPr>
          <w:p>
            <w:pPr>
              <w:spacing w:line="240" w:lineRule="auto"/>
            </w:pPr>
            <w:r>
              <w:rPr>
                <w:rFonts w:ascii="Times New Roman" w:hAnsi="Times New Roman" w:eastAsia="Times New Roman"/>
                <w:b w:val="0"/>
                <w:i w:val="0"/>
                <w:sz w:val="18"/>
              </w:rPr>
              <w:t>Mengelola giliran dialog, validasi, dan panggilan tools</w:t>
            </w:r>
          </w:p>
        </w:tc>
        <w:tc>
          <w:tcPr>
            <w:tcW w:type="dxa" w:w="2646"/>
          </w:tcPr>
          <w:p>
            <w:pPr>
              <w:spacing w:line="240" w:lineRule="auto"/>
            </w:pPr>
            <w:r>
              <w:rPr>
                <w:rFonts w:ascii="Times New Roman" w:hAnsi="Times New Roman" w:eastAsia="Times New Roman"/>
                <w:b w:val="0"/>
                <w:i w:val="0"/>
                <w:sz w:val="18"/>
              </w:rPr>
              <w:t>Satu implementasi dengan adaptor API per model</w:t>
            </w:r>
          </w:p>
        </w:tc>
      </w:tr>
      <w:tr>
        <w:tc>
          <w:tcPr>
            <w:tcW w:type="dxa" w:w="2646"/>
          </w:tcPr>
          <w:p>
            <w:pPr>
              <w:spacing w:line="240" w:lineRule="auto"/>
            </w:pPr>
            <w:r>
              <w:rPr>
                <w:rFonts w:ascii="Times New Roman" w:hAnsi="Times New Roman" w:eastAsia="Times New Roman"/>
                <w:b w:val="0"/>
                <w:i w:val="0"/>
                <w:sz w:val="18"/>
              </w:rPr>
              <w:t>Basis data produk dan ground truth</w:t>
            </w:r>
          </w:p>
        </w:tc>
        <w:tc>
          <w:tcPr>
            <w:tcW w:type="dxa" w:w="2646"/>
          </w:tcPr>
          <w:p>
            <w:pPr>
              <w:spacing w:line="240" w:lineRule="auto"/>
            </w:pPr>
            <w:r>
              <w:rPr>
                <w:rFonts w:ascii="Times New Roman" w:hAnsi="Times New Roman" w:eastAsia="Times New Roman"/>
                <w:b w:val="0"/>
                <w:i w:val="0"/>
                <w:sz w:val="18"/>
              </w:rPr>
              <w:t>Menjadi sumber fakta dan acuan kelayakan rekomendasi</w:t>
            </w:r>
          </w:p>
        </w:tc>
        <w:tc>
          <w:tcPr>
            <w:tcW w:type="dxa" w:w="2646"/>
          </w:tcPr>
          <w:p>
            <w:pPr>
              <w:spacing w:line="240" w:lineRule="auto"/>
            </w:pPr>
            <w:r>
              <w:rPr>
                <w:rFonts w:ascii="Times New Roman" w:hAnsi="Times New Roman" w:eastAsia="Times New Roman"/>
                <w:b w:val="0"/>
                <w:i w:val="0"/>
                <w:sz w:val="18"/>
              </w:rPr>
              <w:t>Katalog tervalidasi dan kriteria penilaian tercatat</w:t>
            </w:r>
          </w:p>
        </w:tc>
      </w:tr>
      <w:tr>
        <w:tc>
          <w:tcPr>
            <w:tcW w:type="dxa" w:w="2646"/>
          </w:tcPr>
          <w:p>
            <w:pPr>
              <w:spacing w:line="240" w:lineRule="auto"/>
            </w:pPr>
            <w:r>
              <w:rPr>
                <w:rFonts w:ascii="Times New Roman" w:hAnsi="Times New Roman" w:eastAsia="Times New Roman"/>
                <w:b w:val="0"/>
                <w:i w:val="0"/>
                <w:sz w:val="18"/>
              </w:rPr>
              <w:t>Skenario belanja terstandar</w:t>
            </w:r>
          </w:p>
        </w:tc>
        <w:tc>
          <w:tcPr>
            <w:tcW w:type="dxa" w:w="2646"/>
          </w:tcPr>
          <w:p>
            <w:pPr>
              <w:spacing w:line="240" w:lineRule="auto"/>
            </w:pPr>
            <w:r>
              <w:rPr>
                <w:rFonts w:ascii="Times New Roman" w:hAnsi="Times New Roman" w:eastAsia="Times New Roman"/>
                <w:b w:val="0"/>
                <w:i w:val="0"/>
                <w:sz w:val="18"/>
              </w:rPr>
              <w:t>Mengukur keberhasilan teknis agen</w:t>
            </w:r>
          </w:p>
        </w:tc>
        <w:tc>
          <w:tcPr>
            <w:tcW w:type="dxa" w:w="2646"/>
          </w:tcPr>
          <w:p>
            <w:pPr>
              <w:spacing w:line="240" w:lineRule="auto"/>
            </w:pPr>
            <w:r>
              <w:rPr>
                <w:rFonts w:ascii="Times New Roman" w:hAnsi="Times New Roman" w:eastAsia="Times New Roman"/>
                <w:b w:val="0"/>
                <w:i w:val="0"/>
                <w:sz w:val="18"/>
              </w:rPr>
              <w:t>Beragam batasan keras dan preferensi opsional</w:t>
            </w:r>
          </w:p>
        </w:tc>
      </w:tr>
      <w:tr>
        <w:tc>
          <w:tcPr>
            <w:tcW w:type="dxa" w:w="2646"/>
          </w:tcPr>
          <w:p>
            <w:pPr>
              <w:spacing w:line="240" w:lineRule="auto"/>
            </w:pPr>
            <w:r>
              <w:rPr>
                <w:rFonts w:ascii="Times New Roman" w:hAnsi="Times New Roman" w:eastAsia="Times New Roman"/>
                <w:b w:val="0"/>
                <w:i w:val="0"/>
                <w:sz w:val="18"/>
              </w:rPr>
              <w:t>Pencatat aktivitas</w:t>
            </w:r>
          </w:p>
        </w:tc>
        <w:tc>
          <w:tcPr>
            <w:tcW w:type="dxa" w:w="2646"/>
          </w:tcPr>
          <w:p>
            <w:pPr>
              <w:spacing w:line="240" w:lineRule="auto"/>
            </w:pPr>
            <w:r>
              <w:rPr>
                <w:rFonts w:ascii="Times New Roman" w:hAnsi="Times New Roman" w:eastAsia="Times New Roman"/>
                <w:b w:val="0"/>
                <w:i w:val="0"/>
                <w:sz w:val="18"/>
              </w:rPr>
              <w:t>Menyimpan dialog, penggunaan tool, dan event funnel</w:t>
            </w:r>
          </w:p>
        </w:tc>
        <w:tc>
          <w:tcPr>
            <w:tcW w:type="dxa" w:w="2646"/>
          </w:tcPr>
          <w:p>
            <w:pPr>
              <w:spacing w:line="240" w:lineRule="auto"/>
            </w:pPr>
            <w:r>
              <w:rPr>
                <w:rFonts w:ascii="Times New Roman" w:hAnsi="Times New Roman" w:eastAsia="Times New Roman"/>
                <w:b w:val="0"/>
                <w:i w:val="0"/>
                <w:sz w:val="18"/>
              </w:rPr>
              <w:t>Timestamp, session ID pseudonim, model condition, event type</w:t>
            </w:r>
          </w:p>
        </w:tc>
      </w:tr>
      <w:tr>
        <w:tc>
          <w:tcPr>
            <w:tcW w:type="dxa" w:w="2646"/>
          </w:tcPr>
          <w:p>
            <w:pPr>
              <w:spacing w:line="240" w:lineRule="auto"/>
            </w:pPr>
            <w:r>
              <w:rPr>
                <w:rFonts w:ascii="Times New Roman" w:hAnsi="Times New Roman" w:eastAsia="Times New Roman"/>
                <w:b w:val="0"/>
                <w:i w:val="0"/>
                <w:sz w:val="18"/>
              </w:rPr>
              <w:t>Instrumen persetujuan partisipan</w:t>
            </w:r>
          </w:p>
        </w:tc>
        <w:tc>
          <w:tcPr>
            <w:tcW w:type="dxa" w:w="2646"/>
          </w:tcPr>
          <w:p>
            <w:pPr>
              <w:spacing w:line="240" w:lineRule="auto"/>
            </w:pPr>
            <w:r>
              <w:rPr>
                <w:rFonts w:ascii="Times New Roman" w:hAnsi="Times New Roman" w:eastAsia="Times New Roman"/>
                <w:b w:val="0"/>
                <w:i w:val="0"/>
                <w:sz w:val="18"/>
              </w:rPr>
              <w:t>Menjelaskan tujuan dan ruang lingkup pencatatan</w:t>
            </w:r>
          </w:p>
        </w:tc>
        <w:tc>
          <w:tcPr>
            <w:tcW w:type="dxa" w:w="2646"/>
          </w:tcPr>
          <w:p>
            <w:pPr>
              <w:spacing w:line="240" w:lineRule="auto"/>
            </w:pPr>
            <w:r>
              <w:rPr>
                <w:rFonts w:ascii="Times New Roman" w:hAnsi="Times New Roman" w:eastAsia="Times New Roman"/>
                <w:b w:val="0"/>
                <w:i w:val="0"/>
                <w:sz w:val="18"/>
              </w:rPr>
              <w:t>Informasi penelitian, persetujuan, serta mekanisme penghentian</w:t>
            </w:r>
          </w:p>
        </w:tc>
      </w:tr>
    </w:tbl>
    <w:p>
      <w:pPr>
        <w:pStyle w:val="Heading2"/>
      </w:pPr>
      <w:r>
        <w:t>3.5 Prosedur Penelitian</w:t>
      </w:r>
    </w:p>
    <w:p>
      <w:pPr>
        <w:pStyle w:val="ListNumber"/>
      </w:pPr>
      <w:r>
        <w:rPr>
          <w:rFonts w:ascii="Times New Roman" w:hAnsi="Times New Roman" w:eastAsia="Times New Roman"/>
          <w:b w:val="0"/>
          <w:i w:val="0"/>
          <w:sz w:val="24"/>
        </w:rPr>
        <w:t>Mengkaji literatur dan mengunci daftar model, versi, kategori produk, definisi metrik, serta protokol eksperimen sebelum pengambilan data.</w:t>
      </w:r>
    </w:p>
    <w:p>
      <w:pPr>
        <w:pStyle w:val="ListNumber"/>
      </w:pPr>
      <w:r>
        <w:rPr>
          <w:rFonts w:ascii="Times New Roman" w:hAnsi="Times New Roman" w:eastAsia="Times New Roman"/>
          <w:b w:val="0"/>
          <w:i w:val="0"/>
          <w:sz w:val="24"/>
        </w:rPr>
        <w:t>Menyusun dan memvalidasi katalog produk, ground truth, skenario benchmark, serta aturan hard constraints dan preferences.</w:t>
      </w:r>
    </w:p>
    <w:p>
      <w:pPr>
        <w:pStyle w:val="ListNumber"/>
      </w:pPr>
      <w:r>
        <w:rPr>
          <w:rFonts w:ascii="Times New Roman" w:hAnsi="Times New Roman" w:eastAsia="Times New Roman"/>
          <w:b w:val="0"/>
          <w:i w:val="0"/>
          <w:sz w:val="24"/>
        </w:rPr>
        <w:t>Membangun antarmuka e-commerce serta agen penjualan dengan komponen tools dan konfigurasi inti yang digunakan bersama.</w:t>
      </w:r>
    </w:p>
    <w:p>
      <w:pPr>
        <w:pStyle w:val="ListNumber"/>
      </w:pPr>
      <w:r>
        <w:rPr>
          <w:rFonts w:ascii="Times New Roman" w:hAnsi="Times New Roman" w:eastAsia="Times New Roman"/>
          <w:b w:val="0"/>
          <w:i w:val="0"/>
          <w:sz w:val="24"/>
        </w:rPr>
        <w:t>Melaksanakan Controlled Agent Benchmark pada seluruh kondisi model, termasuk pengulangan skenario untuk mengukur reliability.</w:t>
      </w:r>
    </w:p>
    <w:p>
      <w:pPr>
        <w:pStyle w:val="ListNumber"/>
      </w:pPr>
      <w:r>
        <w:rPr>
          <w:rFonts w:ascii="Times New Roman" w:hAnsi="Times New Roman" w:eastAsia="Times New Roman"/>
          <w:b w:val="0"/>
          <w:i w:val="0"/>
          <w:sz w:val="24"/>
        </w:rPr>
        <w:t>Melaksanakan Randomized User Experiment dengan alokasi acak yang dipertahankan untuk setiap partisipan menggunakan sticky assignment berbasis ID pseudonim.</w:t>
      </w:r>
    </w:p>
    <w:p>
      <w:pPr>
        <w:pStyle w:val="ListNumber"/>
      </w:pPr>
      <w:r>
        <w:rPr>
          <w:rFonts w:ascii="Times New Roman" w:hAnsi="Times New Roman" w:eastAsia="Times New Roman"/>
          <w:b w:val="0"/>
          <w:i w:val="0"/>
          <w:sz w:val="24"/>
        </w:rPr>
        <w:t>Memeriksa kelengkapan dan kualitas log, menghitung metrik teknis serta capaian funnel, lalu melakukan perbandingan dan analisis hubungan antarmetrik.</w:t>
      </w:r>
    </w:p>
    <w:p>
      <w:pPr>
        <w:ind w:firstLine="709"/>
      </w:pPr>
      <w:r>
        <w:rPr>
          <w:rFonts w:ascii="Times New Roman" w:hAnsi="Times New Roman" w:eastAsia="Times New Roman"/>
          <w:b w:val="0"/>
          <w:i w:val="0"/>
          <w:sz w:val="24"/>
        </w:rPr>
        <w:t>Tahapan keempat dan kelima dilakukan secara terpisah agar keluaran benchmark tidak tercampur dengan interaksi partisipan. Nama model tidak diperlihatkan sebagai pembeda pada antarmuka pengujian apabila desain memungkinkan. Sebelum eksperimen utama, uji coba terbatas dilaksanakan untuk memverifikasi skema logging, aturan randomisasi, dan definisi peristiwa.</w:t>
      </w:r>
    </w:p>
    <w:p>
      <w:pPr>
        <w:pStyle w:val="Heading2"/>
      </w:pPr>
      <w:r>
        <w:t>3.6 Teknik Analisis Data</w:t>
      </w:r>
    </w:p>
    <w:p>
      <w:pPr>
        <w:ind w:firstLine="709"/>
      </w:pPr>
      <w:r>
        <w:rPr>
          <w:rFonts w:ascii="Times New Roman" w:hAnsi="Times New Roman" w:eastAsia="Times New Roman"/>
          <w:b w:val="0"/>
          <w:i w:val="0"/>
          <w:sz w:val="24"/>
        </w:rPr>
        <w:t>Kinerja teknis dihitung per skenario dan per model sesuai definisi operasional pada Subbab 2.3.5. Statistik deskriptif berupa rata-rata, proporsi, median, simpangan baku, dan interval kepercayaan dilaporkan menurut karakteristik metrik. Perbedaan nilai antar-LLM dapat diuji menggunakan metode yang sesuai dengan distribusi dan unit pengamatan; pemilihan uji statistik final disesuaikan dengan jumlah model, sifat data, dan rancangan pengulangan. Unit eksperimen, ketergantungan data dalam pengguna/skenario, dan koreksi perbandingan jamak harus dipertimbangkan.</w:t>
      </w:r>
    </w:p>
    <w:p>
      <w:pPr>
        <w:ind w:firstLine="709"/>
      </w:pPr>
      <w:r>
        <w:rPr>
          <w:rFonts w:ascii="Times New Roman" w:hAnsi="Times New Roman" w:eastAsia="Times New Roman"/>
          <w:b w:val="0"/>
          <w:i w:val="0"/>
          <w:sz w:val="24"/>
        </w:rPr>
        <w:t>Untuk purchase funnel, jumlah pengguna pada tiap tahap dan proporsi berdasarkan seluruh partisipan teralokasi dilaporkan per model; rasio kondisional antartahap disajikan terpisah. Hubungan antara indikator kinerja agen dan progresi funnel dieksplorasi menggunakan indikator yang dihitung pada unit sesi atau pengguna jika log teknis eksperimen pengguna tersedia. Skor benchmark yang hanya berupa agregat tiga model tidak boleh dianggap sebagai observasi independen per partisipan. Metode asosiasi atau pemodelan dipilih berdasarkan tipe data dan tingkat agregasinya. Hasil tidak disebut signifikan sebelum pengujian dan ukuran efek tidak diinterpretasikan sebagai bukti kausal otomatis (Kohavi et al., 2020).</w:t>
      </w:r>
    </w:p>
    <w:p>
      <w:pPr>
        <w:pStyle w:val="Heading2"/>
      </w:pPr>
      <w:r>
        <w:t>3.7 Etika Penelitian dan Pengelolaan Data</w:t>
      </w:r>
    </w:p>
    <w:p>
      <w:pPr>
        <w:ind w:firstLine="709"/>
      </w:pPr>
      <w:r>
        <w:rPr>
          <w:rFonts w:ascii="Times New Roman" w:hAnsi="Times New Roman" w:eastAsia="Times New Roman"/>
          <w:b w:val="0"/>
          <w:i w:val="0"/>
          <w:sz w:val="24"/>
        </w:rPr>
        <w:t>Partisipan diberi informasi mengenai penggunaan agen AI, tujuan penelitian, jenis data interaksi yang dicatat, serta hak menghentikan partisipasi. Data identitas pribadi diminimalkan dan diganti dengan pengenal pseudonim untuk keperluan alokasi eksperimen. Akses transkrip, log transaksi, dan metadata dibatasi pada kebutuhan penelitian. Informasi pembayaran sensitif tidak disimpan dalam log penelitian. Apabila checkout hanyalah simulasi, pelaporan hasil harus membedakannya dari pembayaran nyata.</w:t>
      </w:r>
    </w:p>
    <w:p>
      <w:pPr>
        <w:pStyle w:val="Heading1"/>
      </w:pPr>
      <w:r>
        <w:t>DAFTAR PUSTAKA</w:t>
      </w:r>
    </w:p>
    <w:p>
      <w:pPr>
        <w:spacing w:after="120"/>
        <w:ind w:hanging="567" w:left="567"/>
      </w:pPr>
      <w:r>
        <w:rPr>
          <w:rFonts w:ascii="Times New Roman" w:hAnsi="Times New Roman" w:eastAsia="Times New Roman"/>
          <w:b w:val="0"/>
          <w:i w:val="0"/>
          <w:sz w:val="24"/>
        </w:rPr>
        <w:t>Araujo, T. (2018). Living up to the chatbot hype: The influence of anthropomorphic design cues and communicative agency framing on conversational agent and company perceptions. Computers in Human Behavior, 85, 183–189. https://doi.org/10.1016/j.chb.2018.03.051</w:t>
      </w:r>
    </w:p>
    <w:p>
      <w:pPr>
        <w:spacing w:after="120"/>
        <w:ind w:hanging="567" w:left="567"/>
      </w:pPr>
      <w:r>
        <w:rPr>
          <w:rFonts w:ascii="Times New Roman" w:hAnsi="Times New Roman" w:eastAsia="Times New Roman"/>
          <w:b w:val="0"/>
          <w:i w:val="0"/>
          <w:sz w:val="24"/>
        </w:rPr>
        <w:t>Fan, S., Min, S., Hu, Y., Xia, B., Unnikrishnan, J., Musselmann, R., Gao, Y., Yin, Q., Nigam, P., &amp; Yin, B. (2026). Shopping reasoning bench: An expert-authored benchmark for multi-turn conversational shopping assistants [Preprint]. arXiv. https://doi.org/10.48550/arXiv.2606.12608</w:t>
      </w:r>
    </w:p>
    <w:p>
      <w:pPr>
        <w:spacing w:after="120"/>
        <w:ind w:hanging="567" w:left="567"/>
      </w:pPr>
      <w:r>
        <w:rPr>
          <w:rFonts w:ascii="Times New Roman" w:hAnsi="Times New Roman" w:eastAsia="Times New Roman"/>
          <w:b w:val="0"/>
          <w:i w:val="0"/>
          <w:sz w:val="24"/>
        </w:rPr>
        <w:t>Jannach, D. (2023). Evaluating conversational recommender systems: A landscape of research. Artificial Intelligence Review, 56, 2365–2400. https://doi.org/10.1007/s10462-022-10229-x</w:t>
      </w:r>
    </w:p>
    <w:p>
      <w:pPr>
        <w:spacing w:after="120"/>
        <w:ind w:hanging="567" w:left="567"/>
      </w:pPr>
      <w:r>
        <w:rPr>
          <w:rFonts w:ascii="Times New Roman" w:hAnsi="Times New Roman" w:eastAsia="Times New Roman"/>
          <w:b w:val="0"/>
          <w:i w:val="0"/>
          <w:sz w:val="24"/>
        </w:rPr>
        <w:t>Ji, Z., Lee, N., Frieske, R., Yu, T., Su, D., Xu, Y., Ishii, E., Bang, Y. J., Madotto, A., &amp; Fung, P. (2023). Survey of hallucination in natural language generation. ACM Computing Surveys, 55(12), Article 248. https://doi.org/10.1145/3571730</w:t>
      </w:r>
    </w:p>
    <w:p>
      <w:pPr>
        <w:spacing w:after="120"/>
        <w:ind w:hanging="567" w:left="567"/>
      </w:pPr>
      <w:r>
        <w:rPr>
          <w:rFonts w:ascii="Times New Roman" w:hAnsi="Times New Roman" w:eastAsia="Times New Roman"/>
          <w:b w:val="0"/>
          <w:i w:val="0"/>
          <w:sz w:val="24"/>
        </w:rPr>
        <w:t>Kohavi, R., Tang, D., &amp; Xu, Y. (2020). Trustworthy online controlled experiments: A practical guide to A/B testing. Cambridge University Press. https://doi.org/10.1017/9781108653985</w:t>
      </w:r>
    </w:p>
    <w:p>
      <w:pPr>
        <w:spacing w:after="120"/>
        <w:ind w:hanging="567" w:left="567"/>
      </w:pPr>
      <w:r>
        <w:rPr>
          <w:rFonts w:ascii="Times New Roman" w:hAnsi="Times New Roman" w:eastAsia="Times New Roman"/>
          <w:b w:val="0"/>
          <w:i w:val="0"/>
          <w:sz w:val="24"/>
        </w:rPr>
        <w:t>Lemon, K. N., &amp; Verhoef, P. C. (2016). Understanding customer experience throughout the customer journey. Journal of Marketing, 80(6), 69–96. https://doi.org/10.1509/jm.15.0420</w:t>
      </w:r>
    </w:p>
    <w:p>
      <w:pPr>
        <w:spacing w:after="120"/>
        <w:ind w:hanging="567" w:left="567"/>
      </w:pPr>
      <w:r>
        <w:rPr>
          <w:rFonts w:ascii="Times New Roman" w:hAnsi="Times New Roman" w:eastAsia="Times New Roman"/>
          <w:b w:val="0"/>
          <w:i w:val="0"/>
          <w:sz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ind w:hanging="567" w:left="567"/>
      </w:pPr>
      <w:r>
        <w:rPr>
          <w:rFonts w:ascii="Times New Roman" w:hAnsi="Times New Roman" w:eastAsia="Times New Roman"/>
          <w:b w:val="0"/>
          <w:i w:val="0"/>
          <w:sz w:val="24"/>
        </w:rPr>
        <w:t>Luo, X., Tong, S., Fang, Z., &amp; Qu, Z. (2019). Frontiers: Machines vs. humans: The impact of artificial intelligence chatbot disclosure on customer purchases. Marketing Science, 38(6), 937–947. https://doi.org/10.1287/mksc.2019.1192</w:t>
      </w:r>
    </w:p>
    <w:p>
      <w:pPr>
        <w:spacing w:after="120"/>
        <w:ind w:hanging="567" w:left="567"/>
      </w:pPr>
      <w:r>
        <w:rPr>
          <w:rFonts w:ascii="Times New Roman" w:hAnsi="Times New Roman" w:eastAsia="Times New Roman"/>
          <w:b w:val="0"/>
          <w:i w:val="0"/>
          <w:sz w:val="24"/>
        </w:rPr>
        <w:t>Schick, T., Dwivedi-Yu, J., Dessì, R., Raileanu, R., Lomeli, M., Hambro, E., Zettlemoyer, L., Cancedda, N., &amp; Scialom, T. (2023). Toolformer: Language models can teach themselves to use tools. Advances in Neural Information Processing Systems, 36. https://arxiv.org/abs/2302.04761</w:t>
      </w:r>
    </w:p>
    <w:p>
      <w:pPr>
        <w:spacing w:after="120"/>
        <w:ind w:hanging="567" w:left="567"/>
      </w:pPr>
      <w:r>
        <w:rPr>
          <w:rFonts w:ascii="Times New Roman" w:hAnsi="Times New Roman" w:eastAsia="Times New Roman"/>
          <w:b w:val="0"/>
          <w:i w:val="0"/>
          <w:sz w:val="24"/>
        </w:rPr>
        <w:t>Vaswani, A., Shazeer, N., Parmar, N., Uszkoreit, J., Jones, L., Gomez, A. N., Kaiser, Ł., &amp; Polosukhin, I. (2017). Attention is all you need. Advances in Neural Information Processing Systems, 30. https://proceedings.neurips.cc/paper_files/paper/2017/hash/3f5ee243547dee91fbd053c1c4a845aa-Abstract.html</w:t>
      </w:r>
    </w:p>
    <w:p>
      <w:pPr>
        <w:spacing w:after="120"/>
        <w:ind w:hanging="567" w:left="567"/>
      </w:pPr>
      <w:r>
        <w:rPr>
          <w:rFonts w:ascii="Times New Roman" w:hAnsi="Times New Roman" w:eastAsia="Times New Roman"/>
          <w:b w:val="0"/>
          <w:i w:val="0"/>
          <w:sz w:val="24"/>
        </w:rPr>
        <w:t>Yao, S., Shinn, N., Razavi, P., &amp; Narasimhan, K. (2025). τ-bench: A benchmark for tool-agent-user interaction in real-world domains. International Conference on Learning Representations. https://arxiv.org/abs/2406.12045</w:t>
      </w:r>
    </w:p>
    <w:p>
      <w:pPr>
        <w:spacing w:after="120"/>
        <w:ind w:hanging="567" w:left="567"/>
      </w:pPr>
      <w:r>
        <w:rPr>
          <w:rFonts w:ascii="Times New Roman" w:hAnsi="Times New Roman" w:eastAsia="Times New Roman"/>
          <w:b w:val="0"/>
          <w:i w:val="0"/>
          <w:sz w:val="24"/>
        </w:rPr>
        <w:t>Yao, S., Zhao, J., Yu, D., Du, N., Shafran, I., Narasimhan, K. R., &amp; Cao, Y. (2023). ReAct: Synergizing reasoning and acting in language models. International Conference on Learning Representations. https://arxiv.org/abs/2210.03629</w:t>
      </w:r>
    </w:p>
    <w:p>
      <w:pPr>
        <w:spacing w:after="120"/>
        <w:ind w:hanging="567" w:left="567"/>
      </w:pPr>
      <w:r>
        <w:rPr>
          <w:rFonts w:ascii="Times New Roman" w:hAnsi="Times New Roman" w:eastAsia="Times New Roman"/>
          <w:b w:val="0"/>
          <w:i w:val="0"/>
          <w:sz w:val="24"/>
        </w:rPr>
        <w:t>Vaswani, A., Shazeer, N., Parmar, N., Uszkoreit, J., Jones, L., Gomez, A. N., Kaiser, Ł., &amp; Polosukhin, I. (2017). Attention is all you need. Advances in Neural Information Processing Systems, 30.</w:t>
      </w:r>
    </w:p>
    <w:p>
      <w:pPr>
        <w:spacing w:after="120"/>
        <w:ind w:hanging="567" w:left="567"/>
      </w:pPr>
      <w:r>
        <w:rPr>
          <w:rFonts w:ascii="Times New Roman" w:hAnsi="Times New Roman" w:eastAsia="Times New Roman"/>
          <w:b w:val="0"/>
          <w:i w:val="0"/>
          <w:sz w:val="24"/>
        </w:rPr>
        <w:t>Jannach, D. (2023). Evaluating conversational recommender systems: A landscape of research. Artificial Intelligence Review, 56, 2365–2400. https://doi.org/10.1007/s10462-022-10229-x</w:t>
      </w:r>
    </w:p>
    <w:p>
      <w:pPr>
        <w:spacing w:after="120"/>
        <w:ind w:hanging="567" w:left="567"/>
      </w:pPr>
      <w:r>
        <w:rPr>
          <w:rFonts w:ascii="Times New Roman" w:hAnsi="Times New Roman" w:eastAsia="Times New Roman"/>
          <w:b w:val="0"/>
          <w:i w:val="0"/>
          <w:sz w:val="24"/>
        </w:rPr>
        <w:t>Lemon, K. N., &amp; Verhoef, P. C. (2016). Understanding customer experience throughout the customer journey. Journal of Marketing, 80(6), 69–96. https://doi.org/10.1509/jm.15.0420</w:t>
      </w:r>
    </w:p>
    <w:p>
      <w:pPr>
        <w:spacing w:after="120"/>
        <w:ind w:hanging="567" w:left="567"/>
      </w:pPr>
      <w:r>
        <w:rPr>
          <w:rFonts w:ascii="Times New Roman" w:hAnsi="Times New Roman" w:eastAsia="Times New Roman"/>
          <w:b w:val="0"/>
          <w:i w:val="0"/>
          <w:sz w:val="24"/>
        </w:rPr>
        <w:t>Lewis, P., Perez, E., Piktus, A., Petroni, F., Karpukhin, V., Goyal, N., Küttler, H., Lewis, M., Yih, W. T., Rocktäschel, T., Riedel, S., &amp; Kiela, D. (2020). Retrieval-augmented generation for knowledge-intensive NLP tasks. Advances in Neural Information Processing Systems, 33.</w:t>
      </w:r>
    </w:p>
    <w:p>
      <w:pPr>
        <w:spacing w:after="120"/>
        <w:ind w:hanging="567" w:left="567"/>
      </w:pPr>
      <w:r>
        <w:rPr>
          <w:rFonts w:ascii="Times New Roman" w:hAnsi="Times New Roman" w:eastAsia="Times New Roman"/>
          <w:b w:val="0"/>
          <w:i w:val="0"/>
          <w:sz w:val="24"/>
        </w:rPr>
        <w:t>Kohavi, R., Tang, D., &amp; Xu, Y. (2020). Trustworthy online controlled experiments: A practical guide to A/B testing. Cambridge University Press. https://doi.org/10.1017/9781108653985</w:t>
      </w:r>
    </w:p>
    <w:p>
      <w:pPr>
        <w:spacing w:after="120"/>
        <w:ind w:hanging="567" w:left="567"/>
      </w:pPr>
      <w:r>
        <w:rPr>
          <w:rFonts w:ascii="Times New Roman" w:hAnsi="Times New Roman" w:eastAsia="Times New Roman"/>
          <w:b w:val="0"/>
          <w:i w:val="0"/>
          <w:sz w:val="24"/>
        </w:rPr>
        <w:t>Yao, S., Zhao, J., Yu, D., Du, N., Shafran, I., Narasimhan, K. R., &amp; Cao, Y. (2023). ReAct: Synergizing reasoning and acting in language models. International Conference on Learning Representations (ICLR).</w:t>
      </w:r>
    </w:p>
    <w:p>
      <w:pPr>
        <w:spacing w:after="120"/>
        <w:ind w:hanging="567" w:left="567"/>
      </w:pPr>
      <w:r>
        <w:rPr>
          <w:rFonts w:ascii="Times New Roman" w:hAnsi="Times New Roman" w:eastAsia="Times New Roman"/>
          <w:b w:val="0"/>
          <w:i w:val="0"/>
          <w:sz w:val="24"/>
        </w:rPr>
        <w:t>Yao, S., Shinn, N., Razavi, P., &amp; Narasimhan, K. (2025). τ-bench: A benchmark for tool-agent-user interaction in real-world domains. International Conference on Learning Representations (ICLR).</w:t>
      </w:r>
    </w:p>
    <w:p>
      <w:pPr>
        <w:spacing w:after="120"/>
        <w:ind w:hanging="567" w:left="567"/>
      </w:pPr>
      <w:r>
        <w:rPr>
          <w:rFonts w:ascii="Times New Roman" w:hAnsi="Times New Roman" w:eastAsia="Times New Roman"/>
          <w:b w:val="0"/>
          <w:i w:val="0"/>
          <w:sz w:val="24"/>
        </w:rPr>
        <w:t>Fan, S., Min, S., Hu, Y., Xia, B., Unnikrishnan, J., Musselmann, R., Gao, Y., Yin, Q., Nigam, P., &amp; Yin, B. (2026). Shopping Reasoning Bench: An expert-authored benchmark for multi-turn conversational shopping assistants. arXiv preprint. https://doi.org/10.48550/arXiv.2606.12608</w:t>
      </w:r>
    </w:p>
    <w:p>
      <w:pPr>
        <w:spacing w:after="120"/>
        <w:ind w:hanging="567" w:left="567"/>
      </w:pPr>
      <w:r>
        <w:rPr>
          <w:rFonts w:ascii="Times New Roman" w:hAnsi="Times New Roman" w:eastAsia="Times New Roman"/>
          <w:b w:val="0"/>
          <w:i w:val="0"/>
          <w:sz w:val="24"/>
        </w:rPr>
        <w:t>Araujo, T. (2018). Living up to the chatbot hype: The influence of anthropomorphic design cues and communicative agency framing on conversational agent and company perceptions. Computers in Human Behavior, 85, 183–189. https://doi.org/10.1016/j.chb.2018.03.051</w:t>
      </w:r>
    </w:p>
    <w:p>
      <w:pPr>
        <w:spacing w:after="120"/>
        <w:ind w:hanging="567" w:left="567"/>
      </w:pPr>
      <w:r>
        <w:rPr>
          <w:rFonts w:ascii="Times New Roman" w:hAnsi="Times New Roman" w:eastAsia="Times New Roman"/>
          <w:b w:val="0"/>
          <w:i w:val="0"/>
          <w:sz w:val="24"/>
        </w:rPr>
        <w:t>Schick, T., Dwivedi-Yu, J., Dessì, R., Raileanu, R., Lomeli, M., Hambro, E., Zettlemoyer, L., Cancedda, N., &amp; Scialom, T. (2023). Toolformer: Language models can teach themselves to use tools. Advances in Neural Information Processing Systems, 36.</w:t>
      </w:r>
    </w:p>
    <w:p>
      <w:pPr>
        <w:spacing w:after="120"/>
        <w:ind w:hanging="567" w:left="567"/>
      </w:pPr>
      <w:r>
        <w:rPr>
          <w:rFonts w:ascii="Times New Roman" w:hAnsi="Times New Roman" w:eastAsia="Times New Roman"/>
          <w:b w:val="0"/>
          <w:i w:val="0"/>
          <w:sz w:val="24"/>
        </w:rPr>
        <w:t>Luo, X., Tong, S., Fang, Z., &amp; Qu, Z. (2019). Frontiers: Machines vs. humans: The impact of artificial intelligence chatbot disclosure on customer purchases. Marketing Science, 38(6), 937–947. https://doi.org/10.1287/mksc.2019.1192</w:t>
      </w:r>
    </w:p>
    <w:p>
      <w:pPr>
        <w:spacing w:after="120"/>
        <w:ind w:hanging="567" w:left="567"/>
      </w:pPr>
      <w:r>
        <w:rPr>
          <w:rFonts w:ascii="Times New Roman" w:hAnsi="Times New Roman" w:eastAsia="Times New Roman"/>
          <w:b w:val="0"/>
          <w:i w:val="0"/>
          <w:sz w:val="24"/>
        </w:rPr>
        <w:t>Ji, Z., Lee, N., Frieske, R., Yu, T., Su, D., Xu, Y., Ishii, E., Bang, Y. J., Madotto, A., &amp; Fung, P. (2023). Survey of hallucination in natural language generation. ACM Computing Surveys, 55(12), Article 248, 1–38. https://doi.org/10.1145/3571730</w:t>
      </w:r>
    </w:p>
    <w:sectPr w:rsidR="00FC693F" w:rsidRPr="0006063C" w:rsidSect="00034616">
      <w:footerReference w:type="default" r:id="rId12"/>
      <w:pgSz w:w="11906" w:h="16838"/>
      <w:pgMar w:top="1701" w:right="1701" w:bottom="1701" w:left="2268" w:header="680" w:footer="73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Perbandingan Large Language Models sebagai Reasoning Engine pada Agentic Conversational Sales Assistant: Analisis Kinerja Agen dan Purchase Funnel dalam E-Commerce</dc:title>
  <dc:subject>Proposal Skripsi Teknik Informatika</dc:subject>
  <dc:creator>Muhammad Syahid Kusasih</dc:creator>
  <cp:keywords/>
  <dc:description>generated by python-docx</dc:description>
  <cp:lastModifiedBy/>
  <cp:revision>1</cp:revision>
  <dcterms:created xsi:type="dcterms:W3CDTF">2013-12-23T23:15:00Z</dcterms:created>
  <dcterms:modified xsi:type="dcterms:W3CDTF">2013-12-23T23:15:00Z</dcterms:modified>
  <cp:category/>
</cp:coreProperties>
</file>