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C426F94">
      <w:pPr>
        <w:pStyle w:val="15"/>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专精特新”小巨人”企业人才需求特征与大学生就业启示——基于深圳市2021—2024年16,501条招聘数据的实证分析</w:t>
      </w:r>
    </w:p>
    <w:p w14:paraId="72546083">
      <w:pPr>
        <w:pStyle w:val="27"/>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深圳信息职业技术大学</w:t>
      </w:r>
    </w:p>
    <w:p w14:paraId="4D9021A7">
      <w:pPr>
        <w:pStyle w:val="14"/>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2026年4月</w:t>
      </w:r>
    </w:p>
    <w:p w14:paraId="73B00C29">
      <w:pPr>
        <w:pStyle w:val="2"/>
        <w:rPr>
          <w:rFonts w:hint="default" w:ascii="Times New Roman" w:hAnsi="Times New Roman" w:cs="Times New Roman"/>
          <w:color w:val="000000" w:themeColor="text1"/>
          <w14:textFill>
            <w14:solidFill>
              <w14:schemeClr w14:val="tx1"/>
            </w14:solidFill>
          </w14:textFill>
        </w:rPr>
      </w:pPr>
      <w:bookmarkStart w:id="0" w:name="摘要"/>
      <w:r>
        <w:rPr>
          <w:rFonts w:hint="default" w:ascii="Times New Roman" w:hAnsi="Times New Roman" w:cs="Times New Roman"/>
          <w:color w:val="000000" w:themeColor="text1"/>
          <w14:textFill>
            <w14:solidFill>
              <w14:schemeClr w14:val="tx1"/>
            </w14:solidFill>
          </w14:textFill>
        </w:rPr>
        <w:t>摘要</w:t>
      </w:r>
    </w:p>
    <w:p w14:paraId="0CC62187">
      <w:pPr>
        <w:pStyle w:val="23"/>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专精特新”小巨人”企业是我国制造业创新的核心力量，也是大学生就业的重要承接方。本研究以深圳市597家国家级专精特新”小巨人”企业2021—2024年在智联招聘平台发布的16,501条招聘记录为样本，采用”结构化字段分析＋大语言模型（LLM）文本挖掘”双阶段方法，系统刻画该群体的人才需求特征。研究发现：（1）制造业高度集中（67.2%），中小企业为主体（76.8%），研发技术（28.2%）和销售市场（17.5%）是两大核心岗位方向；（2）本科学历要求占比从42.3%升至47.4%，大专从41.6%降至34.6%，学历门槛持续走高；（3）职位描述文本中沟通协调（424次/千条）是压倒性首位软技能，C/C++嵌入式编程（合计729次）远超Python（148次），AI/ML框架尚未进入主流工具需求；（4）全样本数字化程度评分均值仅35.8分（满分100），AI相关性更低至8.7分，多数岗位数字化停留于工具应用层。研究从政府政策、高校培养和大学生个人择业三个层面提出对策建议。</w:t>
      </w:r>
    </w:p>
    <w:p w14:paraId="151AB781">
      <w:pPr>
        <w:pStyle w:val="3"/>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b/>
          <w:bCs/>
          <w:color w:val="000000" w:themeColor="text1"/>
          <w14:textFill>
            <w14:solidFill>
              <w14:schemeClr w14:val="tx1"/>
            </w14:solidFill>
          </w14:textFill>
        </w:rPr>
        <w:t>关键词：</w:t>
      </w:r>
      <w:r>
        <w:rPr>
          <w:rFonts w:hint="default" w:ascii="Times New Roman" w:hAnsi="Times New Roman" w:cs="Times New Roman"/>
          <w:color w:val="000000" w:themeColor="text1"/>
          <w14:textFill>
            <w14:solidFill>
              <w14:schemeClr w14:val="tx1"/>
            </w14:solidFill>
          </w14:textFill>
        </w:rPr>
        <w:t xml:space="preserve"> </w:t>
      </w:r>
      <w:r>
        <w:rPr>
          <w:rFonts w:hint="default" w:ascii="Times New Roman" w:hAnsi="Times New Roman" w:cs="Times New Roman"/>
          <w:color w:val="000000" w:themeColor="text1"/>
          <w14:textFill>
            <w14:solidFill>
              <w14:schemeClr w14:val="tx1"/>
            </w14:solidFill>
          </w14:textFill>
        </w:rPr>
        <w:t>专精特新”小巨人”；招聘大数据；大学生就业；产教融合；技能需求</w:t>
      </w:r>
    </w:p>
    <w:p w14:paraId="4E32B0C2">
      <w:p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pict>
          <v:rect id="_x0000_i1025" o:spt="1" style="height:1.5pt;width:0pt;" coordsize="21600,21600" o:hr="t" o:hrstd="t" o:hralign="center">
            <v:path/>
            <v:fill focussize="0,0"/>
            <v:stroke/>
            <v:imagedata o:title=""/>
            <o:lock v:ext="edit"/>
            <w10:wrap type="none"/>
            <w10:anchorlock/>
          </v:rect>
        </w:pict>
      </w:r>
    </w:p>
    <w:bookmarkEnd w:id="0"/>
    <w:p w14:paraId="405E96BA">
      <w:pPr>
        <w:pStyle w:val="2"/>
        <w:rPr>
          <w:rFonts w:hint="default" w:ascii="Times New Roman" w:hAnsi="Times New Roman" w:cs="Times New Roman"/>
          <w:color w:val="000000" w:themeColor="text1"/>
          <w14:textFill>
            <w14:solidFill>
              <w14:schemeClr w14:val="tx1"/>
            </w14:solidFill>
          </w14:textFill>
        </w:rPr>
      </w:pPr>
      <w:bookmarkStart w:id="1" w:name="一问题的提出"/>
      <w:r>
        <w:rPr>
          <w:rFonts w:hint="default" w:ascii="Times New Roman" w:hAnsi="Times New Roman" w:cs="Times New Roman"/>
          <w:color w:val="000000" w:themeColor="text1"/>
          <w14:textFill>
            <w14:solidFill>
              <w14:schemeClr w14:val="tx1"/>
            </w14:solidFill>
          </w14:textFill>
        </w:rPr>
        <w:t>一、问题的提出</w:t>
      </w:r>
    </w:p>
    <w:p w14:paraId="07706C55">
      <w:pPr>
        <w:pStyle w:val="23"/>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专精特新”小巨人”企业是我国制造业升级战略的核心载体。自工业和信息化部2018年启动培育工作以来，截至2024年全国已累计培育超过14,000家国家级专精特新”小巨人”企业。深圳作为国家制造业创新中心，入选企业超过1,000家，在全国名列前茅。这批企业专注于细分市场，拥有较强的创新能力和较高的市场占有率，是连接科技创新与实体经济的关键节点[1]。</w:t>
      </w:r>
    </w:p>
    <w:p w14:paraId="741EC0C6">
      <w:pPr>
        <w:pStyle w:val="3"/>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与此同时，大学生就业正面临日趋严峻的结构性矛盾。2024年全国普通高校毕业生规模达1,179万人，就业市场供需结构性错配问题突出——大量毕业生集中于金融、互联网等传统热门方向，而专精特新企业所急需的嵌入式开发、工业自动化、质量检验等技能密集型岗位却面临招工难题[2]。这一”有人没活干、有活没人干”的结构性矛盾，根源之一在于高校人才培养与制造业实际需求之间存在信息不对称。</w:t>
      </w:r>
    </w:p>
    <w:p w14:paraId="2E8F2BE9">
      <w:pPr>
        <w:pStyle w:val="3"/>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本研究试图弥补这一信息鸿沟。以深圳市597家国家级专精特新”小巨人”企业2021—2024年发布的16,501条招聘记录为样本，采用”结构化字段分析＋大语言模型（LLM）文本挖掘”双阶段方法，从岗位结构、学历门槛、技术技能、软技能需求和数字化程度五个维度，系统构建专精特新企业人才需求的全景画像。研究不仅旨在回答”企业到底要什么样的人”，更希望为政府就业政策制定、高校专业改革和大学生个人职业规划提供基于数据的决策参考。</w:t>
      </w:r>
    </w:p>
    <w:bookmarkEnd w:id="1"/>
    <w:p w14:paraId="63865162">
      <w:pPr>
        <w:pStyle w:val="2"/>
        <w:rPr>
          <w:rFonts w:hint="default" w:ascii="Times New Roman" w:hAnsi="Times New Roman" w:cs="Times New Roman"/>
          <w:color w:val="000000" w:themeColor="text1"/>
          <w14:textFill>
            <w14:solidFill>
              <w14:schemeClr w14:val="tx1"/>
            </w14:solidFill>
          </w14:textFill>
        </w:rPr>
      </w:pPr>
      <w:bookmarkStart w:id="2" w:name="二数据来源与研究方法"/>
      <w:r>
        <w:rPr>
          <w:rFonts w:hint="default" w:ascii="Times New Roman" w:hAnsi="Times New Roman" w:cs="Times New Roman"/>
          <w:color w:val="000000" w:themeColor="text1"/>
          <w14:textFill>
            <w14:solidFill>
              <w14:schemeClr w14:val="tx1"/>
            </w14:solidFill>
          </w14:textFill>
        </w:rPr>
        <w:t>二、数据来源与研究方法</w:t>
      </w:r>
      <w:bookmarkStart w:id="19" w:name="_GoBack"/>
      <w:bookmarkEnd w:id="19"/>
    </w:p>
    <w:p w14:paraId="184CD8A9">
      <w:pPr>
        <w:pStyle w:val="4"/>
        <w:rPr>
          <w:rFonts w:hint="default" w:ascii="Times New Roman" w:hAnsi="Times New Roman" w:cs="Times New Roman"/>
          <w:color w:val="000000" w:themeColor="text1"/>
          <w14:textFill>
            <w14:solidFill>
              <w14:schemeClr w14:val="tx1"/>
            </w14:solidFill>
          </w14:textFill>
        </w:rPr>
      </w:pPr>
      <w:bookmarkStart w:id="3" w:name="一数据来源"/>
      <w:r>
        <w:rPr>
          <w:rFonts w:hint="default" w:ascii="Times New Roman" w:hAnsi="Times New Roman" w:cs="Times New Roman"/>
          <w:color w:val="000000" w:themeColor="text1"/>
          <w14:textFill>
            <w14:solidFill>
              <w14:schemeClr w14:val="tx1"/>
            </w14:solidFill>
          </w14:textFill>
        </w:rPr>
        <w:t>（一）数据来源</w:t>
      </w:r>
    </w:p>
    <w:p w14:paraId="05B8ED5A">
      <w:pPr>
        <w:pStyle w:val="23"/>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本研究使用的招聘数据来自智联招聘数据库，涵盖深圳市专精特新”小巨人”企业在该平台发布的招聘信息。数据处理执行以下过滤条件：（1）仅保留注册地为深圳市的企业；（2）剔除经人工复核标注为”未见信息”的记录。最终获得2021—2024年</w:t>
      </w:r>
      <w:r>
        <w:rPr>
          <w:rFonts w:hint="default" w:ascii="Times New Roman" w:hAnsi="Times New Roman" w:cs="Times New Roman"/>
          <w:b/>
          <w:bCs/>
          <w:color w:val="000000" w:themeColor="text1"/>
          <w14:textFill>
            <w14:solidFill>
              <w14:schemeClr w14:val="tx1"/>
            </w14:solidFill>
          </w14:textFill>
        </w:rPr>
        <w:t>16,501条</w:t>
      </w:r>
      <w:r>
        <w:rPr>
          <w:rFonts w:hint="default" w:ascii="Times New Roman" w:hAnsi="Times New Roman" w:cs="Times New Roman"/>
          <w:color w:val="000000" w:themeColor="text1"/>
          <w14:textFill>
            <w14:solidFill>
              <w14:schemeClr w14:val="tx1"/>
            </w14:solidFill>
          </w14:textFill>
        </w:rPr>
        <w:t>有效招聘记录，涉及</w:t>
      </w:r>
      <w:r>
        <w:rPr>
          <w:rFonts w:hint="default" w:ascii="Times New Roman" w:hAnsi="Times New Roman" w:cs="Times New Roman"/>
          <w:b/>
          <w:bCs/>
          <w:color w:val="000000" w:themeColor="text1"/>
          <w14:textFill>
            <w14:solidFill>
              <w14:schemeClr w14:val="tx1"/>
            </w14:solidFill>
          </w14:textFill>
        </w:rPr>
        <w:t>597家</w:t>
      </w:r>
      <w:r>
        <w:rPr>
          <w:rFonts w:hint="default" w:ascii="Times New Roman" w:hAnsi="Times New Roman" w:cs="Times New Roman"/>
          <w:color w:val="000000" w:themeColor="text1"/>
          <w14:textFill>
            <w14:solidFill>
              <w14:schemeClr w14:val="tx1"/>
            </w14:solidFill>
          </w14:textFill>
        </w:rPr>
        <w:t>企业。</w:t>
      </w:r>
    </w:p>
    <w:p w14:paraId="5E129DC8">
      <w:pPr>
        <w:pStyle w:val="3"/>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需要说明的是，智联招聘对蓝领和非正式就业人员覆盖不足，招聘条数反映招聘意愿而非实际录用结果，上述局限性在解读结果时需加以考量。</w:t>
      </w:r>
    </w:p>
    <w:bookmarkEnd w:id="3"/>
    <w:p w14:paraId="4DA477AF">
      <w:pPr>
        <w:pStyle w:val="4"/>
        <w:rPr>
          <w:rFonts w:hint="default" w:ascii="Times New Roman" w:hAnsi="Times New Roman" w:cs="Times New Roman"/>
          <w:color w:val="000000" w:themeColor="text1"/>
          <w14:textFill>
            <w14:solidFill>
              <w14:schemeClr w14:val="tx1"/>
            </w14:solidFill>
          </w14:textFill>
        </w:rPr>
      </w:pPr>
      <w:bookmarkStart w:id="4" w:name="二研究方法"/>
      <w:r>
        <w:rPr>
          <w:rFonts w:hint="default" w:ascii="Times New Roman" w:hAnsi="Times New Roman" w:cs="Times New Roman"/>
          <w:color w:val="000000" w:themeColor="text1"/>
          <w14:textFill>
            <w14:solidFill>
              <w14:schemeClr w14:val="tx1"/>
            </w14:solidFill>
          </w14:textFill>
        </w:rPr>
        <w:t>（二）研究方法</w:t>
      </w:r>
    </w:p>
    <w:p w14:paraId="5ECDF343">
      <w:pPr>
        <w:pStyle w:val="23"/>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b/>
          <w:bCs/>
          <w:color w:val="000000" w:themeColor="text1"/>
          <w14:textFill>
            <w14:solidFill>
              <w14:schemeClr w14:val="tx1"/>
            </w14:solidFill>
          </w14:textFill>
        </w:rPr>
        <w:t>第一阶段：结构化分析。</w:t>
      </w:r>
      <w:r>
        <w:rPr>
          <w:rFonts w:hint="default" w:ascii="Times New Roman" w:hAnsi="Times New Roman" w:cs="Times New Roman"/>
          <w:color w:val="000000" w:themeColor="text1"/>
          <w14:textFill>
            <w14:solidFill>
              <w14:schemeClr w14:val="tx1"/>
            </w14:solidFill>
          </w14:textFill>
        </w:rPr>
        <w:t xml:space="preserve"> </w:t>
      </w:r>
      <w:r>
        <w:rPr>
          <w:rFonts w:hint="default" w:ascii="Times New Roman" w:hAnsi="Times New Roman" w:cs="Times New Roman"/>
          <w:color w:val="000000" w:themeColor="text1"/>
          <w14:textFill>
            <w14:solidFill>
              <w14:schemeClr w14:val="tx1"/>
            </w14:solidFill>
          </w14:textFill>
        </w:rPr>
        <w:t>对招聘岗位名称采用关键词优先级匹配法，构建九类岗位功能分类体系（研发技术、销售市场、信息技术、生产制造、行政人力、供应链采购、质量检验、管理运营、财务会计），分类覆盖率84.8%。在此基础上进行岗位结构、学历分布、技术关键词等统计分析。</w:t>
      </w:r>
    </w:p>
    <w:p w14:paraId="67B2E65A">
      <w:pPr>
        <w:pStyle w:val="3"/>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b/>
          <w:bCs/>
          <w:color w:val="000000" w:themeColor="text1"/>
          <w14:textFill>
            <w14:solidFill>
              <w14:schemeClr w14:val="tx1"/>
            </w14:solidFill>
          </w14:textFill>
        </w:rPr>
        <w:t>第二阶段：LLM文本挖掘。</w:t>
      </w:r>
      <w:r>
        <w:rPr>
          <w:rFonts w:hint="default" w:ascii="Times New Roman" w:hAnsi="Times New Roman" w:cs="Times New Roman"/>
          <w:color w:val="000000" w:themeColor="text1"/>
          <w14:textFill>
            <w14:solidFill>
              <w14:schemeClr w14:val="tx1"/>
            </w14:solidFill>
          </w14:textFill>
        </w:rPr>
        <w:t xml:space="preserve"> </w:t>
      </w:r>
      <w:r>
        <w:rPr>
          <w:rFonts w:hint="default" w:ascii="Times New Roman" w:hAnsi="Times New Roman" w:cs="Times New Roman"/>
          <w:color w:val="000000" w:themeColor="text1"/>
          <w14:textFill>
            <w14:solidFill>
              <w14:schemeClr w14:val="tx1"/>
            </w14:solidFill>
          </w14:textFill>
        </w:rPr>
        <w:t>参照GABRIEL框架[3]设计理念，使用大语言模型对全部16,501条职位描述执行四项文本分析任务：（1）软技能提取——识别每条职位描述中的非技术能力要求；（2）数字化程度评分——对每条记录从数字化程度、AI相关性、技术复杂度三个维度进行0—100分量化评分；（3）技术工具提取——识别具体的软件、编程语言、仪器设备名称；（4）本科与大专岗位文本差异分析——分层抽样比较两类岗位在职责描述上的系统性差异。</w:t>
      </w:r>
    </w:p>
    <w:bookmarkEnd w:id="2"/>
    <w:bookmarkEnd w:id="4"/>
    <w:p w14:paraId="679D24A1">
      <w:pPr>
        <w:pStyle w:val="2"/>
        <w:rPr>
          <w:rFonts w:hint="default" w:ascii="Times New Roman" w:hAnsi="Times New Roman" w:cs="Times New Roman"/>
          <w:color w:val="000000" w:themeColor="text1"/>
          <w14:textFill>
            <w14:solidFill>
              <w14:schemeClr w14:val="tx1"/>
            </w14:solidFill>
          </w14:textFill>
        </w:rPr>
      </w:pPr>
      <w:bookmarkStart w:id="5" w:name="三研究发现"/>
      <w:r>
        <w:rPr>
          <w:rFonts w:hint="default" w:ascii="Times New Roman" w:hAnsi="Times New Roman" w:cs="Times New Roman"/>
          <w:color w:val="000000" w:themeColor="text1"/>
          <w14:textFill>
            <w14:solidFill>
              <w14:schemeClr w14:val="tx1"/>
            </w14:solidFill>
          </w14:textFill>
        </w:rPr>
        <w:t>三、研究发现</w:t>
      </w:r>
    </w:p>
    <w:p w14:paraId="25E6027B">
      <w:pPr>
        <w:pStyle w:val="4"/>
        <w:rPr>
          <w:rFonts w:hint="default" w:ascii="Times New Roman" w:hAnsi="Times New Roman" w:cs="Times New Roman"/>
          <w:color w:val="000000" w:themeColor="text1"/>
          <w14:textFill>
            <w14:solidFill>
              <w14:schemeClr w14:val="tx1"/>
            </w14:solidFill>
          </w14:textFill>
        </w:rPr>
      </w:pPr>
      <w:bookmarkStart w:id="6" w:name="一企业画像制造业主导中小企业为主体"/>
      <w:r>
        <w:rPr>
          <w:rFonts w:hint="default" w:ascii="Times New Roman" w:hAnsi="Times New Roman" w:cs="Times New Roman"/>
          <w:color w:val="000000" w:themeColor="text1"/>
          <w14:textFill>
            <w14:solidFill>
              <w14:schemeClr w14:val="tx1"/>
            </w14:solidFill>
          </w14:textFill>
        </w:rPr>
        <w:t>（一）企业画像：制造业主导，中小企业为主体</w:t>
      </w:r>
    </w:p>
    <w:p w14:paraId="6E8673D4">
      <w:pPr>
        <w:pStyle w:val="23"/>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深圳597家参与招聘的专精特新”小巨人”企业呈现高度集中的产业分布特征（见图1）。制造业企业贡献了67.2%的招聘条数，远超排名第二的批发和零售业（12.3%）和科学研究及技术服务业（9.5%）。在企业规模方面，中型企业（100—999人）占51.0%，小型企业（＜100人）占25.8%，大型企业（≥1,000人）占23.2%（见图2）。中小企业合计贡献76.8%的招聘量，是大学生就业的重要目的地。</w:t>
      </w:r>
    </w:p>
    <w:p w14:paraId="3470466A">
      <w:pPr>
        <w:pStyle w:val="47"/>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drawing>
          <wp:inline distT="0" distB="0" distL="114300" distR="114300">
            <wp:extent cx="5334000" cy="2647950"/>
            <wp:effectExtent l="0" t="0" r="0" b="0"/>
            <wp:docPr id="15" name="Picture" descr="图1 岗位功能类别分布"/>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descr="图1 岗位功能类别分布"/>
                    <pic:cNvPicPr>
                      <a:picLocks noChangeAspect="1" noChangeArrowheads="1"/>
                    </pic:cNvPicPr>
                  </pic:nvPicPr>
                  <pic:blipFill>
                    <a:blip r:embed="rId5"/>
                    <a:stretch>
                      <a:fillRect/>
                    </a:stretch>
                  </pic:blipFill>
                  <pic:spPr>
                    <a:xfrm>
                      <a:off x="0" y="0"/>
                      <a:ext cx="5334000" cy="2648085"/>
                    </a:xfrm>
                    <a:prstGeom prst="rect">
                      <a:avLst/>
                    </a:prstGeom>
                    <a:noFill/>
                    <a:ln w="9525">
                      <a:noFill/>
                    </a:ln>
                  </pic:spPr>
                </pic:pic>
              </a:graphicData>
            </a:graphic>
          </wp:inline>
        </w:drawing>
      </w:r>
    </w:p>
    <w:p w14:paraId="4C9478E1">
      <w:pPr>
        <w:pStyle w:val="45"/>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图1</w:t>
      </w:r>
      <w:r>
        <w:rPr>
          <w:rFonts w:hint="default" w:ascii="Times New Roman" w:hAnsi="Times New Roman" w:cs="Times New Roman"/>
          <w:color w:val="000000" w:themeColor="text1"/>
          <w14:textFill>
            <w14:solidFill>
              <w14:schemeClr w14:val="tx1"/>
            </w14:solidFill>
          </w14:textFill>
        </w:rPr>
        <w:t xml:space="preserve"> </w:t>
      </w:r>
      <w:r>
        <w:rPr>
          <w:rFonts w:hint="default" w:ascii="Times New Roman" w:hAnsi="Times New Roman" w:cs="Times New Roman"/>
          <w:color w:val="000000" w:themeColor="text1"/>
          <w14:textFill>
            <w14:solidFill>
              <w14:schemeClr w14:val="tx1"/>
            </w14:solidFill>
          </w14:textFill>
        </w:rPr>
        <w:t>岗位功能类别分布</w:t>
      </w:r>
    </w:p>
    <w:p w14:paraId="4DDA97AE">
      <w:pPr>
        <w:pStyle w:val="47"/>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drawing>
          <wp:inline distT="0" distB="0" distL="114300" distR="114300">
            <wp:extent cx="5334000" cy="4855845"/>
            <wp:effectExtent l="0" t="0" r="0" b="0"/>
            <wp:docPr id="18" name="Picture" descr="图2 企业规模分布"/>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descr="图2 企业规模分布"/>
                    <pic:cNvPicPr>
                      <a:picLocks noChangeAspect="1" noChangeArrowheads="1"/>
                    </pic:cNvPicPr>
                  </pic:nvPicPr>
                  <pic:blipFill>
                    <a:blip r:embed="rId6"/>
                    <a:stretch>
                      <a:fillRect/>
                    </a:stretch>
                  </pic:blipFill>
                  <pic:spPr>
                    <a:xfrm>
                      <a:off x="0" y="0"/>
                      <a:ext cx="5334000" cy="4856043"/>
                    </a:xfrm>
                    <a:prstGeom prst="rect">
                      <a:avLst/>
                    </a:prstGeom>
                    <a:noFill/>
                    <a:ln w="9525">
                      <a:noFill/>
                    </a:ln>
                  </pic:spPr>
                </pic:pic>
              </a:graphicData>
            </a:graphic>
          </wp:inline>
        </w:drawing>
      </w:r>
    </w:p>
    <w:p w14:paraId="4E8CD2DC">
      <w:pPr>
        <w:pStyle w:val="45"/>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图2</w:t>
      </w:r>
      <w:r>
        <w:rPr>
          <w:rFonts w:hint="default" w:ascii="Times New Roman" w:hAnsi="Times New Roman" w:cs="Times New Roman"/>
          <w:color w:val="000000" w:themeColor="text1"/>
          <w14:textFill>
            <w14:solidFill>
              <w14:schemeClr w14:val="tx1"/>
            </w14:solidFill>
          </w14:textFill>
        </w:rPr>
        <w:t xml:space="preserve"> </w:t>
      </w:r>
      <w:r>
        <w:rPr>
          <w:rFonts w:hint="default" w:ascii="Times New Roman" w:hAnsi="Times New Roman" w:cs="Times New Roman"/>
          <w:color w:val="000000" w:themeColor="text1"/>
          <w14:textFill>
            <w14:solidFill>
              <w14:schemeClr w14:val="tx1"/>
            </w14:solidFill>
          </w14:textFill>
        </w:rPr>
        <w:t>企业规模分布</w:t>
      </w:r>
    </w:p>
    <w:bookmarkEnd w:id="6"/>
    <w:p w14:paraId="138A1152">
      <w:pPr>
        <w:pStyle w:val="4"/>
        <w:rPr>
          <w:rFonts w:hint="default" w:ascii="Times New Roman" w:hAnsi="Times New Roman" w:cs="Times New Roman"/>
          <w:color w:val="000000" w:themeColor="text1"/>
          <w14:textFill>
            <w14:solidFill>
              <w14:schemeClr w14:val="tx1"/>
            </w14:solidFill>
          </w14:textFill>
        </w:rPr>
      </w:pPr>
      <w:bookmarkStart w:id="7" w:name="二岗位结构研发与销售双核驱动"/>
      <w:r>
        <w:rPr>
          <w:rFonts w:hint="default" w:ascii="Times New Roman" w:hAnsi="Times New Roman" w:cs="Times New Roman"/>
          <w:color w:val="000000" w:themeColor="text1"/>
          <w14:textFill>
            <w14:solidFill>
              <w14:schemeClr w14:val="tx1"/>
            </w14:solidFill>
          </w14:textFill>
        </w:rPr>
        <w:t>（二）岗位结构：研发与销售双核驱动</w:t>
      </w:r>
    </w:p>
    <w:p w14:paraId="6C1A4664">
      <w:pPr>
        <w:pStyle w:val="23"/>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岗位功能分布呈现明显的”双核”格局（见图1）：研发技术类以28.2%居首，涵盖硬件工程师、电气工程师、机械工程师等技术密集型岗位；销售市场类（17.5%）居第二，反映专精特新企业在细分市场中强烈的市场开拓需求。两者合计占比超过45%，构成岗位需求的绝对主体。</w:t>
      </w:r>
    </w:p>
    <w:p w14:paraId="5BA86B4C">
      <w:pPr>
        <w:pStyle w:val="3"/>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值得注意的是，信息技术类（7.7%）和生产制造类（7.9%）需求量相当，均为重要的就业方向。16,501条记录中共出现9,184个唯一岗位名称，岗位设置高度碎片化，折射出专精特新企业”一岗一设”的定制化特征。</w:t>
      </w:r>
    </w:p>
    <w:p w14:paraId="0BF569AF">
      <w:pPr>
        <w:pStyle w:val="3"/>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2021—2024年四年间，招聘规模从2,815条增长至5,158条，增幅83.2%（见图3），整体呈扩张态势，但年际波动明显（2022年达峰值5,399条，2023年回调至3,129条）。</w:t>
      </w:r>
    </w:p>
    <w:p w14:paraId="668E2417">
      <w:pPr>
        <w:pStyle w:val="47"/>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drawing>
          <wp:inline distT="0" distB="0" distL="114300" distR="114300">
            <wp:extent cx="5334000" cy="2967990"/>
            <wp:effectExtent l="0" t="0" r="0" b="0"/>
            <wp:docPr id="22" name="Picture" descr="图3 年度招聘规模"/>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descr="图3 年度招聘规模"/>
                    <pic:cNvPicPr>
                      <a:picLocks noChangeAspect="1" noChangeArrowheads="1"/>
                    </pic:cNvPicPr>
                  </pic:nvPicPr>
                  <pic:blipFill>
                    <a:blip r:embed="rId7"/>
                    <a:stretch>
                      <a:fillRect/>
                    </a:stretch>
                  </pic:blipFill>
                  <pic:spPr>
                    <a:xfrm>
                      <a:off x="0" y="0"/>
                      <a:ext cx="5334000" cy="2968584"/>
                    </a:xfrm>
                    <a:prstGeom prst="rect">
                      <a:avLst/>
                    </a:prstGeom>
                    <a:noFill/>
                    <a:ln w="9525">
                      <a:noFill/>
                    </a:ln>
                  </pic:spPr>
                </pic:pic>
              </a:graphicData>
            </a:graphic>
          </wp:inline>
        </w:drawing>
      </w:r>
    </w:p>
    <w:p w14:paraId="703F821D">
      <w:pPr>
        <w:pStyle w:val="45"/>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图3</w:t>
      </w:r>
      <w:r>
        <w:rPr>
          <w:rFonts w:hint="default" w:ascii="Times New Roman" w:hAnsi="Times New Roman" w:cs="Times New Roman"/>
          <w:color w:val="000000" w:themeColor="text1"/>
          <w14:textFill>
            <w14:solidFill>
              <w14:schemeClr w14:val="tx1"/>
            </w14:solidFill>
          </w14:textFill>
        </w:rPr>
        <w:t xml:space="preserve"> </w:t>
      </w:r>
      <w:r>
        <w:rPr>
          <w:rFonts w:hint="default" w:ascii="Times New Roman" w:hAnsi="Times New Roman" w:cs="Times New Roman"/>
          <w:color w:val="000000" w:themeColor="text1"/>
          <w14:textFill>
            <w14:solidFill>
              <w14:schemeClr w14:val="tx1"/>
            </w14:solidFill>
          </w14:textFill>
        </w:rPr>
        <w:t>年度招聘规模</w:t>
      </w:r>
    </w:p>
    <w:bookmarkEnd w:id="7"/>
    <w:p w14:paraId="4A906D15">
      <w:pPr>
        <w:pStyle w:val="4"/>
        <w:rPr>
          <w:rFonts w:hint="default" w:ascii="Times New Roman" w:hAnsi="Times New Roman" w:cs="Times New Roman"/>
          <w:color w:val="000000" w:themeColor="text1"/>
          <w14:textFill>
            <w14:solidFill>
              <w14:schemeClr w14:val="tx1"/>
            </w14:solidFill>
          </w14:textFill>
        </w:rPr>
      </w:pPr>
      <w:bookmarkStart w:id="8" w:name="三学历门槛本科持续走高大专空间收窄"/>
      <w:r>
        <w:rPr>
          <w:rFonts w:hint="default" w:ascii="Times New Roman" w:hAnsi="Times New Roman" w:cs="Times New Roman"/>
          <w:color w:val="000000" w:themeColor="text1"/>
          <w14:textFill>
            <w14:solidFill>
              <w14:schemeClr w14:val="tx1"/>
            </w14:solidFill>
          </w14:textFill>
        </w:rPr>
        <w:t>（三）学历门槛：本科持续走高，大专空间收窄</w:t>
      </w:r>
    </w:p>
    <w:p w14:paraId="06B81A9F">
      <w:pPr>
        <w:pStyle w:val="23"/>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学历要求的年度变化揭示了一个对大学生就业具有重要政策含义的结构性趋势（见图4）：2021年，本科（42.3%）与大专（41.6%）几乎持平；到2024年，本科占比攀升至47.4%，而大专降至34.6%，差距扩大至近13个百分点。短短四年间，本科学历从”与大专并列”变为”明显主导”。</w:t>
      </w:r>
    </w:p>
    <w:p w14:paraId="2FE38B93">
      <w:pPr>
        <w:pStyle w:val="47"/>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drawing>
          <wp:inline distT="0" distB="0" distL="114300" distR="114300">
            <wp:extent cx="5334000" cy="2936240"/>
            <wp:effectExtent l="0" t="0" r="0" b="0"/>
            <wp:docPr id="26" name="Picture" descr="图4 学历要求年度变化"/>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descr="图4 学历要求年度变化"/>
                    <pic:cNvPicPr>
                      <a:picLocks noChangeAspect="1" noChangeArrowheads="1"/>
                    </pic:cNvPicPr>
                  </pic:nvPicPr>
                  <pic:blipFill>
                    <a:blip r:embed="rId8"/>
                    <a:stretch>
                      <a:fillRect/>
                    </a:stretch>
                  </pic:blipFill>
                  <pic:spPr>
                    <a:xfrm>
                      <a:off x="0" y="0"/>
                      <a:ext cx="5334000" cy="2936696"/>
                    </a:xfrm>
                    <a:prstGeom prst="rect">
                      <a:avLst/>
                    </a:prstGeom>
                    <a:noFill/>
                    <a:ln w="9525">
                      <a:noFill/>
                    </a:ln>
                  </pic:spPr>
                </pic:pic>
              </a:graphicData>
            </a:graphic>
          </wp:inline>
        </w:drawing>
      </w:r>
    </w:p>
    <w:p w14:paraId="1F306ABE">
      <w:pPr>
        <w:pStyle w:val="45"/>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图4</w:t>
      </w:r>
      <w:r>
        <w:rPr>
          <w:rFonts w:hint="default" w:ascii="Times New Roman" w:hAnsi="Times New Roman" w:cs="Times New Roman"/>
          <w:color w:val="000000" w:themeColor="text1"/>
          <w14:textFill>
            <w14:solidFill>
              <w14:schemeClr w14:val="tx1"/>
            </w14:solidFill>
          </w14:textFill>
        </w:rPr>
        <w:t xml:space="preserve"> </w:t>
      </w:r>
      <w:r>
        <w:rPr>
          <w:rFonts w:hint="default" w:ascii="Times New Roman" w:hAnsi="Times New Roman" w:cs="Times New Roman"/>
          <w:color w:val="000000" w:themeColor="text1"/>
          <w14:textFill>
            <w14:solidFill>
              <w14:schemeClr w14:val="tx1"/>
            </w14:solidFill>
          </w14:textFill>
        </w:rPr>
        <w:t>学历要求年度变化</w:t>
      </w:r>
    </w:p>
    <w:p w14:paraId="28231CB8">
      <w:pPr>
        <w:pStyle w:val="3"/>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这一趋势的政策含义是双重的：一方面，专精特新企业对人才素质的要求在提升，简单执行型岗位正被压缩；另一方面，大专层次毕业生若仍以”学历竞争”为策略，其可选空间将持续收窄。但需要强调的是，大专层次在IT基础设施运维（大专占比约40%）、技术员/应用工程师等方向仍保有明确的岗位空间，关键在于精准对接而非粗放竞争。</w:t>
      </w:r>
    </w:p>
    <w:bookmarkEnd w:id="8"/>
    <w:p w14:paraId="6C0F1BCA">
      <w:pPr>
        <w:pStyle w:val="4"/>
        <w:rPr>
          <w:rFonts w:hint="default" w:ascii="Times New Roman" w:hAnsi="Times New Roman" w:cs="Times New Roman"/>
          <w:color w:val="000000" w:themeColor="text1"/>
          <w14:textFill>
            <w14:solidFill>
              <w14:schemeClr w14:val="tx1"/>
            </w14:solidFill>
          </w14:textFill>
        </w:rPr>
      </w:pPr>
      <w:bookmarkStart w:id="9" w:name="四技术技能嵌入式与工程设计主导ai尚未主流化"/>
      <w:r>
        <w:rPr>
          <w:rFonts w:hint="default" w:ascii="Times New Roman" w:hAnsi="Times New Roman" w:cs="Times New Roman"/>
          <w:color w:val="000000" w:themeColor="text1"/>
          <w14:textFill>
            <w14:solidFill>
              <w14:schemeClr w14:val="tx1"/>
            </w14:solidFill>
          </w14:textFill>
        </w:rPr>
        <w:t>（四）技术技能：嵌入式与工程设计主导，AI尚未主流化</w:t>
      </w:r>
    </w:p>
    <w:p w14:paraId="799BAAFC">
      <w:pPr>
        <w:pStyle w:val="23"/>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结构化字段中的技术关键词以物联网（2,079次）、自动化（1,748次）、智能制造（1,609次）、人工智能（1,450次）、嵌入式（1,371次）居前，呈现新一代信息技术与先进制造技术深度交叉的特征。</w:t>
      </w:r>
    </w:p>
    <w:p w14:paraId="7ABA16A5">
      <w:pPr>
        <w:pStyle w:val="3"/>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然而，对职位描述文本的LLM工具提取揭示了一个重要的信息落差（见图5）：企业实际要求掌握的具体工具以</w:t>
      </w:r>
      <w:r>
        <w:rPr>
          <w:rFonts w:hint="default" w:ascii="Times New Roman" w:hAnsi="Times New Roman" w:cs="Times New Roman"/>
          <w:b/>
          <w:bCs/>
          <w:color w:val="000000" w:themeColor="text1"/>
          <w14:textFill>
            <w14:solidFill>
              <w14:schemeClr w14:val="tx1"/>
            </w14:solidFill>
          </w14:textFill>
        </w:rPr>
        <w:t>CAD</w:t>
      </w:r>
      <w:r>
        <w:rPr>
          <w:rFonts w:hint="default" w:ascii="Times New Roman" w:hAnsi="Times New Roman" w:cs="Times New Roman"/>
          <w:color w:val="000000" w:themeColor="text1"/>
          <w14:textFill>
            <w14:solidFill>
              <w14:schemeClr w14:val="tx1"/>
            </w14:solidFill>
          </w14:textFill>
        </w:rPr>
        <w:t>（620次）、</w:t>
      </w:r>
      <w:r>
        <w:rPr>
          <w:rFonts w:hint="default" w:ascii="Times New Roman" w:hAnsi="Times New Roman" w:cs="Times New Roman"/>
          <w:b/>
          <w:bCs/>
          <w:color w:val="000000" w:themeColor="text1"/>
          <w14:textFill>
            <w14:solidFill>
              <w14:schemeClr w14:val="tx1"/>
            </w14:solidFill>
          </w14:textFill>
        </w:rPr>
        <w:t>Excel</w:t>
      </w:r>
      <w:r>
        <w:rPr>
          <w:rFonts w:hint="default" w:ascii="Times New Roman" w:hAnsi="Times New Roman" w:cs="Times New Roman"/>
          <w:color w:val="000000" w:themeColor="text1"/>
          <w14:textFill>
            <w14:solidFill>
              <w14:schemeClr w14:val="tx1"/>
            </w14:solidFill>
          </w14:textFill>
        </w:rPr>
        <w:t>（595次）、</w:t>
      </w:r>
      <w:r>
        <w:rPr>
          <w:rFonts w:hint="default" w:ascii="Times New Roman" w:hAnsi="Times New Roman" w:cs="Times New Roman"/>
          <w:b/>
          <w:bCs/>
          <w:color w:val="000000" w:themeColor="text1"/>
          <w14:textFill>
            <w14:solidFill>
              <w14:schemeClr w14:val="tx1"/>
            </w14:solidFill>
          </w14:textFill>
        </w:rPr>
        <w:t>ERP</w:t>
      </w:r>
      <w:r>
        <w:rPr>
          <w:rFonts w:hint="default" w:ascii="Times New Roman" w:hAnsi="Times New Roman" w:cs="Times New Roman"/>
          <w:color w:val="000000" w:themeColor="text1"/>
          <w14:textFill>
            <w14:solidFill>
              <w14:schemeClr w14:val="tx1"/>
            </w14:solidFill>
          </w14:textFill>
        </w:rPr>
        <w:t>（529次）、</w:t>
      </w:r>
      <w:r>
        <w:rPr>
          <w:rFonts w:hint="default" w:ascii="Times New Roman" w:hAnsi="Times New Roman" w:cs="Times New Roman"/>
          <w:b/>
          <w:bCs/>
          <w:color w:val="000000" w:themeColor="text1"/>
          <w14:textFill>
            <w14:solidFill>
              <w14:schemeClr w14:val="tx1"/>
            </w14:solidFill>
          </w14:textFill>
        </w:rPr>
        <w:t>C++</w:t>
      </w:r>
      <w:r>
        <w:rPr>
          <w:rFonts w:hint="default" w:ascii="Times New Roman" w:hAnsi="Times New Roman" w:cs="Times New Roman"/>
          <w:color w:val="000000" w:themeColor="text1"/>
          <w14:textFill>
            <w14:solidFill>
              <w14:schemeClr w14:val="tx1"/>
            </w14:solidFill>
          </w14:textFill>
        </w:rPr>
        <w:t>（412次）、</w:t>
      </w:r>
      <w:r>
        <w:rPr>
          <w:rFonts w:hint="default" w:ascii="Times New Roman" w:hAnsi="Times New Roman" w:cs="Times New Roman"/>
          <w:b/>
          <w:bCs/>
          <w:color w:val="000000" w:themeColor="text1"/>
          <w14:textFill>
            <w14:solidFill>
              <w14:schemeClr w14:val="tx1"/>
            </w14:solidFill>
          </w14:textFill>
        </w:rPr>
        <w:t>SolidWorks</w:t>
      </w:r>
      <w:r>
        <w:rPr>
          <w:rFonts w:hint="default" w:ascii="Times New Roman" w:hAnsi="Times New Roman" w:cs="Times New Roman"/>
          <w:color w:val="000000" w:themeColor="text1"/>
          <w14:textFill>
            <w14:solidFill>
              <w14:schemeClr w14:val="tx1"/>
            </w14:solidFill>
          </w14:textFill>
        </w:rPr>
        <w:t>（322次）为主，C/C++嵌入式编程合计729次，是最高频编程方向，远超Python（148次）。TensorFlow、PyTorch等AI/ML框架几乎未出现在Top15中。</w:t>
      </w:r>
    </w:p>
    <w:p w14:paraId="1D6A4DA3">
      <w:pPr>
        <w:pStyle w:val="47"/>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drawing>
          <wp:inline distT="0" distB="0" distL="114300" distR="114300">
            <wp:extent cx="5334000" cy="3535680"/>
            <wp:effectExtent l="0" t="0" r="0" b="0"/>
            <wp:docPr id="30" name="Picture" descr="图5 技术工具Top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descr="图5 技术工具Top15"/>
                    <pic:cNvPicPr>
                      <a:picLocks noChangeAspect="1" noChangeArrowheads="1"/>
                    </pic:cNvPicPr>
                  </pic:nvPicPr>
                  <pic:blipFill>
                    <a:blip r:embed="rId9"/>
                    <a:stretch>
                      <a:fillRect/>
                    </a:stretch>
                  </pic:blipFill>
                  <pic:spPr>
                    <a:xfrm>
                      <a:off x="0" y="0"/>
                      <a:ext cx="5334000" cy="3536022"/>
                    </a:xfrm>
                    <a:prstGeom prst="rect">
                      <a:avLst/>
                    </a:prstGeom>
                    <a:noFill/>
                    <a:ln w="9525">
                      <a:noFill/>
                    </a:ln>
                  </pic:spPr>
                </pic:pic>
              </a:graphicData>
            </a:graphic>
          </wp:inline>
        </w:drawing>
      </w:r>
    </w:p>
    <w:p w14:paraId="3921E1AC">
      <w:pPr>
        <w:pStyle w:val="45"/>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图5</w:t>
      </w:r>
      <w:r>
        <w:rPr>
          <w:rFonts w:hint="default" w:ascii="Times New Roman" w:hAnsi="Times New Roman" w:cs="Times New Roman"/>
          <w:color w:val="000000" w:themeColor="text1"/>
          <w14:textFill>
            <w14:solidFill>
              <w14:schemeClr w14:val="tx1"/>
            </w14:solidFill>
          </w14:textFill>
        </w:rPr>
        <w:t xml:space="preserve"> </w:t>
      </w:r>
      <w:r>
        <w:rPr>
          <w:rFonts w:hint="default" w:ascii="Times New Roman" w:hAnsi="Times New Roman" w:cs="Times New Roman"/>
          <w:color w:val="000000" w:themeColor="text1"/>
          <w14:textFill>
            <w14:solidFill>
              <w14:schemeClr w14:val="tx1"/>
            </w14:solidFill>
          </w14:textFill>
        </w:rPr>
        <w:t>技术工具Top15</w:t>
      </w:r>
    </w:p>
    <w:p w14:paraId="00689ECE">
      <w:pPr>
        <w:pStyle w:val="3"/>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这意味着：结构化关键词中”人工智能”的高频出现，更多反映的是企业所在行业的政策标签和技术话语，而非岗位层面对AI算法能力的实际需求。对大学生求职而言，掌握C/C++嵌入式、CAD工程设计和ERP系统操作，比追逐AI算法叙事具有更直接的就业对口价值。</w:t>
      </w:r>
    </w:p>
    <w:bookmarkEnd w:id="9"/>
    <w:p w14:paraId="274B2847">
      <w:pPr>
        <w:pStyle w:val="4"/>
        <w:rPr>
          <w:rFonts w:hint="default" w:ascii="Times New Roman" w:hAnsi="Times New Roman" w:cs="Times New Roman"/>
          <w:color w:val="000000" w:themeColor="text1"/>
          <w14:textFill>
            <w14:solidFill>
              <w14:schemeClr w14:val="tx1"/>
            </w14:solidFill>
          </w14:textFill>
        </w:rPr>
      </w:pPr>
      <w:bookmarkStart w:id="10" w:name="五软技能需求沟通协调压倒性主导"/>
      <w:r>
        <w:rPr>
          <w:rFonts w:hint="default" w:ascii="Times New Roman" w:hAnsi="Times New Roman" w:cs="Times New Roman"/>
          <w:color w:val="000000" w:themeColor="text1"/>
          <w14:textFill>
            <w14:solidFill>
              <w14:schemeClr w14:val="tx1"/>
            </w14:solidFill>
          </w14:textFill>
        </w:rPr>
        <w:t>（五）软技能需求：沟通协调压倒性主导</w:t>
      </w:r>
    </w:p>
    <w:p w14:paraId="5751846D">
      <w:pPr>
        <w:pStyle w:val="23"/>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LLM从16,501条职位描述中共提取46,582条次软技能记录。经标准化处理后，沟通协调（含近义表达合并后约8,676次）以压倒性优势居首，每千条招聘记录出现约526次；其次是责任心（213次/千条）、抗压能力（147次/千条）、学习能力（134次/千条）和团队协作（170次/千条）（见图6）。</w:t>
      </w:r>
    </w:p>
    <w:p w14:paraId="54EB3D25">
      <w:pPr>
        <w:pStyle w:val="47"/>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drawing>
          <wp:inline distT="0" distB="0" distL="114300" distR="114300">
            <wp:extent cx="5334000" cy="2938780"/>
            <wp:effectExtent l="0" t="0" r="0" b="0"/>
            <wp:docPr id="34" name="Picture" descr="图6 软技能需求Top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descr="图6 软技能需求Top10"/>
                    <pic:cNvPicPr>
                      <a:picLocks noChangeAspect="1" noChangeArrowheads="1"/>
                    </pic:cNvPicPr>
                  </pic:nvPicPr>
                  <pic:blipFill>
                    <a:blip r:embed="rId10"/>
                    <a:stretch>
                      <a:fillRect/>
                    </a:stretch>
                  </pic:blipFill>
                  <pic:spPr>
                    <a:xfrm>
                      <a:off x="0" y="0"/>
                      <a:ext cx="5334000" cy="2938898"/>
                    </a:xfrm>
                    <a:prstGeom prst="rect">
                      <a:avLst/>
                    </a:prstGeom>
                    <a:noFill/>
                    <a:ln w="9525">
                      <a:noFill/>
                    </a:ln>
                  </pic:spPr>
                </pic:pic>
              </a:graphicData>
            </a:graphic>
          </wp:inline>
        </w:drawing>
      </w:r>
    </w:p>
    <w:p w14:paraId="61435FF0">
      <w:pPr>
        <w:pStyle w:val="45"/>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图6</w:t>
      </w:r>
      <w:r>
        <w:rPr>
          <w:rFonts w:hint="default" w:ascii="Times New Roman" w:hAnsi="Times New Roman" w:cs="Times New Roman"/>
          <w:color w:val="000000" w:themeColor="text1"/>
          <w14:textFill>
            <w14:solidFill>
              <w14:schemeClr w14:val="tx1"/>
            </w14:solidFill>
          </w14:textFill>
        </w:rPr>
        <w:t xml:space="preserve"> </w:t>
      </w:r>
      <w:r>
        <w:rPr>
          <w:rFonts w:hint="default" w:ascii="Times New Roman" w:hAnsi="Times New Roman" w:cs="Times New Roman"/>
          <w:color w:val="000000" w:themeColor="text1"/>
          <w14:textFill>
            <w14:solidFill>
              <w14:schemeClr w14:val="tx1"/>
            </w14:solidFill>
          </w14:textFill>
        </w:rPr>
        <w:t>软技能需求Top10</w:t>
      </w:r>
    </w:p>
    <w:p w14:paraId="53A25269">
      <w:pPr>
        <w:pStyle w:val="3"/>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沟通协调的压倒性地位表明，这一能力是贯穿所有岗位类别的基础门槛。其政策含义在于：软技能的培养不依赖学历层次，高职院校和应用型本科完全有条件通过项目制教学和情境化训练，在这一维度建立系统性优势。</w:t>
      </w:r>
    </w:p>
    <w:bookmarkEnd w:id="10"/>
    <w:p w14:paraId="1F5A9B2F">
      <w:pPr>
        <w:pStyle w:val="4"/>
        <w:rPr>
          <w:rFonts w:hint="default" w:ascii="Times New Roman" w:hAnsi="Times New Roman" w:cs="Times New Roman"/>
          <w:color w:val="000000" w:themeColor="text1"/>
          <w14:textFill>
            <w14:solidFill>
              <w14:schemeClr w14:val="tx1"/>
            </w14:solidFill>
          </w14:textFill>
        </w:rPr>
      </w:pPr>
      <w:bookmarkStart w:id="11" w:name="六数字化程度整体偏低ai渗透不足一成"/>
      <w:r>
        <w:rPr>
          <w:rFonts w:hint="default" w:ascii="Times New Roman" w:hAnsi="Times New Roman" w:cs="Times New Roman"/>
          <w:color w:val="000000" w:themeColor="text1"/>
          <w14:textFill>
            <w14:solidFill>
              <w14:schemeClr w14:val="tx1"/>
            </w14:solidFill>
          </w14:textFill>
        </w:rPr>
        <w:t>（六）数字化程度：整体偏低，AI渗透不足一成</w:t>
      </w:r>
    </w:p>
    <w:p w14:paraId="1886C1F5">
      <w:pPr>
        <w:pStyle w:val="23"/>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对全部16,501条职位描述的LLM评分显示（见图7）：数字化程度均值35.8分（满分100），技术复杂度均值37.3分，AI相关性均值仅8.7分。</w:t>
      </w:r>
    </w:p>
    <w:p w14:paraId="59891E30">
      <w:pPr>
        <w:pStyle w:val="47"/>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drawing>
          <wp:inline distT="0" distB="0" distL="114300" distR="114300">
            <wp:extent cx="5334000" cy="2908935"/>
            <wp:effectExtent l="0" t="0" r="0" b="0"/>
            <wp:docPr id="38" name="Picture" descr="图7 各类别数字化程度分布"/>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descr="图7 各类别数字化程度分布"/>
                    <pic:cNvPicPr>
                      <a:picLocks noChangeAspect="1" noChangeArrowheads="1"/>
                    </pic:cNvPicPr>
                  </pic:nvPicPr>
                  <pic:blipFill>
                    <a:blip r:embed="rId11"/>
                    <a:stretch>
                      <a:fillRect/>
                    </a:stretch>
                  </pic:blipFill>
                  <pic:spPr>
                    <a:xfrm>
                      <a:off x="0" y="0"/>
                      <a:ext cx="5334000" cy="2909454"/>
                    </a:xfrm>
                    <a:prstGeom prst="rect">
                      <a:avLst/>
                    </a:prstGeom>
                    <a:noFill/>
                    <a:ln w="9525">
                      <a:noFill/>
                    </a:ln>
                  </pic:spPr>
                </pic:pic>
              </a:graphicData>
            </a:graphic>
          </wp:inline>
        </w:drawing>
      </w:r>
    </w:p>
    <w:p w14:paraId="696195AC">
      <w:pPr>
        <w:pStyle w:val="45"/>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图7</w:t>
      </w:r>
      <w:r>
        <w:rPr>
          <w:rFonts w:hint="default" w:ascii="Times New Roman" w:hAnsi="Times New Roman" w:cs="Times New Roman"/>
          <w:color w:val="000000" w:themeColor="text1"/>
          <w14:textFill>
            <w14:solidFill>
              <w14:schemeClr w14:val="tx1"/>
            </w14:solidFill>
          </w14:textFill>
        </w:rPr>
        <w:t xml:space="preserve"> </w:t>
      </w:r>
      <w:r>
        <w:rPr>
          <w:rFonts w:hint="default" w:ascii="Times New Roman" w:hAnsi="Times New Roman" w:cs="Times New Roman"/>
          <w:color w:val="000000" w:themeColor="text1"/>
          <w14:textFill>
            <w14:solidFill>
              <w14:schemeClr w14:val="tx1"/>
            </w14:solidFill>
          </w14:textFill>
        </w:rPr>
        <w:t>各类别数字化程度分布</w:t>
      </w:r>
    </w:p>
    <w:p w14:paraId="4F26C410">
      <w:pPr>
        <w:pStyle w:val="3"/>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信息技术类岗位的数字化程度中位数约72分，远高于生产制造类（约22分）和行政人力类（约18分）。这一发现直接挑战了”专精特新企业普遍高度数字化”的政策叙事——多数岗位的”数字化”停留于ERP使用、CAD操作、Excel处理等工具应用层，真正涉及算法开发和AI建模的岗位占比极低。</w:t>
      </w:r>
    </w:p>
    <w:bookmarkEnd w:id="11"/>
    <w:p w14:paraId="023A673B">
      <w:pPr>
        <w:pStyle w:val="4"/>
        <w:rPr>
          <w:rFonts w:hint="default" w:ascii="Times New Roman" w:hAnsi="Times New Roman" w:cs="Times New Roman"/>
          <w:color w:val="000000" w:themeColor="text1"/>
          <w14:textFill>
            <w14:solidFill>
              <w14:schemeClr w14:val="tx1"/>
            </w14:solidFill>
          </w14:textFill>
        </w:rPr>
      </w:pPr>
      <w:bookmarkStart w:id="12" w:name="七本科与大专的系统性文本分层"/>
      <w:r>
        <w:rPr>
          <w:rFonts w:hint="default" w:ascii="Times New Roman" w:hAnsi="Times New Roman" w:cs="Times New Roman"/>
          <w:color w:val="000000" w:themeColor="text1"/>
          <w14:textFill>
            <w14:solidFill>
              <w14:schemeClr w14:val="tx1"/>
            </w14:solidFill>
          </w14:textFill>
        </w:rPr>
        <w:t>（七）本科与大专的系统性文本分层</w:t>
      </w:r>
    </w:p>
    <w:p w14:paraId="2BE2105A">
      <w:pPr>
        <w:pStyle w:val="23"/>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通过分层抽样对比各岗位类别的本科组与大专组职位描述，LLM识别出贯穿全部岗位类别的系统性分层：</w:t>
      </w:r>
      <w:r>
        <w:rPr>
          <w:rFonts w:hint="default" w:ascii="Times New Roman" w:hAnsi="Times New Roman" w:cs="Times New Roman"/>
          <w:b/>
          <w:bCs/>
          <w:color w:val="000000" w:themeColor="text1"/>
          <w14:textFill>
            <w14:solidFill>
              <w14:schemeClr w14:val="tx1"/>
            </w14:solidFill>
          </w14:textFill>
        </w:rPr>
        <w:t>本科岗位定位为”设计者与管理者”（关键词：战略规划、体系建设、方案设计、跨部门协调），大专岗位定位为”执行者与操作者”（关键词：执行落实、按规范操作、现场处理、跟单录入）</w:t>
      </w:r>
      <w:r>
        <w:rPr>
          <w:rFonts w:hint="default" w:ascii="Times New Roman" w:hAnsi="Times New Roman" w:cs="Times New Roman"/>
          <w:color w:val="000000" w:themeColor="text1"/>
          <w14:textFill>
            <w14:solidFill>
              <w14:schemeClr w14:val="tx1"/>
            </w14:solidFill>
          </w14:textFill>
        </w:rPr>
        <w:t>。</w:t>
      </w:r>
    </w:p>
    <w:p w14:paraId="3A5039AD">
      <w:pPr>
        <w:pStyle w:val="3"/>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这一分层在研发技术、信息技术、生产制造、销售市场、财务会计等全部类别中均高度一致，反映了企业在招聘层面对本科与大专毕业生的系统性角色预期差异。</w:t>
      </w:r>
    </w:p>
    <w:bookmarkEnd w:id="5"/>
    <w:bookmarkEnd w:id="12"/>
    <w:p w14:paraId="58D16893">
      <w:pPr>
        <w:pStyle w:val="2"/>
        <w:rPr>
          <w:rFonts w:hint="default" w:ascii="Times New Roman" w:hAnsi="Times New Roman" w:cs="Times New Roman"/>
          <w:color w:val="000000" w:themeColor="text1"/>
          <w14:textFill>
            <w14:solidFill>
              <w14:schemeClr w14:val="tx1"/>
            </w14:solidFill>
          </w14:textFill>
        </w:rPr>
      </w:pPr>
      <w:bookmarkStart w:id="13" w:name="四对大学生就业与高校人才培养的启示"/>
      <w:r>
        <w:rPr>
          <w:rFonts w:hint="default" w:ascii="Times New Roman" w:hAnsi="Times New Roman" w:cs="Times New Roman"/>
          <w:color w:val="000000" w:themeColor="text1"/>
          <w14:textFill>
            <w14:solidFill>
              <w14:schemeClr w14:val="tx1"/>
            </w14:solidFill>
          </w14:textFill>
        </w:rPr>
        <w:t>四、对大学生就业与高校人才培养的启示</w:t>
      </w:r>
    </w:p>
    <w:p w14:paraId="0310B2D9">
      <w:pPr>
        <w:pStyle w:val="4"/>
        <w:rPr>
          <w:rFonts w:hint="default" w:ascii="Times New Roman" w:hAnsi="Times New Roman" w:cs="Times New Roman"/>
          <w:color w:val="000000" w:themeColor="text1"/>
          <w14:textFill>
            <w14:solidFill>
              <w14:schemeClr w14:val="tx1"/>
            </w14:solidFill>
          </w14:textFill>
        </w:rPr>
      </w:pPr>
      <w:bookmarkStart w:id="14" w:name="一政府层面"/>
      <w:r>
        <w:rPr>
          <w:rFonts w:hint="default" w:ascii="Times New Roman" w:hAnsi="Times New Roman" w:cs="Times New Roman"/>
          <w:color w:val="000000" w:themeColor="text1"/>
          <w14:textFill>
            <w14:solidFill>
              <w14:schemeClr w14:val="tx1"/>
            </w14:solidFill>
          </w14:textFill>
        </w:rPr>
        <w:t>（一）政府层面</w:t>
      </w:r>
    </w:p>
    <w:p w14:paraId="57D8E706">
      <w:pPr>
        <w:pStyle w:val="23"/>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b/>
          <w:bCs/>
          <w:color w:val="000000" w:themeColor="text1"/>
          <w14:textFill>
            <w14:solidFill>
              <w14:schemeClr w14:val="tx1"/>
            </w14:solidFill>
          </w14:textFill>
        </w:rPr>
        <w:t>第一，将招聘大数据工具分析纳入职业教育专业目录调整的评估依据。</w:t>
      </w:r>
      <w:r>
        <w:rPr>
          <w:rFonts w:hint="default" w:ascii="Times New Roman" w:hAnsi="Times New Roman" w:cs="Times New Roman"/>
          <w:color w:val="000000" w:themeColor="text1"/>
          <w14:textFill>
            <w14:solidFill>
              <w14:schemeClr w14:val="tx1"/>
            </w14:solidFill>
          </w14:textFill>
        </w:rPr>
        <w:t xml:space="preserve"> </w:t>
      </w:r>
      <w:r>
        <w:rPr>
          <w:rFonts w:hint="default" w:ascii="Times New Roman" w:hAnsi="Times New Roman" w:cs="Times New Roman"/>
          <w:color w:val="000000" w:themeColor="text1"/>
          <w14:textFill>
            <w14:solidFill>
              <w14:schemeClr w14:val="tx1"/>
            </w14:solidFill>
          </w14:textFill>
        </w:rPr>
        <w:t>本研究发现，结构化技术关键词热度（AI、大数据）与职位描述中的实际工具需求（C/C++、ERP、CAD）之间存在系统性落差。若专业增设和招生计划单纯跟随政策热词，将产生新一轮的课程供需错位。建议教育行政部门在专业评估中引入用人单位招聘数据的工具层面分析，建立独立于”技术话语热度”的需求核实机制。</w:t>
      </w:r>
    </w:p>
    <w:p w14:paraId="5F549B22">
      <w:pPr>
        <w:pStyle w:val="3"/>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b/>
          <w:bCs/>
          <w:color w:val="000000" w:themeColor="text1"/>
          <w14:textFill>
            <w14:solidFill>
              <w14:schemeClr w14:val="tx1"/>
            </w14:solidFill>
          </w14:textFill>
        </w:rPr>
        <w:t>第二，区分”工具应用型”与”算法研发型”两类数字化人才，针对性设计就业支持政策。</w:t>
      </w:r>
      <w:r>
        <w:rPr>
          <w:rFonts w:hint="default" w:ascii="Times New Roman" w:hAnsi="Times New Roman" w:cs="Times New Roman"/>
          <w:color w:val="000000" w:themeColor="text1"/>
          <w14:textFill>
            <w14:solidFill>
              <w14:schemeClr w14:val="tx1"/>
            </w14:solidFill>
          </w14:textFill>
        </w:rPr>
        <w:t xml:space="preserve"> </w:t>
      </w:r>
      <w:r>
        <w:rPr>
          <w:rFonts w:hint="default" w:ascii="Times New Roman" w:hAnsi="Times New Roman" w:cs="Times New Roman"/>
          <w:color w:val="000000" w:themeColor="text1"/>
          <w14:textFill>
            <w14:solidFill>
              <w14:schemeClr w14:val="tx1"/>
            </w14:solidFill>
          </w14:textFill>
        </w:rPr>
        <w:t>数字化评分均值35.8分、AI相关性8.7分的发现表明，专精特新制造企业当前对工具应用型数字化人才（会CAD、熟ERP、懂嵌入式）的实际需求远大于算法研发型人才。政府的制造业数字技能补贴项目和培训认证体系应依据这一需求结构分层设计，避免”一刀切”式的AI人才政策。</w:t>
      </w:r>
    </w:p>
    <w:p w14:paraId="2EAC9261">
      <w:pPr>
        <w:pStyle w:val="3"/>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b/>
          <w:bCs/>
          <w:color w:val="000000" w:themeColor="text1"/>
          <w14:textFill>
            <w14:solidFill>
              <w14:schemeClr w14:val="tx1"/>
            </w14:solidFill>
          </w14:textFill>
        </w:rPr>
        <w:t>第三，加大对专精特新企业吸纳大学生就业的政策引导力度。</w:t>
      </w:r>
      <w:r>
        <w:rPr>
          <w:rFonts w:hint="default" w:ascii="Times New Roman" w:hAnsi="Times New Roman" w:cs="Times New Roman"/>
          <w:color w:val="000000" w:themeColor="text1"/>
          <w14:textFill>
            <w14:solidFill>
              <w14:schemeClr w14:val="tx1"/>
            </w14:solidFill>
          </w14:textFill>
        </w:rPr>
        <w:t xml:space="preserve"> </w:t>
      </w:r>
      <w:r>
        <w:rPr>
          <w:rFonts w:hint="default" w:ascii="Times New Roman" w:hAnsi="Times New Roman" w:cs="Times New Roman"/>
          <w:color w:val="000000" w:themeColor="text1"/>
          <w14:textFill>
            <w14:solidFill>
              <w14:schemeClr w14:val="tx1"/>
            </w14:solidFill>
          </w14:textFill>
        </w:rPr>
        <w:t>深圳597家专精特新企业四年间发布16,501条招聘，年均超4,000条，且83.2%的增幅显示需求仍在扩张。政府可通过就业补贴、实习基地认定、校企合作专项经费等方式，引导更多大学生关注这一”隐形就业蓝海”。</w:t>
      </w:r>
    </w:p>
    <w:bookmarkEnd w:id="14"/>
    <w:p w14:paraId="79AE4F09">
      <w:pPr>
        <w:pStyle w:val="4"/>
        <w:rPr>
          <w:rFonts w:hint="default" w:ascii="Times New Roman" w:hAnsi="Times New Roman" w:cs="Times New Roman"/>
          <w:color w:val="000000" w:themeColor="text1"/>
          <w14:textFill>
            <w14:solidFill>
              <w14:schemeClr w14:val="tx1"/>
            </w14:solidFill>
          </w14:textFill>
        </w:rPr>
      </w:pPr>
      <w:bookmarkStart w:id="15" w:name="二高校层面"/>
      <w:r>
        <w:rPr>
          <w:rFonts w:hint="default" w:ascii="Times New Roman" w:hAnsi="Times New Roman" w:cs="Times New Roman"/>
          <w:color w:val="000000" w:themeColor="text1"/>
          <w14:textFill>
            <w14:solidFill>
              <w14:schemeClr w14:val="tx1"/>
            </w14:solidFill>
          </w14:textFill>
        </w:rPr>
        <w:t>（二）高校层面</w:t>
      </w:r>
    </w:p>
    <w:p w14:paraId="0A81D69A">
      <w:pPr>
        <w:pStyle w:val="23"/>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b/>
          <w:bCs/>
          <w:color w:val="000000" w:themeColor="text1"/>
          <w14:textFill>
            <w14:solidFill>
              <w14:schemeClr w14:val="tx1"/>
            </w14:solidFill>
          </w14:textFill>
        </w:rPr>
        <w:t>第四，调整ICT类专业工具教学重心：嵌入式C/C++优先于Python数据科学。</w:t>
      </w:r>
      <w:r>
        <w:rPr>
          <w:rFonts w:hint="default" w:ascii="Times New Roman" w:hAnsi="Times New Roman" w:cs="Times New Roman"/>
          <w:color w:val="000000" w:themeColor="text1"/>
          <w14:textFill>
            <w14:solidFill>
              <w14:schemeClr w14:val="tx1"/>
            </w14:solidFill>
          </w14:textFill>
        </w:rPr>
        <w:t xml:space="preserve"> </w:t>
      </w:r>
      <w:r>
        <w:rPr>
          <w:rFonts w:hint="default" w:ascii="Times New Roman" w:hAnsi="Times New Roman" w:cs="Times New Roman"/>
          <w:color w:val="000000" w:themeColor="text1"/>
          <w14:textFill>
            <w14:solidFill>
              <w14:schemeClr w14:val="tx1"/>
            </w14:solidFill>
          </w14:textFill>
        </w:rPr>
        <w:t>C/C++合计729次（最高频编程方向），ARM、PLC、Linux共同构成嵌入式生态，是专精特新制造企业的核心技术需求。相比之下，Python虽增速可观但绝对频次仅148次。软件类专业课程体系应以嵌入式C/单片机为主干方向，Python定位为辅助工具而非就业主方向。</w:t>
      </w:r>
    </w:p>
    <w:p w14:paraId="2C0DDBEB">
      <w:pPr>
        <w:pStyle w:val="3"/>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b/>
          <w:bCs/>
          <w:color w:val="000000" w:themeColor="text1"/>
          <w14:textFill>
            <w14:solidFill>
              <w14:schemeClr w14:val="tx1"/>
            </w14:solidFill>
          </w14:textFill>
        </w:rPr>
        <w:t>第五，将软技能培养系统嵌入专业课程。</w:t>
      </w:r>
      <w:r>
        <w:rPr>
          <w:rFonts w:hint="default" w:ascii="Times New Roman" w:hAnsi="Times New Roman" w:cs="Times New Roman"/>
          <w:color w:val="000000" w:themeColor="text1"/>
          <w14:textFill>
            <w14:solidFill>
              <w14:schemeClr w14:val="tx1"/>
            </w14:solidFill>
          </w14:textFill>
        </w:rPr>
        <w:t xml:space="preserve"> </w:t>
      </w:r>
      <w:r>
        <w:rPr>
          <w:rFonts w:hint="default" w:ascii="Times New Roman" w:hAnsi="Times New Roman" w:cs="Times New Roman"/>
          <w:color w:val="000000" w:themeColor="text1"/>
          <w14:textFill>
            <w14:solidFill>
              <w14:schemeClr w14:val="tx1"/>
            </w14:solidFill>
          </w14:textFill>
        </w:rPr>
        <w:t>沟通协调的压倒性主导（526次/千条）和跨年度稳定性表明，这是最具长期培养价值的通用能力。建议每门专业核心课设置明确的软技能培养目标（沟通汇报、团队协作、自主学习），以项目制教学为主要载体，占课程考核权重10—20%。</w:t>
      </w:r>
    </w:p>
    <w:p w14:paraId="4ED280C9">
      <w:pPr>
        <w:pStyle w:val="3"/>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b/>
          <w:bCs/>
          <w:color w:val="000000" w:themeColor="text1"/>
          <w14:textFill>
            <w14:solidFill>
              <w14:schemeClr w14:val="tx1"/>
            </w14:solidFill>
          </w14:textFill>
        </w:rPr>
        <w:t>第六，推进ERP等企业管理工具的认证培训合作。</w:t>
      </w:r>
      <w:r>
        <w:rPr>
          <w:rFonts w:hint="default" w:ascii="Times New Roman" w:hAnsi="Times New Roman" w:cs="Times New Roman"/>
          <w:color w:val="000000" w:themeColor="text1"/>
          <w14:textFill>
            <w14:solidFill>
              <w14:schemeClr w14:val="tx1"/>
            </w14:solidFill>
          </w14:textFill>
        </w:rPr>
        <w:t xml:space="preserve"> </w:t>
      </w:r>
      <w:r>
        <w:rPr>
          <w:rFonts w:hint="default" w:ascii="Times New Roman" w:hAnsi="Times New Roman" w:cs="Times New Roman"/>
          <w:color w:val="000000" w:themeColor="text1"/>
          <w14:textFill>
            <w14:solidFill>
              <w14:schemeClr w14:val="tx1"/>
            </w14:solidFill>
          </w14:textFill>
        </w:rPr>
        <w:t>ERP出现频次529次，位居所有工具前三，是采购、财务、供应链执行岗位的高频需求，恰属大专毕业生的就业主赛道。高校应与金蝶、用友等国内ERP厂商建立认证培训合作，将这一被系统性低估的工具能力转化为毕业生的可验证竞争优势。</w:t>
      </w:r>
    </w:p>
    <w:p w14:paraId="450A745C">
      <w:pPr>
        <w:pStyle w:val="3"/>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b/>
          <w:bCs/>
          <w:color w:val="000000" w:themeColor="text1"/>
          <w14:textFill>
            <w14:solidFill>
              <w14:schemeClr w14:val="tx1"/>
            </w14:solidFill>
          </w14:textFill>
        </w:rPr>
        <w:t>第七，以产业认证帮助学生突破学历筛选。</w:t>
      </w:r>
      <w:r>
        <w:rPr>
          <w:rFonts w:hint="default" w:ascii="Times New Roman" w:hAnsi="Times New Roman" w:cs="Times New Roman"/>
          <w:color w:val="000000" w:themeColor="text1"/>
          <w14:textFill>
            <w14:solidFill>
              <w14:schemeClr w14:val="tx1"/>
            </w14:solidFill>
          </w14:textFill>
        </w:rPr>
        <w:t xml:space="preserve"> </w:t>
      </w:r>
      <w:r>
        <w:rPr>
          <w:rFonts w:hint="default" w:ascii="Times New Roman" w:hAnsi="Times New Roman" w:cs="Times New Roman"/>
          <w:color w:val="000000" w:themeColor="text1"/>
          <w14:textFill>
            <w14:solidFill>
              <w14:schemeClr w14:val="tx1"/>
            </w14:solidFill>
          </w14:textFill>
        </w:rPr>
        <w:t>全部岗位类别均呈”本科=设计者、大专=执行者”的系统性分层，学历正面竞争对大专生不利。通过华为HCIA/HCIP、阿里云ACP、ARM官方认证等可验证体系，使学生的执行能力获得第三方背书，可在特定岗位部分绕开学历筛选逻辑。</w:t>
      </w:r>
    </w:p>
    <w:bookmarkEnd w:id="15"/>
    <w:p w14:paraId="1A02AFDC">
      <w:pPr>
        <w:pStyle w:val="4"/>
        <w:rPr>
          <w:rFonts w:hint="default" w:ascii="Times New Roman" w:hAnsi="Times New Roman" w:cs="Times New Roman"/>
          <w:color w:val="000000" w:themeColor="text1"/>
          <w14:textFill>
            <w14:solidFill>
              <w14:schemeClr w14:val="tx1"/>
            </w14:solidFill>
          </w14:textFill>
        </w:rPr>
      </w:pPr>
      <w:bookmarkStart w:id="16" w:name="三大学生个人层面"/>
      <w:r>
        <w:rPr>
          <w:rFonts w:hint="default" w:ascii="Times New Roman" w:hAnsi="Times New Roman" w:cs="Times New Roman"/>
          <w:color w:val="000000" w:themeColor="text1"/>
          <w14:textFill>
            <w14:solidFill>
              <w14:schemeClr w14:val="tx1"/>
            </w14:solidFill>
          </w14:textFill>
        </w:rPr>
        <w:t>（三）大学生个人层面</w:t>
      </w:r>
    </w:p>
    <w:p w14:paraId="33DDFE7F">
      <w:pPr>
        <w:pStyle w:val="23"/>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b/>
          <w:bCs/>
          <w:color w:val="000000" w:themeColor="text1"/>
          <w14:textFill>
            <w14:solidFill>
              <w14:schemeClr w14:val="tx1"/>
            </w14:solidFill>
          </w14:textFill>
        </w:rPr>
        <w:t>第八，主动关注专精特新企业，拓宽求职视野。</w:t>
      </w:r>
      <w:r>
        <w:rPr>
          <w:rFonts w:hint="default" w:ascii="Times New Roman" w:hAnsi="Times New Roman" w:cs="Times New Roman"/>
          <w:color w:val="000000" w:themeColor="text1"/>
          <w14:textFill>
            <w14:solidFill>
              <w14:schemeClr w14:val="tx1"/>
            </w14:solidFill>
          </w14:textFill>
        </w:rPr>
        <w:t xml:space="preserve"> </w:t>
      </w:r>
      <w:r>
        <w:rPr>
          <w:rFonts w:hint="default" w:ascii="Times New Roman" w:hAnsi="Times New Roman" w:cs="Times New Roman"/>
          <w:color w:val="000000" w:themeColor="text1"/>
          <w14:textFill>
            <w14:solidFill>
              <w14:schemeClr w14:val="tx1"/>
            </w14:solidFill>
          </w14:textFill>
        </w:rPr>
        <w:t>调查显示，大学生求职高度集中于头部互联网和金融企业，而专精特新”小巨人”企业虽规模不大（76.8%为中小企业），但招聘需求旺盛、增长迅速、技术含量高，且由于知名度不及大厂，竞争相对温和。毕业生可通过工信部”专精特新”企业公示名单，定向锁定本城市对口企业。</w:t>
      </w:r>
    </w:p>
    <w:p w14:paraId="599EB501">
      <w:pPr>
        <w:pStyle w:val="3"/>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b/>
          <w:bCs/>
          <w:color w:val="000000" w:themeColor="text1"/>
          <w14:textFill>
            <w14:solidFill>
              <w14:schemeClr w14:val="tx1"/>
            </w14:solidFill>
          </w14:textFill>
        </w:rPr>
        <w:t>第九，技能学习锚定”工具频次”而非”话题热度”。</w:t>
      </w:r>
      <w:r>
        <w:rPr>
          <w:rFonts w:hint="default" w:ascii="Times New Roman" w:hAnsi="Times New Roman" w:cs="Times New Roman"/>
          <w:color w:val="000000" w:themeColor="text1"/>
          <w14:textFill>
            <w14:solidFill>
              <w14:schemeClr w14:val="tx1"/>
            </w14:solidFill>
          </w14:textFill>
        </w:rPr>
        <w:t xml:space="preserve"> </w:t>
      </w:r>
      <w:r>
        <w:rPr>
          <w:rFonts w:hint="default" w:ascii="Times New Roman" w:hAnsi="Times New Roman" w:cs="Times New Roman"/>
          <w:color w:val="000000" w:themeColor="text1"/>
          <w14:textFill>
            <w14:solidFill>
              <w14:schemeClr w14:val="tx1"/>
            </w14:solidFill>
          </w14:textFill>
        </w:rPr>
        <w:t>社交媒体和课程营销容易放大AI、大数据等概念的就业价值，但本研究数据显示，专精特新企业实际高频需求的是CAD、C/C++嵌入式、ERP、SolidWorks等”不够性感但真正管用”的工具。建议毕业生在技能学习投入中，优先深耕1—2项与目标行业对口的具体工具，而非广泛浅尝新兴概念。</w:t>
      </w:r>
    </w:p>
    <w:p w14:paraId="78BDC561">
      <w:pPr>
        <w:pStyle w:val="3"/>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b/>
          <w:bCs/>
          <w:color w:val="000000" w:themeColor="text1"/>
          <w14:textFill>
            <w14:solidFill>
              <w14:schemeClr w14:val="tx1"/>
            </w14:solidFill>
          </w14:textFill>
        </w:rPr>
        <w:t>第十，以可验证的能力证明弥补学历差距。</w:t>
      </w:r>
      <w:r>
        <w:rPr>
          <w:rFonts w:hint="default" w:ascii="Times New Roman" w:hAnsi="Times New Roman" w:cs="Times New Roman"/>
          <w:color w:val="000000" w:themeColor="text1"/>
          <w14:textFill>
            <w14:solidFill>
              <w14:schemeClr w14:val="tx1"/>
            </w14:solidFill>
          </w14:textFill>
        </w:rPr>
        <w:t xml:space="preserve"> </w:t>
      </w:r>
      <w:r>
        <w:rPr>
          <w:rFonts w:hint="default" w:ascii="Times New Roman" w:hAnsi="Times New Roman" w:cs="Times New Roman"/>
          <w:color w:val="000000" w:themeColor="text1"/>
          <w14:textFill>
            <w14:solidFill>
              <w14:schemeClr w14:val="tx1"/>
            </w14:solidFill>
          </w14:textFill>
        </w:rPr>
        <w:t>对于大专层次的毕业生，与本科生在学历维度竞争是不利策略。更有效的路径是：选择1—2个”大专友好”的细分方向（如IT运维、嵌入式测试、ERP操作、工业质检），通过行业认证考试获得可验证的能力背书，在求职中以”专家级执行者”的定位脱颖而出。</w:t>
      </w:r>
    </w:p>
    <w:bookmarkEnd w:id="13"/>
    <w:bookmarkEnd w:id="16"/>
    <w:p w14:paraId="67A81CE9">
      <w:pPr>
        <w:pStyle w:val="2"/>
        <w:rPr>
          <w:rFonts w:hint="default" w:ascii="Times New Roman" w:hAnsi="Times New Roman" w:cs="Times New Roman"/>
          <w:color w:val="000000" w:themeColor="text1"/>
          <w14:textFill>
            <w14:solidFill>
              <w14:schemeClr w14:val="tx1"/>
            </w14:solidFill>
          </w14:textFill>
        </w:rPr>
      </w:pPr>
      <w:bookmarkStart w:id="17" w:name="五结语"/>
      <w:r>
        <w:rPr>
          <w:rFonts w:hint="default" w:ascii="Times New Roman" w:hAnsi="Times New Roman" w:cs="Times New Roman"/>
          <w:color w:val="000000" w:themeColor="text1"/>
          <w14:textFill>
            <w14:solidFill>
              <w14:schemeClr w14:val="tx1"/>
            </w14:solidFill>
          </w14:textFill>
        </w:rPr>
        <w:t>五、结语</w:t>
      </w:r>
    </w:p>
    <w:p w14:paraId="2B2EC213">
      <w:pPr>
        <w:pStyle w:val="23"/>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本研究基于深圳市597家专精特新”小巨人”企业2021—2024年16,501条招聘数据，采用结构化分析与LLM文本挖掘相结合的双阶段方法，绘制了一幅数据驱动的人才需求全景图。研究揭示了三个核心发现：第一，专精特新企业的实际技术需求以嵌入式编程和工程设计为主，AI/ML框架需求远低于舆论热度；第二，学历门槛持续走高，但软技能培养和产业认证为非学历维度的竞争力建设提供了可行路径；第三，“数字化”在大多数岗位层面停留于工具应用而非算法开发，政策和教育应避免将两者混同。</w:t>
      </w:r>
    </w:p>
    <w:p w14:paraId="584D60DD">
      <w:pPr>
        <w:pStyle w:val="3"/>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本研究的局限在于：数据来源为单一招聘平台，对蓝领岗位覆盖不足；LLM评分存在模型固有误差；研究聚焦深圳一市，向其他城市推广需审慎。未来研究可拓展至全国多城市样本，并结合毕业生就业追踪数据，实现供需两端的精准匹配分析。</w:t>
      </w:r>
    </w:p>
    <w:p w14:paraId="692ACD49">
      <w:p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pict>
          <v:rect id="_x0000_i1026" o:spt="1" style="height:1.5pt;width:0pt;" coordsize="21600,21600" o:hr="t" o:hrstd="t" o:hralign="center">
            <v:path/>
            <v:fill focussize="0,0"/>
            <v:stroke/>
            <v:imagedata o:title=""/>
            <o:lock v:ext="edit"/>
            <w10:wrap type="none"/>
            <w10:anchorlock/>
          </v:rect>
        </w:pict>
      </w:r>
    </w:p>
    <w:bookmarkEnd w:id="17"/>
    <w:p w14:paraId="36CD3DE6">
      <w:pPr>
        <w:pStyle w:val="2"/>
        <w:rPr>
          <w:rFonts w:hint="default" w:ascii="Times New Roman" w:hAnsi="Times New Roman" w:cs="Times New Roman"/>
          <w:color w:val="000000" w:themeColor="text1"/>
          <w14:textFill>
            <w14:solidFill>
              <w14:schemeClr w14:val="tx1"/>
            </w14:solidFill>
          </w14:textFill>
        </w:rPr>
      </w:pPr>
      <w:bookmarkStart w:id="18" w:name="参考文献"/>
      <w:r>
        <w:rPr>
          <w:rFonts w:hint="default" w:ascii="Times New Roman" w:hAnsi="Times New Roman" w:cs="Times New Roman"/>
          <w:color w:val="000000" w:themeColor="text1"/>
          <w14:textFill>
            <w14:solidFill>
              <w14:schemeClr w14:val="tx1"/>
            </w14:solidFill>
          </w14:textFill>
        </w:rPr>
        <w:t>参考文献</w:t>
      </w:r>
    </w:p>
    <w:p w14:paraId="3EB7E67A">
      <w:pPr>
        <w:pStyle w:val="23"/>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 xml:space="preserve">[1] </w:t>
      </w:r>
      <w:r>
        <w:rPr>
          <w:rFonts w:hint="default" w:ascii="Times New Roman" w:hAnsi="Times New Roman" w:cs="Times New Roman"/>
          <w:color w:val="000000" w:themeColor="text1"/>
          <w14:textFill>
            <w14:solidFill>
              <w14:schemeClr w14:val="tx1"/>
            </w14:solidFill>
          </w14:textFill>
        </w:rPr>
        <w:t>工业和信息化部.</w:t>
      </w:r>
      <w:r>
        <w:rPr>
          <w:rFonts w:hint="default" w:ascii="Times New Roman" w:hAnsi="Times New Roman" w:cs="Times New Roman"/>
          <w:color w:val="000000" w:themeColor="text1"/>
          <w14:textFill>
            <w14:solidFill>
              <w14:schemeClr w14:val="tx1"/>
            </w14:solidFill>
          </w14:textFill>
        </w:rPr>
        <w:t xml:space="preserve"> </w:t>
      </w:r>
      <w:r>
        <w:rPr>
          <w:rFonts w:hint="default" w:ascii="Times New Roman" w:hAnsi="Times New Roman" w:cs="Times New Roman"/>
          <w:color w:val="000000" w:themeColor="text1"/>
          <w14:textFill>
            <w14:solidFill>
              <w14:schemeClr w14:val="tx1"/>
            </w14:solidFill>
          </w14:textFill>
        </w:rPr>
        <w:t>关于开展2022年度专精特新”小巨人”企业申报工作的通知[Z].</w:t>
      </w:r>
      <w:r>
        <w:rPr>
          <w:rFonts w:hint="default" w:ascii="Times New Roman" w:hAnsi="Times New Roman" w:cs="Times New Roman"/>
          <w:color w:val="000000" w:themeColor="text1"/>
          <w14:textFill>
            <w14:solidFill>
              <w14:schemeClr w14:val="tx1"/>
            </w14:solidFill>
          </w14:textFill>
        </w:rPr>
        <w:t xml:space="preserve"> </w:t>
      </w:r>
      <w:r>
        <w:rPr>
          <w:rFonts w:hint="default" w:ascii="Times New Roman" w:hAnsi="Times New Roman" w:cs="Times New Roman"/>
          <w:color w:val="000000" w:themeColor="text1"/>
          <w14:textFill>
            <w14:solidFill>
              <w14:schemeClr w14:val="tx1"/>
            </w14:solidFill>
          </w14:textFill>
        </w:rPr>
        <w:t>工信厅企业函〔2022〕65号,</w:t>
      </w:r>
      <w:r>
        <w:rPr>
          <w:rFonts w:hint="default" w:ascii="Times New Roman" w:hAnsi="Times New Roman" w:cs="Times New Roman"/>
          <w:color w:val="000000" w:themeColor="text1"/>
          <w14:textFill>
            <w14:solidFill>
              <w14:schemeClr w14:val="tx1"/>
            </w14:solidFill>
          </w14:textFill>
        </w:rPr>
        <w:t xml:space="preserve"> 2022.</w:t>
      </w:r>
    </w:p>
    <w:p w14:paraId="38C37141">
      <w:pPr>
        <w:pStyle w:val="3"/>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 xml:space="preserve">[2] </w:t>
      </w:r>
      <w:r>
        <w:rPr>
          <w:rFonts w:hint="default" w:ascii="Times New Roman" w:hAnsi="Times New Roman" w:cs="Times New Roman"/>
          <w:color w:val="000000" w:themeColor="text1"/>
          <w14:textFill>
            <w14:solidFill>
              <w14:schemeClr w14:val="tx1"/>
            </w14:solidFill>
          </w14:textFill>
        </w:rPr>
        <w:t>国务院.</w:t>
      </w:r>
      <w:r>
        <w:rPr>
          <w:rFonts w:hint="default" w:ascii="Times New Roman" w:hAnsi="Times New Roman" w:cs="Times New Roman"/>
          <w:color w:val="000000" w:themeColor="text1"/>
          <w14:textFill>
            <w14:solidFill>
              <w14:schemeClr w14:val="tx1"/>
            </w14:solidFill>
          </w14:textFill>
        </w:rPr>
        <w:t xml:space="preserve"> </w:t>
      </w:r>
      <w:r>
        <w:rPr>
          <w:rFonts w:hint="default" w:ascii="Times New Roman" w:hAnsi="Times New Roman" w:cs="Times New Roman"/>
          <w:color w:val="000000" w:themeColor="text1"/>
          <w14:textFill>
            <w14:solidFill>
              <w14:schemeClr w14:val="tx1"/>
            </w14:solidFill>
          </w14:textFill>
        </w:rPr>
        <w:t>关于推动现代职业教育高质量发展的意见[Z].</w:t>
      </w:r>
      <w:r>
        <w:rPr>
          <w:rFonts w:hint="default" w:ascii="Times New Roman" w:hAnsi="Times New Roman" w:cs="Times New Roman"/>
          <w:color w:val="000000" w:themeColor="text1"/>
          <w14:textFill>
            <w14:solidFill>
              <w14:schemeClr w14:val="tx1"/>
            </w14:solidFill>
          </w14:textFill>
        </w:rPr>
        <w:t xml:space="preserve"> </w:t>
      </w:r>
      <w:r>
        <w:rPr>
          <w:rFonts w:hint="default" w:ascii="Times New Roman" w:hAnsi="Times New Roman" w:cs="Times New Roman"/>
          <w:color w:val="000000" w:themeColor="text1"/>
          <w14:textFill>
            <w14:solidFill>
              <w14:schemeClr w14:val="tx1"/>
            </w14:solidFill>
          </w14:textFill>
        </w:rPr>
        <w:t>国发〔2021〕12号,</w:t>
      </w:r>
      <w:r>
        <w:rPr>
          <w:rFonts w:hint="default" w:ascii="Times New Roman" w:hAnsi="Times New Roman" w:cs="Times New Roman"/>
          <w:color w:val="000000" w:themeColor="text1"/>
          <w14:textFill>
            <w14:solidFill>
              <w14:schemeClr w14:val="tx1"/>
            </w14:solidFill>
          </w14:textFill>
        </w:rPr>
        <w:t xml:space="preserve"> 2021.</w:t>
      </w:r>
    </w:p>
    <w:p w14:paraId="4E9E330B">
      <w:pPr>
        <w:pStyle w:val="3"/>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[3] Asirvatham H, Mokski E, Shleifer A. GPT as a Measurement Tool[R]. NBER Working Paper No.34834, 2026.</w:t>
      </w:r>
    </w:p>
    <w:p w14:paraId="445DFDDE">
      <w:pPr>
        <w:pStyle w:val="3"/>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[4] Hershbein B, Kahn L B. Do recessions accelerate routine-biased technological change? Evidence from vacancy postings[J]. American Economic Review, 2018, 108(7): 1737-1772.</w:t>
      </w:r>
    </w:p>
    <w:p w14:paraId="165C648A">
      <w:pPr>
        <w:pStyle w:val="3"/>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[5] Deming D J. The growing importance of social skills in the labor market[J]. Quarterly Journal of Economics, 2017, 132(4): 1593-1640.</w:t>
      </w:r>
    </w:p>
    <w:p w14:paraId="4730AF33">
      <w:pPr>
        <w:pStyle w:val="3"/>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 xml:space="preserve">[6] </w:t>
      </w:r>
      <w:r>
        <w:rPr>
          <w:rFonts w:hint="default" w:ascii="Times New Roman" w:hAnsi="Times New Roman" w:cs="Times New Roman"/>
          <w:color w:val="000000" w:themeColor="text1"/>
          <w14:textFill>
            <w14:solidFill>
              <w14:schemeClr w14:val="tx1"/>
            </w14:solidFill>
          </w14:textFill>
        </w:rPr>
        <w:t>国务院.</w:t>
      </w:r>
      <w:r>
        <w:rPr>
          <w:rFonts w:hint="default" w:ascii="Times New Roman" w:hAnsi="Times New Roman" w:cs="Times New Roman"/>
          <w:color w:val="000000" w:themeColor="text1"/>
          <w14:textFill>
            <w14:solidFill>
              <w14:schemeClr w14:val="tx1"/>
            </w14:solidFill>
          </w14:textFill>
        </w:rPr>
        <w:t xml:space="preserve"> </w:t>
      </w:r>
      <w:r>
        <w:rPr>
          <w:rFonts w:hint="default" w:ascii="Times New Roman" w:hAnsi="Times New Roman" w:cs="Times New Roman"/>
          <w:color w:val="000000" w:themeColor="text1"/>
          <w14:textFill>
            <w14:solidFill>
              <w14:schemeClr w14:val="tx1"/>
            </w14:solidFill>
          </w14:textFill>
        </w:rPr>
        <w:t>国家职业教育改革实施方案[Z].</w:t>
      </w:r>
      <w:r>
        <w:rPr>
          <w:rFonts w:hint="default" w:ascii="Times New Roman" w:hAnsi="Times New Roman" w:cs="Times New Roman"/>
          <w:color w:val="000000" w:themeColor="text1"/>
          <w14:textFill>
            <w14:solidFill>
              <w14:schemeClr w14:val="tx1"/>
            </w14:solidFill>
          </w14:textFill>
        </w:rPr>
        <w:t xml:space="preserve"> </w:t>
      </w:r>
      <w:r>
        <w:rPr>
          <w:rFonts w:hint="default" w:ascii="Times New Roman" w:hAnsi="Times New Roman" w:cs="Times New Roman"/>
          <w:color w:val="000000" w:themeColor="text1"/>
          <w14:textFill>
            <w14:solidFill>
              <w14:schemeClr w14:val="tx1"/>
            </w14:solidFill>
          </w14:textFill>
        </w:rPr>
        <w:t>国发〔2019〕4号,</w:t>
      </w:r>
      <w:r>
        <w:rPr>
          <w:rFonts w:hint="default" w:ascii="Times New Roman" w:hAnsi="Times New Roman" w:cs="Times New Roman"/>
          <w:color w:val="000000" w:themeColor="text1"/>
          <w14:textFill>
            <w14:solidFill>
              <w14:schemeClr w14:val="tx1"/>
            </w14:solidFill>
          </w14:textFill>
        </w:rPr>
        <w:t xml:space="preserve"> 2019.</w:t>
      </w:r>
    </w:p>
    <w:p w14:paraId="733D1181">
      <w:pPr>
        <w:pStyle w:val="3"/>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 xml:space="preserve">[7] </w:t>
      </w:r>
      <w:r>
        <w:rPr>
          <w:rFonts w:hint="default" w:ascii="Times New Roman" w:hAnsi="Times New Roman" w:cs="Times New Roman"/>
          <w:color w:val="000000" w:themeColor="text1"/>
          <w14:textFill>
            <w14:solidFill>
              <w14:schemeClr w14:val="tx1"/>
            </w14:solidFill>
          </w14:textFill>
        </w:rPr>
        <w:t>李艳荣,</w:t>
      </w:r>
      <w:r>
        <w:rPr>
          <w:rFonts w:hint="default" w:ascii="Times New Roman" w:hAnsi="Times New Roman" w:cs="Times New Roman"/>
          <w:color w:val="000000" w:themeColor="text1"/>
          <w14:textFill>
            <w14:solidFill>
              <w14:schemeClr w14:val="tx1"/>
            </w14:solidFill>
          </w14:textFill>
        </w:rPr>
        <w:t xml:space="preserve"> </w:t>
      </w:r>
      <w:r>
        <w:rPr>
          <w:rFonts w:hint="default" w:ascii="Times New Roman" w:hAnsi="Times New Roman" w:cs="Times New Roman"/>
          <w:color w:val="000000" w:themeColor="text1"/>
          <w14:textFill>
            <w14:solidFill>
              <w14:schemeClr w14:val="tx1"/>
            </w14:solidFill>
          </w14:textFill>
        </w:rPr>
        <w:t>陈昌宏,</w:t>
      </w:r>
      <w:r>
        <w:rPr>
          <w:rFonts w:hint="default" w:ascii="Times New Roman" w:hAnsi="Times New Roman" w:cs="Times New Roman"/>
          <w:color w:val="000000" w:themeColor="text1"/>
          <w14:textFill>
            <w14:solidFill>
              <w14:schemeClr w14:val="tx1"/>
            </w14:solidFill>
          </w14:textFill>
        </w:rPr>
        <w:t xml:space="preserve"> </w:t>
      </w:r>
      <w:r>
        <w:rPr>
          <w:rFonts w:hint="default" w:ascii="Times New Roman" w:hAnsi="Times New Roman" w:cs="Times New Roman"/>
          <w:color w:val="000000" w:themeColor="text1"/>
          <w14:textFill>
            <w14:solidFill>
              <w14:schemeClr w14:val="tx1"/>
            </w14:solidFill>
          </w14:textFill>
        </w:rPr>
        <w:t>钱秀梅.</w:t>
      </w:r>
      <w:r>
        <w:rPr>
          <w:rFonts w:hint="default" w:ascii="Times New Roman" w:hAnsi="Times New Roman" w:cs="Times New Roman"/>
          <w:color w:val="000000" w:themeColor="text1"/>
          <w14:textFill>
            <w14:solidFill>
              <w14:schemeClr w14:val="tx1"/>
            </w14:solidFill>
          </w14:textFill>
        </w:rPr>
        <w:t xml:space="preserve"> </w:t>
      </w:r>
      <w:r>
        <w:rPr>
          <w:rFonts w:hint="default" w:ascii="Times New Roman" w:hAnsi="Times New Roman" w:cs="Times New Roman"/>
          <w:color w:val="000000" w:themeColor="text1"/>
          <w14:textFill>
            <w14:solidFill>
              <w14:schemeClr w14:val="tx1"/>
            </w14:solidFill>
          </w14:textFill>
        </w:rPr>
        <w:t>数字经济下制造业技能需求变化研究——基于招聘大数据的实证分析[J].</w:t>
      </w:r>
      <w:r>
        <w:rPr>
          <w:rFonts w:hint="default" w:ascii="Times New Roman" w:hAnsi="Times New Roman" w:cs="Times New Roman"/>
          <w:color w:val="000000" w:themeColor="text1"/>
          <w14:textFill>
            <w14:solidFill>
              <w14:schemeClr w14:val="tx1"/>
            </w14:solidFill>
          </w14:textFill>
        </w:rPr>
        <w:t xml:space="preserve"> </w:t>
      </w:r>
      <w:r>
        <w:rPr>
          <w:rFonts w:hint="default" w:ascii="Times New Roman" w:hAnsi="Times New Roman" w:cs="Times New Roman"/>
          <w:color w:val="000000" w:themeColor="text1"/>
          <w14:textFill>
            <w14:solidFill>
              <w14:schemeClr w14:val="tx1"/>
            </w14:solidFill>
          </w14:textFill>
        </w:rPr>
        <w:t>职业技术教育,</w:t>
      </w:r>
      <w:r>
        <w:rPr>
          <w:rFonts w:hint="default" w:ascii="Times New Roman" w:hAnsi="Times New Roman" w:cs="Times New Roman"/>
          <w:color w:val="000000" w:themeColor="text1"/>
          <w14:textFill>
            <w14:solidFill>
              <w14:schemeClr w14:val="tx1"/>
            </w14:solidFill>
          </w14:textFill>
        </w:rPr>
        <w:t xml:space="preserve"> 2021, 42(25): 12-18.</w:t>
      </w:r>
    </w:p>
    <w:p w14:paraId="2A4ECD23">
      <w:pPr>
        <w:pStyle w:val="3"/>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 xml:space="preserve">[8] </w:t>
      </w:r>
      <w:r>
        <w:rPr>
          <w:rFonts w:hint="default" w:ascii="Times New Roman" w:hAnsi="Times New Roman" w:cs="Times New Roman"/>
          <w:color w:val="000000" w:themeColor="text1"/>
          <w14:textFill>
            <w14:solidFill>
              <w14:schemeClr w14:val="tx1"/>
            </w14:solidFill>
          </w14:textFill>
        </w:rPr>
        <w:t>王建梁,</w:t>
      </w:r>
      <w:r>
        <w:rPr>
          <w:rFonts w:hint="default" w:ascii="Times New Roman" w:hAnsi="Times New Roman" w:cs="Times New Roman"/>
          <w:color w:val="000000" w:themeColor="text1"/>
          <w14:textFill>
            <w14:solidFill>
              <w14:schemeClr w14:val="tx1"/>
            </w14:solidFill>
          </w14:textFill>
        </w:rPr>
        <w:t xml:space="preserve"> </w:t>
      </w:r>
      <w:r>
        <w:rPr>
          <w:rFonts w:hint="default" w:ascii="Times New Roman" w:hAnsi="Times New Roman" w:cs="Times New Roman"/>
          <w:color w:val="000000" w:themeColor="text1"/>
          <w14:textFill>
            <w14:solidFill>
              <w14:schemeClr w14:val="tx1"/>
            </w14:solidFill>
          </w14:textFill>
        </w:rPr>
        <w:t>张璐.</w:t>
      </w:r>
      <w:r>
        <w:rPr>
          <w:rFonts w:hint="default" w:ascii="Times New Roman" w:hAnsi="Times New Roman" w:cs="Times New Roman"/>
          <w:color w:val="000000" w:themeColor="text1"/>
          <w14:textFill>
            <w14:solidFill>
              <w14:schemeClr w14:val="tx1"/>
            </w14:solidFill>
          </w14:textFill>
        </w:rPr>
        <w:t xml:space="preserve"> </w:t>
      </w:r>
      <w:r>
        <w:rPr>
          <w:rFonts w:hint="default" w:ascii="Times New Roman" w:hAnsi="Times New Roman" w:cs="Times New Roman"/>
          <w:color w:val="000000" w:themeColor="text1"/>
          <w14:textFill>
            <w14:solidFill>
              <w14:schemeClr w14:val="tx1"/>
            </w14:solidFill>
          </w14:textFill>
        </w:rPr>
        <w:t>职业教育专业结构与产业结构匹配度研究——基于招聘数据的实证[J].</w:t>
      </w:r>
      <w:r>
        <w:rPr>
          <w:rFonts w:hint="default" w:ascii="Times New Roman" w:hAnsi="Times New Roman" w:cs="Times New Roman"/>
          <w:color w:val="000000" w:themeColor="text1"/>
          <w14:textFill>
            <w14:solidFill>
              <w14:schemeClr w14:val="tx1"/>
            </w14:solidFill>
          </w14:textFill>
        </w:rPr>
        <w:t xml:space="preserve"> </w:t>
      </w:r>
      <w:r>
        <w:rPr>
          <w:rFonts w:hint="default" w:ascii="Times New Roman" w:hAnsi="Times New Roman" w:cs="Times New Roman"/>
          <w:color w:val="000000" w:themeColor="text1"/>
          <w14:textFill>
            <w14:solidFill>
              <w14:schemeClr w14:val="tx1"/>
            </w14:solidFill>
          </w14:textFill>
        </w:rPr>
        <w:t>高等教育研究,</w:t>
      </w:r>
      <w:r>
        <w:rPr>
          <w:rFonts w:hint="default" w:ascii="Times New Roman" w:hAnsi="Times New Roman" w:cs="Times New Roman"/>
          <w:color w:val="000000" w:themeColor="text1"/>
          <w14:textFill>
            <w14:solidFill>
              <w14:schemeClr w14:val="tx1"/>
            </w14:solidFill>
          </w14:textFill>
        </w:rPr>
        <w:t xml:space="preserve"> 2022, 43(8): 78-87.</w:t>
      </w:r>
    </w:p>
    <w:p w14:paraId="2945C965">
      <w:pPr>
        <w:pStyle w:val="3"/>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 xml:space="preserve">[9] </w:t>
      </w:r>
      <w:r>
        <w:rPr>
          <w:rFonts w:hint="default" w:ascii="Times New Roman" w:hAnsi="Times New Roman" w:cs="Times New Roman"/>
          <w:color w:val="000000" w:themeColor="text1"/>
          <w14:textFill>
            <w14:solidFill>
              <w14:schemeClr w14:val="tx1"/>
            </w14:solidFill>
          </w14:textFill>
        </w:rPr>
        <w:t>深圳市人民政府.</w:t>
      </w:r>
      <w:r>
        <w:rPr>
          <w:rFonts w:hint="default" w:ascii="Times New Roman" w:hAnsi="Times New Roman" w:cs="Times New Roman"/>
          <w:color w:val="000000" w:themeColor="text1"/>
          <w14:textFill>
            <w14:solidFill>
              <w14:schemeClr w14:val="tx1"/>
            </w14:solidFill>
          </w14:textFill>
        </w:rPr>
        <w:t xml:space="preserve"> </w:t>
      </w:r>
      <w:r>
        <w:rPr>
          <w:rFonts w:hint="default" w:ascii="Times New Roman" w:hAnsi="Times New Roman" w:cs="Times New Roman"/>
          <w:color w:val="000000" w:themeColor="text1"/>
          <w14:textFill>
            <w14:solidFill>
              <w14:schemeClr w14:val="tx1"/>
            </w14:solidFill>
          </w14:textFill>
        </w:rPr>
        <w:t>深圳市专精特新中小企业培育行动计划（2022—2025年）[Z].</w:t>
      </w:r>
      <w:r>
        <w:rPr>
          <w:rFonts w:hint="default" w:ascii="Times New Roman" w:hAnsi="Times New Roman" w:cs="Times New Roman"/>
          <w:color w:val="000000" w:themeColor="text1"/>
          <w14:textFill>
            <w14:solidFill>
              <w14:schemeClr w14:val="tx1"/>
            </w14:solidFill>
          </w14:textFill>
        </w:rPr>
        <w:t xml:space="preserve"> 2022.</w:t>
      </w:r>
    </w:p>
    <w:p w14:paraId="7E53D43B">
      <w:pPr>
        <w:pStyle w:val="3"/>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 xml:space="preserve">[10] </w:t>
      </w:r>
      <w:r>
        <w:rPr>
          <w:rFonts w:hint="default" w:ascii="Times New Roman" w:hAnsi="Times New Roman" w:cs="Times New Roman"/>
          <w:color w:val="000000" w:themeColor="text1"/>
          <w14:textFill>
            <w14:solidFill>
              <w14:schemeClr w14:val="tx1"/>
            </w14:solidFill>
          </w14:textFill>
        </w:rPr>
        <w:t>翟帆.</w:t>
      </w:r>
      <w:r>
        <w:rPr>
          <w:rFonts w:hint="default" w:ascii="Times New Roman" w:hAnsi="Times New Roman" w:cs="Times New Roman"/>
          <w:color w:val="000000" w:themeColor="text1"/>
          <w14:textFill>
            <w14:solidFill>
              <w14:schemeClr w14:val="tx1"/>
            </w14:solidFill>
          </w14:textFill>
        </w:rPr>
        <w:t xml:space="preserve"> </w:t>
      </w:r>
      <w:r>
        <w:rPr>
          <w:rFonts w:hint="default" w:ascii="Times New Roman" w:hAnsi="Times New Roman" w:cs="Times New Roman"/>
          <w:color w:val="000000" w:themeColor="text1"/>
          <w14:textFill>
            <w14:solidFill>
              <w14:schemeClr w14:val="tx1"/>
            </w14:solidFill>
          </w14:textFill>
        </w:rPr>
        <w:t>大数据时代职业教育课程改革的方向与策略[J].</w:t>
      </w:r>
      <w:r>
        <w:rPr>
          <w:rFonts w:hint="default" w:ascii="Times New Roman" w:hAnsi="Times New Roman" w:cs="Times New Roman"/>
          <w:color w:val="000000" w:themeColor="text1"/>
          <w14:textFill>
            <w14:solidFill>
              <w14:schemeClr w14:val="tx1"/>
            </w14:solidFill>
          </w14:textFill>
        </w:rPr>
        <w:t xml:space="preserve"> </w:t>
      </w:r>
      <w:r>
        <w:rPr>
          <w:rFonts w:hint="default" w:ascii="Times New Roman" w:hAnsi="Times New Roman" w:cs="Times New Roman"/>
          <w:color w:val="000000" w:themeColor="text1"/>
          <w14:textFill>
            <w14:solidFill>
              <w14:schemeClr w14:val="tx1"/>
            </w14:solidFill>
          </w14:textFill>
        </w:rPr>
        <w:t>职教论坛,</w:t>
      </w:r>
      <w:r>
        <w:rPr>
          <w:rFonts w:hint="default" w:ascii="Times New Roman" w:hAnsi="Times New Roman" w:cs="Times New Roman"/>
          <w:color w:val="000000" w:themeColor="text1"/>
          <w14:textFill>
            <w14:solidFill>
              <w14:schemeClr w14:val="tx1"/>
            </w14:solidFill>
          </w14:textFill>
        </w:rPr>
        <w:t xml:space="preserve"> 2022(4): 5-11.</w:t>
      </w:r>
    </w:p>
    <w:bookmarkEnd w:id="18"/>
    <w:sectPr>
      <w:footnotePr>
        <w:numRestart w:val="eachSect"/>
      </w:footnotePr>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ptos">
    <w:altName w:val="Segoe Print"/>
    <w:panose1 w:val="020B0004020202020204"/>
    <w:charset w:val="00"/>
    <w:family w:val="swiss"/>
    <w:pitch w:val="default"/>
    <w:sig w:usb0="00000000" w:usb1="00000000" w:usb2="00000000" w:usb3="00000000" w:csb0="0000019F" w:csb1="00000000"/>
  </w:font>
  <w:font w:name="等线">
    <w:panose1 w:val="02010600030101010101"/>
    <w:charset w:val="86"/>
    <w:family w:val="auto"/>
    <w:pitch w:val="default"/>
    <w:sig w:usb0="A00002BF" w:usb1="38CF7CFA" w:usb2="00000016" w:usb3="00000000" w:csb0="0004000F" w:csb1="00000000"/>
  </w:font>
  <w:font w:name="Aptos Display">
    <w:altName w:val="Segoe Print"/>
    <w:panose1 w:val="020B0004020202020204"/>
    <w:charset w:val="00"/>
    <w:family w:val="swiss"/>
    <w:pitch w:val="default"/>
    <w:sig w:usb0="00000000" w:usb1="00000000" w:usb2="00000000" w:usb3="00000000" w:csb0="0000019F" w:csb1="00000000"/>
  </w:font>
  <w:font w:name="等线 Light">
    <w:panose1 w:val="02010600030101010101"/>
    <w:charset w:val="86"/>
    <w:family w:val="auto"/>
    <w:pitch w:val="default"/>
    <w:sig w:usb0="A00002BF" w:usb1="38CF7CFA" w:usb2="00000016" w:usb3="00000000" w:csb0="0004000F" w:csb1="00000000"/>
  </w:font>
  <w:font w:name="Consolas">
    <w:panose1 w:val="020B0609020204030204"/>
    <w:charset w:val="00"/>
    <w:family w:val="auto"/>
    <w:pitch w:val="default"/>
    <w:sig w:usb0="E00006FF" w:usb1="0000FCFF" w:usb2="00000001" w:usb3="00000000" w:csb0="6000019F" w:csb1="DFD7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pPr>
      <w:r>
        <w:separator/>
      </w:r>
    </w:p>
  </w:footnote>
  <w:footnote w:type="continuationSeparator" w:id="1">
    <w:p>
      <w:pPr>
        <w:spacing w:before="0" w:after="0"/>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2"/>
  <w:embedSystemFonts/>
  <w:doNotTrackMoves/>
  <w:documentProtection w:enforcement="0"/>
  <w:defaultTabStop w:val="720"/>
  <w:drawingGridHorizontalSpacing w:val="360"/>
  <w:drawingGridVerticalSpacing w:val="360"/>
  <w:displayHorizontalDrawingGridEvery w:val="0"/>
  <w:displayVerticalDrawingGridEvery w:val="0"/>
  <w:characterSpacingControl w:val="doNotCompress"/>
  <w:footnotePr>
    <w:numRestart w:val="eachSect"/>
    <w:footnote w:id="0"/>
    <w:footnote w:id="1"/>
  </w:footnotePr>
  <w:compat>
    <w:useFELayout/>
    <w:splitPgBreakAndParaMark/>
    <w:compatSetting w:name="compatibilityMode" w:uri="http://schemas.microsoft.com/office/word" w:val="12"/>
  </w:compat>
  <w:rsids>
    <w:rsidRoot w:val="00000000"/>
    <w:rsid w:val="35E77A39"/>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0" w:semiHidden="0" w:name="Title"/>
    <w:lsdException w:unhideWhenUsed="0" w:uiPriority="0" w:semiHidden="0" w:name="Closing"/>
    <w:lsdException w:unhideWhenUsed="0" w:uiPriority="0" w:semiHidden="0" w:name="Signature"/>
    <w:lsdException w:qFormat="1"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11"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9" w:semiHidden="0" w:name="Block Text"/>
    <w:lsdException w:unhideWhenUsed="0" w:uiPriority="0" w:semiHidden="0" w:name="Hyperlink"/>
    <w:lsdException w:unhideWhenUsed="0" w:uiPriority="0" w:semiHidden="0" w:name="FollowedHyperlink"/>
    <w:lsdException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semiHidden="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pPr>
    <w:rPr>
      <w:rFonts w:asciiTheme="minorHAnsi" w:hAnsiTheme="minorHAnsi" w:eastAsiaTheme="minorEastAsia" w:cstheme="minorBidi"/>
      <w:sz w:val="24"/>
      <w:szCs w:val="24"/>
      <w:lang w:val="en-US" w:eastAsia="zh-CN" w:bidi="ar-SA"/>
    </w:rPr>
  </w:style>
  <w:style w:type="paragraph" w:styleId="2">
    <w:name w:val="heading 1"/>
    <w:basedOn w:val="1"/>
    <w:next w:val="3"/>
    <w:link w:val="31"/>
    <w:qFormat/>
    <w:uiPriority w:val="9"/>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4">
    <w:name w:val="heading 2"/>
    <w:basedOn w:val="1"/>
    <w:next w:val="3"/>
    <w:link w:val="32"/>
    <w:semiHidden/>
    <w:unhideWhenUsed/>
    <w:qFormat/>
    <w:uiPriority w:val="9"/>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5">
    <w:name w:val="heading 3"/>
    <w:basedOn w:val="1"/>
    <w:next w:val="3"/>
    <w:link w:val="33"/>
    <w:semiHidden/>
    <w:unhideWhenUsed/>
    <w:qFormat/>
    <w:uiPriority w:val="9"/>
    <w:pPr>
      <w:keepNext/>
      <w:keepLines/>
      <w:spacing w:before="160" w:after="80"/>
      <w:outlineLvl w:val="2"/>
    </w:pPr>
    <w:rPr>
      <w:rFonts w:eastAsiaTheme="majorEastAsia" w:cstheme="majorBidi"/>
      <w:color w:val="0F4761" w:themeColor="accent1" w:themeShade="BF"/>
      <w:sz w:val="28"/>
      <w:szCs w:val="28"/>
    </w:rPr>
  </w:style>
  <w:style w:type="paragraph" w:styleId="6">
    <w:name w:val="heading 4"/>
    <w:basedOn w:val="1"/>
    <w:next w:val="3"/>
    <w:link w:val="34"/>
    <w:semiHidden/>
    <w:unhideWhenUsed/>
    <w:qFormat/>
    <w:uiPriority w:val="9"/>
    <w:pPr>
      <w:keepNext/>
      <w:keepLines/>
      <w:spacing w:before="80" w:after="40"/>
      <w:outlineLvl w:val="3"/>
    </w:pPr>
    <w:rPr>
      <w:rFonts w:eastAsiaTheme="majorEastAsia" w:cstheme="majorBidi"/>
      <w:i/>
      <w:iCs/>
      <w:color w:val="0F4761" w:themeColor="accent1" w:themeShade="BF"/>
    </w:rPr>
  </w:style>
  <w:style w:type="paragraph" w:styleId="7">
    <w:name w:val="heading 5"/>
    <w:basedOn w:val="1"/>
    <w:next w:val="3"/>
    <w:link w:val="35"/>
    <w:semiHidden/>
    <w:unhideWhenUsed/>
    <w:qFormat/>
    <w:uiPriority w:val="9"/>
    <w:pPr>
      <w:keepNext/>
      <w:keepLines/>
      <w:spacing w:before="80" w:after="40"/>
      <w:outlineLvl w:val="4"/>
    </w:pPr>
    <w:rPr>
      <w:rFonts w:eastAsiaTheme="majorEastAsia" w:cstheme="majorBidi"/>
      <w:color w:val="0F4761" w:themeColor="accent1" w:themeShade="BF"/>
    </w:rPr>
  </w:style>
  <w:style w:type="paragraph" w:styleId="8">
    <w:name w:val="heading 6"/>
    <w:basedOn w:val="1"/>
    <w:next w:val="3"/>
    <w:link w:val="36"/>
    <w:semiHidden/>
    <w:unhideWhenUsed/>
    <w:qFormat/>
    <w:uiPriority w:val="9"/>
    <w:pPr>
      <w:keepNext/>
      <w:keepLines/>
      <w:spacing w:before="40" w:after="0"/>
      <w:outlineLvl w:val="5"/>
    </w:pPr>
    <w:rPr>
      <w:rFonts w:eastAsiaTheme="majorEastAsia" w:cstheme="majorBidi"/>
      <w:i/>
      <w:iCs/>
      <w:color w:val="585858" w:themeColor="text1" w:themeTint="A6"/>
    </w:rPr>
  </w:style>
  <w:style w:type="paragraph" w:styleId="9">
    <w:name w:val="heading 7"/>
    <w:basedOn w:val="1"/>
    <w:next w:val="3"/>
    <w:link w:val="37"/>
    <w:semiHidden/>
    <w:unhideWhenUsed/>
    <w:qFormat/>
    <w:uiPriority w:val="9"/>
    <w:pPr>
      <w:keepNext/>
      <w:keepLines/>
      <w:spacing w:before="40" w:after="0"/>
      <w:outlineLvl w:val="6"/>
    </w:pPr>
    <w:rPr>
      <w:rFonts w:eastAsiaTheme="majorEastAsia" w:cstheme="majorBidi"/>
      <w:color w:val="585858" w:themeColor="text1" w:themeTint="A6"/>
    </w:rPr>
  </w:style>
  <w:style w:type="paragraph" w:styleId="10">
    <w:name w:val="heading 8"/>
    <w:basedOn w:val="1"/>
    <w:next w:val="3"/>
    <w:link w:val="38"/>
    <w:semiHidden/>
    <w:unhideWhenUsed/>
    <w:qFormat/>
    <w:uiPriority w:val="9"/>
    <w:pPr>
      <w:keepNext/>
      <w:keepLines/>
      <w:spacing w:after="0"/>
      <w:outlineLvl w:val="7"/>
    </w:pPr>
    <w:rPr>
      <w:rFonts w:eastAsiaTheme="majorEastAsia" w:cstheme="majorBidi"/>
      <w:i/>
      <w:iCs/>
      <w:color w:val="262626" w:themeColor="text1" w:themeTint="D8"/>
    </w:rPr>
  </w:style>
  <w:style w:type="paragraph" w:styleId="11">
    <w:name w:val="heading 9"/>
    <w:basedOn w:val="1"/>
    <w:next w:val="3"/>
    <w:link w:val="39"/>
    <w:semiHidden/>
    <w:unhideWhenUsed/>
    <w:qFormat/>
    <w:uiPriority w:val="9"/>
    <w:pPr>
      <w:keepNext/>
      <w:keepLines/>
      <w:spacing w:after="0"/>
      <w:outlineLvl w:val="8"/>
    </w:pPr>
    <w:rPr>
      <w:rFonts w:eastAsiaTheme="majorEastAsia" w:cstheme="majorBidi"/>
      <w:color w:val="262626" w:themeColor="text1" w:themeTint="D8"/>
    </w:rPr>
  </w:style>
  <w:style w:type="character" w:default="1" w:styleId="19">
    <w:name w:val="Default Paragraph Font"/>
    <w:semiHidden/>
    <w:unhideWhenUsed/>
    <w:qFormat/>
    <w:uiPriority w:val="0"/>
  </w:style>
  <w:style w:type="table" w:default="1" w:styleId="18">
    <w:name w:val="Normal Table"/>
    <w:uiPriority w:val="0"/>
    <w:tblPr>
      <w:tblCellMar>
        <w:top w:w="0" w:type="dxa"/>
        <w:left w:w="108" w:type="dxa"/>
        <w:bottom w:w="0" w:type="dxa"/>
        <w:right w:w="108" w:type="dxa"/>
      </w:tblCellMar>
    </w:tblPr>
  </w:style>
  <w:style w:type="paragraph" w:styleId="3">
    <w:name w:val="Body Text"/>
    <w:basedOn w:val="1"/>
    <w:link w:val="21"/>
    <w:qFormat/>
    <w:uiPriority w:val="0"/>
    <w:pPr>
      <w:spacing w:before="180" w:after="180"/>
    </w:pPr>
  </w:style>
  <w:style w:type="paragraph" w:styleId="12">
    <w:name w:val="caption"/>
    <w:basedOn w:val="1"/>
    <w:qFormat/>
    <w:uiPriority w:val="0"/>
    <w:pPr>
      <w:spacing w:before="0" w:after="120"/>
    </w:pPr>
    <w:rPr>
      <w:i/>
    </w:rPr>
  </w:style>
  <w:style w:type="paragraph" w:styleId="13">
    <w:name w:val="Block Text"/>
    <w:basedOn w:val="3"/>
    <w:next w:val="3"/>
    <w:unhideWhenUsed/>
    <w:qFormat/>
    <w:uiPriority w:val="9"/>
    <w:pPr>
      <w:spacing w:before="100" w:after="100"/>
      <w:ind w:left="480" w:right="480" w:firstLine="0"/>
    </w:pPr>
  </w:style>
  <w:style w:type="paragraph" w:styleId="14">
    <w:name w:val="Date"/>
    <w:basedOn w:val="15"/>
    <w:next w:val="3"/>
    <w:qFormat/>
    <w:uiPriority w:val="0"/>
    <w:pPr>
      <w:keepNext/>
      <w:keepLines/>
    </w:pPr>
    <w:rPr>
      <w:sz w:val="24"/>
      <w:szCs w:val="24"/>
    </w:rPr>
  </w:style>
  <w:style w:type="paragraph" w:styleId="15">
    <w:name w:val="Title"/>
    <w:basedOn w:val="1"/>
    <w:next w:val="3"/>
    <w:link w:val="25"/>
    <w:qFormat/>
    <w:uiPriority w:val="10"/>
    <w:pPr>
      <w:spacing w:after="80" w:line="240" w:lineRule="auto"/>
      <w:contextualSpacing/>
      <w:jc w:val="center"/>
    </w:pPr>
    <w:rPr>
      <w:rFonts w:asciiTheme="majorHAnsi" w:hAnsiTheme="majorHAnsi" w:eastAsiaTheme="majorEastAsia" w:cstheme="majorBidi"/>
      <w:sz w:val="56"/>
      <w:szCs w:val="56"/>
    </w:rPr>
  </w:style>
  <w:style w:type="paragraph" w:styleId="16">
    <w:name w:val="Subtitle"/>
    <w:basedOn w:val="15"/>
    <w:next w:val="3"/>
    <w:link w:val="26"/>
    <w:qFormat/>
    <w:uiPriority w:val="11"/>
    <w:rPr>
      <w:rFonts w:eastAsiaTheme="majorEastAsia" w:cstheme="majorBidi"/>
      <w:spacing w:val="15"/>
      <w:sz w:val="28"/>
      <w:szCs w:val="28"/>
    </w:rPr>
  </w:style>
  <w:style w:type="paragraph" w:styleId="17">
    <w:name w:val="footnote text"/>
    <w:basedOn w:val="1"/>
    <w:unhideWhenUsed/>
    <w:qFormat/>
    <w:uiPriority w:val="9"/>
  </w:style>
  <w:style w:type="character" w:styleId="20">
    <w:name w:val="Hyperlink"/>
    <w:basedOn w:val="21"/>
    <w:uiPriority w:val="0"/>
    <w:rPr>
      <w:color w:val="156082" w:themeColor="accent1"/>
    </w:rPr>
  </w:style>
  <w:style w:type="character" w:customStyle="1" w:styleId="21">
    <w:name w:val="Body Text Char"/>
    <w:basedOn w:val="19"/>
    <w:link w:val="3"/>
    <w:qFormat/>
    <w:uiPriority w:val="0"/>
  </w:style>
  <w:style w:type="character" w:styleId="22">
    <w:name w:val="footnote reference"/>
    <w:basedOn w:val="21"/>
    <w:qFormat/>
    <w:uiPriority w:val="0"/>
    <w:rPr>
      <w:vertAlign w:val="superscript"/>
    </w:rPr>
  </w:style>
  <w:style w:type="paragraph" w:customStyle="1" w:styleId="23">
    <w:name w:val="First Paragraph"/>
    <w:basedOn w:val="3"/>
    <w:next w:val="3"/>
    <w:qFormat/>
    <w:uiPriority w:val="0"/>
  </w:style>
  <w:style w:type="paragraph" w:customStyle="1" w:styleId="24">
    <w:name w:val="Compact"/>
    <w:basedOn w:val="3"/>
    <w:qFormat/>
    <w:uiPriority w:val="0"/>
    <w:pPr>
      <w:spacing w:before="36" w:after="36"/>
    </w:pPr>
  </w:style>
  <w:style w:type="character" w:customStyle="1" w:styleId="25">
    <w:name w:val="Title Char"/>
    <w:basedOn w:val="19"/>
    <w:link w:val="15"/>
    <w:uiPriority w:val="10"/>
    <w:rPr>
      <w:rFonts w:asciiTheme="majorHAnsi" w:hAnsiTheme="majorHAnsi" w:eastAsiaTheme="majorEastAsia" w:cstheme="majorBidi"/>
      <w:sz w:val="56"/>
      <w:szCs w:val="56"/>
    </w:rPr>
  </w:style>
  <w:style w:type="character" w:customStyle="1" w:styleId="26">
    <w:name w:val="Subtitle Char"/>
    <w:basedOn w:val="19"/>
    <w:link w:val="16"/>
    <w:qFormat/>
    <w:uiPriority w:val="11"/>
    <w:rPr>
      <w:rFonts w:eastAsiaTheme="majorEastAsia" w:cstheme="majorBidi"/>
      <w:color w:val="585858" w:themeColor="text1" w:themeTint="A6"/>
      <w:spacing w:val="15"/>
      <w:sz w:val="28"/>
      <w:szCs w:val="28"/>
    </w:rPr>
  </w:style>
  <w:style w:type="paragraph" w:customStyle="1" w:styleId="27">
    <w:name w:val="Author"/>
    <w:basedOn w:val="15"/>
    <w:next w:val="3"/>
    <w:qFormat/>
    <w:uiPriority w:val="0"/>
    <w:pPr>
      <w:keepNext/>
      <w:keepLines/>
    </w:pPr>
    <w:rPr>
      <w:sz w:val="24"/>
      <w:szCs w:val="24"/>
    </w:rPr>
  </w:style>
  <w:style w:type="paragraph" w:customStyle="1" w:styleId="28">
    <w:name w:val="Abstract Title"/>
    <w:basedOn w:val="1"/>
    <w:next w:val="29"/>
    <w:qFormat/>
    <w:uiPriority w:val="0"/>
    <w:pPr>
      <w:keepNext/>
      <w:keepLines/>
      <w:spacing w:before="300" w:after="0"/>
      <w:jc w:val="center"/>
    </w:pPr>
    <w:rPr>
      <w:b/>
      <w:sz w:val="20"/>
      <w:szCs w:val="20"/>
    </w:rPr>
  </w:style>
  <w:style w:type="paragraph" w:customStyle="1" w:styleId="29">
    <w:name w:val="Abstract"/>
    <w:basedOn w:val="1"/>
    <w:next w:val="3"/>
    <w:qFormat/>
    <w:uiPriority w:val="0"/>
    <w:pPr>
      <w:keepNext/>
      <w:keepLines/>
      <w:spacing w:before="100" w:after="300"/>
    </w:pPr>
    <w:rPr>
      <w:sz w:val="20"/>
      <w:szCs w:val="20"/>
    </w:rPr>
  </w:style>
  <w:style w:type="paragraph" w:customStyle="1" w:styleId="30">
    <w:name w:val="Bibliography"/>
    <w:basedOn w:val="1"/>
    <w:qFormat/>
    <w:uiPriority w:val="0"/>
  </w:style>
  <w:style w:type="character" w:customStyle="1" w:styleId="31">
    <w:name w:val="Heading 1 Char"/>
    <w:basedOn w:val="19"/>
    <w:link w:val="2"/>
    <w:qFormat/>
    <w:uiPriority w:val="9"/>
    <w:rPr>
      <w:rFonts w:asciiTheme="majorHAnsi" w:hAnsiTheme="majorHAnsi" w:eastAsiaTheme="majorEastAsia" w:cstheme="majorBidi"/>
      <w:color w:val="0F4761" w:themeColor="accent1" w:themeShade="BF"/>
      <w:sz w:val="40"/>
      <w:szCs w:val="40"/>
    </w:rPr>
  </w:style>
  <w:style w:type="character" w:customStyle="1" w:styleId="32">
    <w:name w:val="Heading 2 Char"/>
    <w:basedOn w:val="19"/>
    <w:link w:val="4"/>
    <w:semiHidden/>
    <w:qFormat/>
    <w:uiPriority w:val="9"/>
    <w:rPr>
      <w:rFonts w:asciiTheme="majorHAnsi" w:hAnsiTheme="majorHAnsi" w:eastAsiaTheme="majorEastAsia" w:cstheme="majorBidi"/>
      <w:color w:val="0F4761" w:themeColor="accent1" w:themeShade="BF"/>
      <w:sz w:val="32"/>
      <w:szCs w:val="32"/>
    </w:rPr>
  </w:style>
  <w:style w:type="character" w:customStyle="1" w:styleId="33">
    <w:name w:val="Heading 3 Char"/>
    <w:basedOn w:val="19"/>
    <w:link w:val="5"/>
    <w:semiHidden/>
    <w:qFormat/>
    <w:uiPriority w:val="9"/>
    <w:rPr>
      <w:rFonts w:eastAsiaTheme="majorEastAsia" w:cstheme="majorBidi"/>
      <w:color w:val="0F4761" w:themeColor="accent1" w:themeShade="BF"/>
      <w:sz w:val="28"/>
      <w:szCs w:val="28"/>
    </w:rPr>
  </w:style>
  <w:style w:type="character" w:customStyle="1" w:styleId="34">
    <w:name w:val="Heading 4 Char"/>
    <w:basedOn w:val="19"/>
    <w:link w:val="6"/>
    <w:semiHidden/>
    <w:qFormat/>
    <w:uiPriority w:val="9"/>
    <w:rPr>
      <w:rFonts w:eastAsiaTheme="majorEastAsia" w:cstheme="majorBidi"/>
      <w:i/>
      <w:iCs/>
      <w:color w:val="0F4761" w:themeColor="accent1" w:themeShade="BF"/>
    </w:rPr>
  </w:style>
  <w:style w:type="character" w:customStyle="1" w:styleId="35">
    <w:name w:val="Heading 5 Char"/>
    <w:basedOn w:val="19"/>
    <w:link w:val="7"/>
    <w:semiHidden/>
    <w:qFormat/>
    <w:uiPriority w:val="9"/>
    <w:rPr>
      <w:rFonts w:eastAsiaTheme="majorEastAsia" w:cstheme="majorBidi"/>
      <w:color w:val="0F4761" w:themeColor="accent1" w:themeShade="BF"/>
    </w:rPr>
  </w:style>
  <w:style w:type="character" w:customStyle="1" w:styleId="36">
    <w:name w:val="Heading 6 Char"/>
    <w:basedOn w:val="19"/>
    <w:link w:val="8"/>
    <w:semiHidden/>
    <w:uiPriority w:val="9"/>
    <w:rPr>
      <w:rFonts w:eastAsiaTheme="majorEastAsia" w:cstheme="majorBidi"/>
      <w:i/>
      <w:iCs/>
      <w:color w:val="585858" w:themeColor="text1" w:themeTint="A6"/>
    </w:rPr>
  </w:style>
  <w:style w:type="character" w:customStyle="1" w:styleId="37">
    <w:name w:val="Heading 7 Char"/>
    <w:basedOn w:val="19"/>
    <w:link w:val="9"/>
    <w:semiHidden/>
    <w:qFormat/>
    <w:uiPriority w:val="9"/>
    <w:rPr>
      <w:rFonts w:eastAsiaTheme="majorEastAsia" w:cstheme="majorBidi"/>
      <w:color w:val="585858" w:themeColor="text1" w:themeTint="A6"/>
    </w:rPr>
  </w:style>
  <w:style w:type="character" w:customStyle="1" w:styleId="38">
    <w:name w:val="Heading 8 Char"/>
    <w:basedOn w:val="19"/>
    <w:link w:val="10"/>
    <w:semiHidden/>
    <w:qFormat/>
    <w:uiPriority w:val="9"/>
    <w:rPr>
      <w:rFonts w:eastAsiaTheme="majorEastAsia" w:cstheme="majorBidi"/>
      <w:i/>
      <w:iCs/>
      <w:color w:val="262626" w:themeColor="text1" w:themeTint="D8"/>
    </w:rPr>
  </w:style>
  <w:style w:type="character" w:customStyle="1" w:styleId="39">
    <w:name w:val="Heading 9 Char"/>
    <w:basedOn w:val="19"/>
    <w:link w:val="11"/>
    <w:semiHidden/>
    <w:uiPriority w:val="9"/>
    <w:rPr>
      <w:rFonts w:eastAsiaTheme="majorEastAsia" w:cstheme="majorBidi"/>
      <w:color w:val="262626" w:themeColor="text1" w:themeTint="D8"/>
    </w:rPr>
  </w:style>
  <w:style w:type="paragraph" w:customStyle="1" w:styleId="40">
    <w:name w:val="Footnote Block Text"/>
    <w:basedOn w:val="17"/>
    <w:next w:val="17"/>
    <w:unhideWhenUsed/>
    <w:qFormat/>
    <w:uiPriority w:val="9"/>
    <w:pPr>
      <w:spacing w:before="100" w:after="100"/>
      <w:ind w:left="480" w:right="480" w:firstLine="0"/>
    </w:pPr>
  </w:style>
  <w:style w:type="table" w:customStyle="1" w:styleId="41">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 w:type="paragraph" w:customStyle="1" w:styleId="42">
    <w:name w:val="Definition Term"/>
    <w:basedOn w:val="1"/>
    <w:next w:val="43"/>
    <w:qFormat/>
    <w:uiPriority w:val="0"/>
    <w:pPr>
      <w:keepNext/>
      <w:keepLines/>
      <w:spacing w:after="0"/>
    </w:pPr>
    <w:rPr>
      <w:b/>
    </w:rPr>
  </w:style>
  <w:style w:type="paragraph" w:customStyle="1" w:styleId="43">
    <w:name w:val="Definition"/>
    <w:basedOn w:val="1"/>
    <w:qFormat/>
    <w:uiPriority w:val="0"/>
  </w:style>
  <w:style w:type="paragraph" w:customStyle="1" w:styleId="44">
    <w:name w:val="Table Caption"/>
    <w:basedOn w:val="12"/>
    <w:qFormat/>
    <w:uiPriority w:val="0"/>
    <w:pPr>
      <w:keepNext/>
    </w:pPr>
  </w:style>
  <w:style w:type="paragraph" w:customStyle="1" w:styleId="45">
    <w:name w:val="Image Caption"/>
    <w:basedOn w:val="12"/>
    <w:uiPriority w:val="0"/>
  </w:style>
  <w:style w:type="paragraph" w:customStyle="1" w:styleId="46">
    <w:name w:val="Figure"/>
    <w:basedOn w:val="1"/>
    <w:qFormat/>
    <w:uiPriority w:val="0"/>
  </w:style>
  <w:style w:type="paragraph" w:customStyle="1" w:styleId="47">
    <w:name w:val="Captioned Figure"/>
    <w:basedOn w:val="46"/>
    <w:uiPriority w:val="0"/>
    <w:pPr>
      <w:keepNext/>
    </w:pPr>
  </w:style>
  <w:style w:type="character" w:customStyle="1" w:styleId="48">
    <w:name w:val="Verbatim Char"/>
    <w:basedOn w:val="21"/>
    <w:link w:val="49"/>
    <w:qFormat/>
    <w:uiPriority w:val="0"/>
    <w:rPr>
      <w:rFonts w:ascii="Consolas" w:hAnsi="Consolas"/>
      <w:sz w:val="22"/>
    </w:rPr>
  </w:style>
  <w:style w:type="paragraph" w:customStyle="1" w:styleId="49">
    <w:name w:val="Source Code"/>
    <w:basedOn w:val="1"/>
    <w:link w:val="48"/>
    <w:qFormat/>
    <w:uiPriority w:val="0"/>
    <w:pPr>
      <w:wordWrap w:val="0"/>
    </w:pPr>
  </w:style>
  <w:style w:type="character" w:customStyle="1" w:styleId="50">
    <w:name w:val="Section Number"/>
    <w:basedOn w:val="21"/>
    <w:qFormat/>
    <w:uiPriority w:val="0"/>
  </w:style>
  <w:style w:type="paragraph" w:customStyle="1" w:styleId="51">
    <w:name w:val="TOC Heading"/>
    <w:basedOn w:val="2"/>
    <w:next w:val="3"/>
    <w:unhideWhenUsed/>
    <w:qFormat/>
    <w:uiPriority w:val="39"/>
    <w:pPr>
      <w:spacing w:before="240" w:line="259" w:lineRule="auto"/>
      <w:outlineLvl w:val="9"/>
    </w:pPr>
    <w:rPr>
      <w:rFonts w:asciiTheme="majorHAnsi" w:hAnsiTheme="majorHAnsi" w:eastAsiaTheme="majorEastAsia" w:cstheme="majorBidi"/>
      <w:color w:val="0F4761" w:themeColor="accent1" w:themeShade="BF"/>
    </w:rPr>
  </w:style>
  <w:style w:type="character" w:customStyle="1" w:styleId="52">
    <w:name w:val="KeywordTok"/>
    <w:basedOn w:val="48"/>
    <w:uiPriority w:val="0"/>
    <w:rPr>
      <w:b/>
      <w:color w:val="007020"/>
    </w:rPr>
  </w:style>
  <w:style w:type="character" w:customStyle="1" w:styleId="53">
    <w:name w:val="DataTypeTok"/>
    <w:basedOn w:val="48"/>
    <w:qFormat/>
    <w:uiPriority w:val="0"/>
    <w:rPr>
      <w:color w:val="902000"/>
    </w:rPr>
  </w:style>
  <w:style w:type="character" w:customStyle="1" w:styleId="54">
    <w:name w:val="DecValTok"/>
    <w:basedOn w:val="48"/>
    <w:uiPriority w:val="0"/>
    <w:rPr>
      <w:color w:val="40A070"/>
    </w:rPr>
  </w:style>
  <w:style w:type="character" w:customStyle="1" w:styleId="55">
    <w:name w:val="BaseNTok"/>
    <w:basedOn w:val="48"/>
    <w:uiPriority w:val="0"/>
    <w:rPr>
      <w:color w:val="40A070"/>
    </w:rPr>
  </w:style>
  <w:style w:type="character" w:customStyle="1" w:styleId="56">
    <w:name w:val="FloatTok"/>
    <w:basedOn w:val="48"/>
    <w:qFormat/>
    <w:uiPriority w:val="0"/>
    <w:rPr>
      <w:color w:val="40A070"/>
    </w:rPr>
  </w:style>
  <w:style w:type="character" w:customStyle="1" w:styleId="57">
    <w:name w:val="ConstantTok"/>
    <w:basedOn w:val="48"/>
    <w:qFormat/>
    <w:uiPriority w:val="0"/>
    <w:rPr>
      <w:color w:val="880000"/>
    </w:rPr>
  </w:style>
  <w:style w:type="character" w:customStyle="1" w:styleId="58">
    <w:name w:val="CharTok"/>
    <w:basedOn w:val="48"/>
    <w:uiPriority w:val="0"/>
    <w:rPr>
      <w:color w:val="4070A0"/>
    </w:rPr>
  </w:style>
  <w:style w:type="character" w:customStyle="1" w:styleId="59">
    <w:name w:val="SpecialCharTok"/>
    <w:basedOn w:val="48"/>
    <w:uiPriority w:val="0"/>
    <w:rPr>
      <w:color w:val="4070A0"/>
    </w:rPr>
  </w:style>
  <w:style w:type="character" w:customStyle="1" w:styleId="60">
    <w:name w:val="StringTok"/>
    <w:basedOn w:val="48"/>
    <w:uiPriority w:val="0"/>
    <w:rPr>
      <w:color w:val="4070A0"/>
    </w:rPr>
  </w:style>
  <w:style w:type="character" w:customStyle="1" w:styleId="61">
    <w:name w:val="VerbatimStringTok"/>
    <w:basedOn w:val="48"/>
    <w:qFormat/>
    <w:uiPriority w:val="0"/>
    <w:rPr>
      <w:color w:val="4070A0"/>
    </w:rPr>
  </w:style>
  <w:style w:type="character" w:customStyle="1" w:styleId="62">
    <w:name w:val="SpecialStringTok"/>
    <w:basedOn w:val="48"/>
    <w:uiPriority w:val="0"/>
    <w:rPr>
      <w:color w:val="BB6688"/>
    </w:rPr>
  </w:style>
  <w:style w:type="character" w:customStyle="1" w:styleId="63">
    <w:name w:val="ImportTok"/>
    <w:basedOn w:val="48"/>
    <w:qFormat/>
    <w:uiPriority w:val="0"/>
    <w:rPr>
      <w:b/>
      <w:color w:val="008000"/>
    </w:rPr>
  </w:style>
  <w:style w:type="character" w:customStyle="1" w:styleId="64">
    <w:name w:val="CommentTok"/>
    <w:basedOn w:val="48"/>
    <w:uiPriority w:val="0"/>
    <w:rPr>
      <w:i/>
      <w:color w:val="60A0B0"/>
    </w:rPr>
  </w:style>
  <w:style w:type="character" w:customStyle="1" w:styleId="65">
    <w:name w:val="DocumentationTok"/>
    <w:basedOn w:val="48"/>
    <w:qFormat/>
    <w:uiPriority w:val="0"/>
    <w:rPr>
      <w:i/>
      <w:color w:val="BA2121"/>
    </w:rPr>
  </w:style>
  <w:style w:type="character" w:customStyle="1" w:styleId="66">
    <w:name w:val="AnnotationTok"/>
    <w:basedOn w:val="48"/>
    <w:qFormat/>
    <w:uiPriority w:val="0"/>
    <w:rPr>
      <w:b/>
      <w:i/>
      <w:color w:val="60A0B0"/>
    </w:rPr>
  </w:style>
  <w:style w:type="character" w:customStyle="1" w:styleId="67">
    <w:name w:val="CommentVarTok"/>
    <w:basedOn w:val="48"/>
    <w:uiPriority w:val="0"/>
    <w:rPr>
      <w:b/>
      <w:i/>
      <w:color w:val="60A0B0"/>
    </w:rPr>
  </w:style>
  <w:style w:type="character" w:customStyle="1" w:styleId="68">
    <w:name w:val="OtherTok"/>
    <w:basedOn w:val="48"/>
    <w:qFormat/>
    <w:uiPriority w:val="0"/>
    <w:rPr>
      <w:color w:val="007020"/>
    </w:rPr>
  </w:style>
  <w:style w:type="character" w:customStyle="1" w:styleId="69">
    <w:name w:val="FunctionTok"/>
    <w:basedOn w:val="48"/>
    <w:qFormat/>
    <w:uiPriority w:val="0"/>
    <w:rPr>
      <w:color w:val="06287E"/>
    </w:rPr>
  </w:style>
  <w:style w:type="character" w:customStyle="1" w:styleId="70">
    <w:name w:val="VariableTok"/>
    <w:basedOn w:val="48"/>
    <w:uiPriority w:val="0"/>
    <w:rPr>
      <w:color w:val="19177C"/>
    </w:rPr>
  </w:style>
  <w:style w:type="character" w:customStyle="1" w:styleId="71">
    <w:name w:val="ControlFlowTok"/>
    <w:basedOn w:val="48"/>
    <w:uiPriority w:val="0"/>
    <w:rPr>
      <w:b/>
      <w:color w:val="007020"/>
    </w:rPr>
  </w:style>
  <w:style w:type="character" w:customStyle="1" w:styleId="72">
    <w:name w:val="OperatorTok"/>
    <w:basedOn w:val="48"/>
    <w:uiPriority w:val="0"/>
    <w:rPr>
      <w:color w:val="666666"/>
    </w:rPr>
  </w:style>
  <w:style w:type="character" w:customStyle="1" w:styleId="73">
    <w:name w:val="BuiltInTok"/>
    <w:basedOn w:val="48"/>
    <w:qFormat/>
    <w:uiPriority w:val="0"/>
    <w:rPr>
      <w:color w:val="008000"/>
    </w:rPr>
  </w:style>
  <w:style w:type="character" w:customStyle="1" w:styleId="74">
    <w:name w:val="ExtensionTok"/>
    <w:basedOn w:val="48"/>
    <w:qFormat/>
    <w:uiPriority w:val="0"/>
  </w:style>
  <w:style w:type="character" w:customStyle="1" w:styleId="75">
    <w:name w:val="PreprocessorTok"/>
    <w:basedOn w:val="48"/>
    <w:qFormat/>
    <w:uiPriority w:val="0"/>
    <w:rPr>
      <w:color w:val="BC7A00"/>
    </w:rPr>
  </w:style>
  <w:style w:type="character" w:customStyle="1" w:styleId="76">
    <w:name w:val="AttributeTok"/>
    <w:basedOn w:val="48"/>
    <w:qFormat/>
    <w:uiPriority w:val="0"/>
    <w:rPr>
      <w:color w:val="7D9029"/>
    </w:rPr>
  </w:style>
  <w:style w:type="character" w:customStyle="1" w:styleId="77">
    <w:name w:val="RegionMarkerTok"/>
    <w:basedOn w:val="48"/>
    <w:qFormat/>
    <w:uiPriority w:val="0"/>
  </w:style>
  <w:style w:type="character" w:customStyle="1" w:styleId="78">
    <w:name w:val="InformationTok"/>
    <w:basedOn w:val="48"/>
    <w:qFormat/>
    <w:uiPriority w:val="0"/>
    <w:rPr>
      <w:b/>
      <w:i/>
      <w:color w:val="60A0B0"/>
    </w:rPr>
  </w:style>
  <w:style w:type="character" w:customStyle="1" w:styleId="79">
    <w:name w:val="WarningTok"/>
    <w:basedOn w:val="48"/>
    <w:uiPriority w:val="0"/>
    <w:rPr>
      <w:b/>
      <w:i/>
      <w:color w:val="60A0B0"/>
    </w:rPr>
  </w:style>
  <w:style w:type="character" w:customStyle="1" w:styleId="80">
    <w:name w:val="AlertTok"/>
    <w:basedOn w:val="48"/>
    <w:uiPriority w:val="0"/>
    <w:rPr>
      <w:b/>
      <w:color w:val="FF0000"/>
    </w:rPr>
  </w:style>
  <w:style w:type="character" w:customStyle="1" w:styleId="81">
    <w:name w:val="ErrorTok"/>
    <w:basedOn w:val="48"/>
    <w:uiPriority w:val="0"/>
    <w:rPr>
      <w:b/>
      <w:color w:val="FF0000"/>
    </w:rPr>
  </w:style>
  <w:style w:type="character" w:customStyle="1" w:styleId="82">
    <w:name w:val="NormalTok"/>
    <w:basedOn w:val="48"/>
    <w:qFormat/>
    <w:uiPriority w:val="0"/>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footnotes" Target="footnotes.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11</Pages>
  <Words>5447</Words>
  <Characters>6451</Characters>
  <Lines>12</Lines>
  <Paragraphs>8</Paragraphs>
  <TotalTime>6</TotalTime>
  <ScaleCrop>false</ScaleCrop>
  <LinksUpToDate>false</LinksUpToDate>
  <CharactersWithSpaces>6563</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2026-04-08T06:15:00Z</dcterms:created>
  <dc:creator>深圳信息职业技术大学</dc:creator>
  <cp:lastModifiedBy>闫佳</cp:lastModifiedBy>
  <dcterms:modified xsi:type="dcterms:W3CDTF">2026-04-09T13:28:41Z</dcterms:modified>
  <dc:title>专精特新”小巨人”企业人才需求特征与大学生就业启示——基于深圳市2021—2024年16,501条招聘数据的实证分析</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2026年4月</vt:lpwstr>
  </property>
  <property fmtid="{D5CDD505-2E9C-101B-9397-08002B2CF9AE}" pid="3" name="KSOTemplateDocerSaveRecord">
    <vt:lpwstr>eyJoZGlkIjoiMWNhNmVlZWY2MjdhZjQ2MGI0NDRiOGQ2NzZiYTFjMTAiLCJ1c2VySWQiOiI2ODk5MDM0NTQifQ==</vt:lpwstr>
  </property>
  <property fmtid="{D5CDD505-2E9C-101B-9397-08002B2CF9AE}" pid="4" name="KSOProductBuildVer">
    <vt:lpwstr>2052-12.1.0.25225</vt:lpwstr>
  </property>
  <property fmtid="{D5CDD505-2E9C-101B-9397-08002B2CF9AE}" pid="5" name="ICV">
    <vt:lpwstr>BC0DAF89D7664A4EAB6641DAD2112F3D_12</vt:lpwstr>
  </property>
</Properties>
</file>