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51.png" ContentType="image/png"/>
  <Override PartName="/word/media/rId41.png" ContentType="image/png"/>
  <Override PartName="/word/media/rId4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基于双侧大语言模型文本挖掘的高职院校专业培养方案与区域产业需求适应性研究——以深圳信息职业技术大学与深圳专精特新”小巨人”企业群为例</w:t>
      </w:r>
    </w:p>
    <w:p>
      <w:pPr>
        <w:pStyle w:val="Author"/>
      </w:pPr>
      <w:r>
        <w:rPr>
          <w:rFonts w:hint="eastAsia"/>
        </w:rPr>
        <w:t xml:space="preserve">深圳信息职业技术大学</w:t>
      </w:r>
    </w:p>
    <w:p>
      <w:pPr>
        <w:pStyle w:val="Date"/>
      </w:pPr>
      <w:r>
        <w:rPr>
          <w:rFonts w:hint="eastAsia"/>
        </w:rPr>
        <w:t xml:space="preserve">2026年5月4日（V4）</w:t>
      </w:r>
    </w:p>
    <w:bookmarkStart w:id="9" w:name="摘要"/>
    <w:p>
      <w:pPr>
        <w:pStyle w:val="Heading1"/>
      </w:pPr>
      <w:r>
        <w:rPr>
          <w:rFonts w:hint="eastAsia"/>
        </w:rPr>
        <w:t xml:space="preserve">摘要</w:t>
      </w:r>
    </w:p>
    <w:p>
      <w:pPr>
        <w:pStyle w:val="FirstParagraph"/>
      </w:pPr>
      <w:r>
        <w:rPr>
          <w:rFonts w:hint="eastAsia"/>
        </w:rPr>
        <w:t xml:space="preserve">教育部明确要求职业教育专业人才培养方案应”适度超前于产业需求”，但学界对”适度超前”的可量化边界尚缺乏实证基准。本研究构建”招聘大数据</w:t>
      </w:r>
      <w:r>
        <w:t xml:space="preserve"> × </w:t>
      </w:r>
      <w:r>
        <w:rPr>
          <w:rFonts w:hint="eastAsia"/>
        </w:rPr>
        <w:t xml:space="preserve">人才培养方案”的双侧大语言模型（LLM）文本挖掘框架，以深圳市597家专精特新”小巨人”企业2021—2024年的16,501条招聘记录为需求侧、深圳信息职业技术大学（以下简称”该院校”）2024/2025学年54个专业（5个职业本科+49个高职专科）的人才培养方案为供给侧，使用同一套抽取流水线获得三维（数字化程度/AI相关性/技术复杂度）可对接的语义画像。研究检验五个命题（M1—M5）：（M1）专业培养方案的数字化定位呈”系统性超前”特征；（M2）需求侧Top50工具的院校覆盖率呈”高需求—低覆盖”碎片化分化；（M3）软技能维度的供需对接显著优于工具维度；（M4）AI相关性在2021—2024年企业招聘文本中未呈单调上升；（M5）</w:t>
      </w:r>
      <w:r>
        <w:rPr>
          <w:rFonts w:hint="eastAsia"/>
        </w:rPr>
        <w:t xml:space="preserve">“适度超前”</w:t>
      </w:r>
      <w:r>
        <w:rPr>
          <w:rFonts w:hint="eastAsia"/>
        </w:rPr>
        <w:t xml:space="preserve">原则的可量化窗口可定义为超前度+15至+35分。证据：需求侧四年AI相关性均值从10.3降至8.5（M4成立）；供给侧数字化均值66.8、AI相关性37.2，53.7%专业落入”显著超前”（&gt;+35）区段、29.6%落入”适度超前”（+15至+35）区段（M1+M5成立）；14项Top50高需求工具被覆盖的专业不超过5个，包括示波器、万用表、ARM、SAP、OA等需求频次合计超过750次但院校全员缺位的工具（M2成立）；软技能Top10覆盖率均值28.5%，是工具Top50覆盖率均值（3.6%）的7.9倍（M3成立）。研究的方法贡献是首次将供给-需求双侧LLM文本挖掘应用于一所院校与一座城市头部企业群的适应性测度；理论贡献是为教育部”适度超前”原则提供了基于数据的可量化窗口；实证贡献是揭示了企业AI需求”尚未起势”与院校”AI显著超前定位”之间的时间错位结构。</w:t>
      </w:r>
    </w:p>
    <w:p>
      <w:pPr>
        <w:pStyle w:val="BodyText"/>
      </w:pPr>
      <w:r>
        <w:rPr>
          <w:rFonts w:hint="eastAsia"/>
          <w:b/>
          <w:bCs/>
        </w:rPr>
        <w:t xml:space="preserve">关键词：</w:t>
      </w:r>
      <w:r>
        <w:t xml:space="preserve"> </w:t>
      </w:r>
      <w:r>
        <w:rPr>
          <w:rFonts w:hint="eastAsia"/>
        </w:rPr>
        <w:t xml:space="preserve">适度超前；专业人才培养方案；招聘大数据；大语言模型文本挖掘；专精特新；产教适应性</w:t>
      </w:r>
    </w:p>
    <w:p>
      <w:r>
        <w:pict>
          <v:rect style="width:0;height:1.5pt" o:hralign="center" o:hrstd="t" o:hr="t"/>
        </w:pict>
      </w:r>
    </w:p>
    <w:bookmarkEnd w:id="9"/>
    <w:bookmarkStart w:id="10" w:name="一引言研究问题可量化基准的缺失与时间错位假说"/>
    <w:p>
      <w:pPr>
        <w:pStyle w:val="Heading1"/>
      </w:pPr>
      <w:r>
        <w:rPr>
          <w:rFonts w:hint="eastAsia"/>
        </w:rPr>
        <w:t xml:space="preserve">一、引言：研究问题、可量化基准的缺失与时间错位假说</w:t>
      </w:r>
    </w:p>
    <w:p>
      <w:pPr>
        <w:pStyle w:val="FirstParagraph"/>
      </w:pPr>
      <w:r>
        <w:rPr>
          <w:rFonts w:hint="eastAsia"/>
        </w:rPr>
        <w:t xml:space="preserve">教育部《职业教育专业人才培养方案制订指南（试行）》明确要求”专业人才培养方案应在准确把握职业岗位（群）能力要求的基础上，适度超前体现产业升级方向”。然而，</w:t>
      </w:r>
      <w:r>
        <w:rPr>
          <w:rFonts w:hint="eastAsia"/>
        </w:rPr>
        <w:t xml:space="preserve">“适度超前”</w:t>
      </w:r>
      <w:r>
        <w:rPr>
          <w:rFonts w:hint="eastAsia"/>
        </w:rPr>
        <w:t xml:space="preserve">作为一个原则性表述至今缺乏可量化的边界——超前多少分钟、多少版本、多少能力维度才算”适度”？没有可量化的基准，</w:t>
      </w:r>
      <w:r>
        <w:rPr>
          <w:rFonts w:hint="eastAsia"/>
        </w:rPr>
        <w:t xml:space="preserve">“适度超前”</w:t>
      </w:r>
      <w:r>
        <w:rPr>
          <w:rFonts w:hint="eastAsia"/>
        </w:rPr>
        <w:t xml:space="preserve">既可能被解读为”严格对接”（导致供给滞后于产业升级），也可能被解读为”远远跑在前面”（导致培养目标脱离实际就业需求）。</w:t>
      </w:r>
    </w:p>
    <w:p>
      <w:pPr>
        <w:pStyle w:val="BodyText"/>
      </w:pPr>
      <w:r>
        <w:rPr>
          <w:rFonts w:hint="eastAsia"/>
        </w:rPr>
        <w:t xml:space="preserve">与此同时，国内主流的专业-产业匹配研究[3][4][5][6][7][8]普遍以教育部专业目录与统计年鉴的产业结构数据为基础，刻画的是”专业供给规模/结构</w:t>
      </w:r>
      <w:r>
        <w:t xml:space="preserve"> vs </w:t>
      </w:r>
      <w:r>
        <w:rPr>
          <w:rFonts w:hint="eastAsia"/>
        </w:rPr>
        <w:t xml:space="preserve">产业产值/集聚”的宏观对应；潘海生等[1]的”三层适配”框架与黄娉婷[2]的”耦合协调机制”在概念上更为精细，但其实证操作化大多停留在文献分析层面。国际范式上，Hershbein与Kahn[13]、Deming[14]、Acemoglu等[16]系统建立了用招聘文本测度技能需求结构的方法论，Eloundou等[17]、Nguyen等[18]证明了大语言模型在岗位文本任务上的能力，但</w:t>
      </w:r>
      <w:r>
        <w:rPr>
          <w:rFonts w:hint="eastAsia"/>
          <w:b/>
          <w:bCs/>
        </w:rPr>
        <w:t xml:space="preserve">直接将一所院校的全部专业培养方案与其下游用人单位群放入同一文本挖掘流水线，并据此测度”适度超前”的可量化边界</w:t>
      </w:r>
      <w:r>
        <w:rPr>
          <w:rFonts w:hint="eastAsia"/>
        </w:rPr>
        <w:t xml:space="preserve">，目前仍是研究真空。</w:t>
      </w:r>
    </w:p>
    <w:p>
      <w:pPr>
        <w:pStyle w:val="BodyText"/>
      </w:pPr>
      <w:r>
        <w:rPr>
          <w:rFonts w:hint="eastAsia"/>
        </w:rPr>
        <w:t xml:space="preserve">本研究试图同时回应上述空白：以深圳市597家专精特新”小巨人”企业2021—2024年16,501条招聘记录为需求侧、该院校2024/2025学年54个专业的人才培养方案为供给侧，使用同一套MiniMax</w:t>
      </w:r>
      <w:r>
        <w:t xml:space="preserve"> </w:t>
      </w:r>
      <w:r>
        <w:rPr>
          <w:rFonts w:hint="eastAsia"/>
        </w:rPr>
        <w:t xml:space="preserve">LLM抽取流水线，对两端获得三维（数字化程度/AI相关性/技术复杂度）可对接的语义画像。基于双侧数据，本研究提出并检验五个命题（M1—M5），其中M5首次给出”适度超前”原则的可量化工作定义。</w:t>
      </w:r>
    </w:p>
    <w:p>
      <w:pPr>
        <w:pStyle w:val="BlockText"/>
      </w:pPr>
      <w:r>
        <w:rPr>
          <w:rFonts w:hint="eastAsia"/>
          <w:b/>
          <w:bCs/>
        </w:rPr>
        <w:t xml:space="preserve">研究伦理与利益相关披露：</w:t>
      </w:r>
      <w:r>
        <w:t xml:space="preserve"> </w:t>
      </w:r>
      <w:r>
        <w:rPr>
          <w:rFonts w:hint="eastAsia"/>
        </w:rPr>
        <w:t xml:space="preserve">本研究的供给侧样本即为研究依托院校。这一安排既是机会（数据完整性）也是风险（潜在解释偏向）。我们在数据处理与命题检验中严格使用与需求侧一致的同一抽取流水线、同一规范化字典与同一基础办公套件白名单，并采用”超前度分级”框架取代”过高/过度”等贬义表述——将供需差值置于教育部”适度超前”原则下进行中性测度。</w:t>
      </w:r>
    </w:p>
    <w:bookmarkEnd w:id="10"/>
    <w:bookmarkStart w:id="15" w:name="二文献综述与五个研究命题"/>
    <w:p>
      <w:pPr>
        <w:pStyle w:val="Heading1"/>
      </w:pPr>
      <w:r>
        <w:rPr>
          <w:rFonts w:hint="eastAsia"/>
        </w:rPr>
        <w:t xml:space="preserve">二、文献综述与五个研究命题</w:t>
      </w:r>
    </w:p>
    <w:bookmarkStart w:id="11" w:name="一专业-产业匹配的省域与行业实证"/>
    <w:p>
      <w:pPr>
        <w:pStyle w:val="Heading2"/>
      </w:pPr>
      <w:r>
        <w:rPr>
          <w:rFonts w:hint="eastAsia"/>
        </w:rPr>
        <w:t xml:space="preserve">（一）专业-产业匹配的省域与行业实证</w:t>
      </w:r>
    </w:p>
    <w:p>
      <w:pPr>
        <w:pStyle w:val="FirstParagraph"/>
      </w:pPr>
      <w:r>
        <w:rPr>
          <w:rFonts w:hint="eastAsia"/>
        </w:rPr>
        <w:t xml:space="preserve">围绕”专业-产业匹配度”，国内学者已积累了较丰富的省域和行业实证。任聪敏[3]、程兆宇[4]分别以浙江、山西为例构建专业结构与产业结构适应性框架；程智宾、钟文强[5]从数字经济视角研究福建专业建设与产业匹配度；张红蕊、王冰冰[6]对生物医药行业的人才需求与院校专业设置进行匹配分析；刘夏、陈磊[7]对海南14所高职院校的实证发现专业设置匹配度失衡、聚集度偏低；武博[8]提炼出专业调整的三大依据；周璇[9]针对中小企业专精特新发展的人才培养样本提供启示。这些研究的共同特征是</w:t>
      </w:r>
      <w:r>
        <w:rPr>
          <w:rFonts w:hint="eastAsia"/>
          <w:b/>
          <w:bCs/>
        </w:rPr>
        <w:t xml:space="preserve">以宏观汇总数据为分析对象</w:t>
      </w:r>
      <w:r>
        <w:rPr>
          <w:rFonts w:hint="eastAsia"/>
        </w:rPr>
        <w:t xml:space="preserve">，难以揭示岗位与课程层面的细粒度差异，亦未能为”适度超前”这一原则性表述提供可量化基准。</w:t>
      </w:r>
    </w:p>
    <w:bookmarkEnd w:id="11"/>
    <w:bookmarkStart w:id="12" w:name="二人才适配机制的理论框架与微观证据缺口"/>
    <w:p>
      <w:pPr>
        <w:pStyle w:val="Heading2"/>
      </w:pPr>
      <w:r>
        <w:rPr>
          <w:rFonts w:hint="eastAsia"/>
        </w:rPr>
        <w:t xml:space="preserve">（二）人才适配机制的理论框架与微观证据缺口</w:t>
      </w:r>
    </w:p>
    <w:p>
      <w:pPr>
        <w:pStyle w:val="FirstParagraph"/>
      </w:pPr>
      <w:r>
        <w:rPr>
          <w:rFonts w:hint="eastAsia"/>
        </w:rPr>
        <w:t xml:space="preserve">潘海生等[1]提出”外适配—内适配—自适配”三层框架；黄娉婷[2]进一步以耦合协调机制刻画人才链与产业链互动；喻宙等[10]构建产教融合效益评价指标体系；张进、王新国[11]在新质生产力背景下研究省域产教融合路径；谭卓婧、周纳宇[12]提出双师型教师作为产教对接关键角色。这些理论框架虽精细，但其</w:t>
      </w:r>
      <w:r>
        <w:rPr>
          <w:rFonts w:hint="eastAsia"/>
          <w:b/>
          <w:bCs/>
        </w:rPr>
        <w:t xml:space="preserve">实证操作化对岗位级和课程级文本的直接测度仍然不足</w:t>
      </w:r>
      <w:r>
        <w:rPr>
          <w:rFonts w:hint="eastAsia"/>
        </w:rPr>
        <w:t xml:space="preserve">，更未明确给出”适度超前”的可证伪边界。</w:t>
      </w:r>
    </w:p>
    <w:bookmarkEnd w:id="12"/>
    <w:bookmarkStart w:id="13" w:name="三招聘大数据与llm文本挖掘的国际范式"/>
    <w:p>
      <w:pPr>
        <w:pStyle w:val="Heading2"/>
      </w:pPr>
      <w:r>
        <w:rPr>
          <w:rFonts w:hint="eastAsia"/>
        </w:rPr>
        <w:t xml:space="preserve">（三）招聘大数据与LLM文本挖掘的国际范式</w:t>
      </w:r>
    </w:p>
    <w:p>
      <w:pPr>
        <w:pStyle w:val="FirstParagraph"/>
      </w:pPr>
      <w:r>
        <w:rPr>
          <w:rFonts w:hint="eastAsia"/>
        </w:rPr>
        <w:t xml:space="preserve">Hershbein-Kahn[13]开创性地利用Burning</w:t>
      </w:r>
      <w:r>
        <w:t xml:space="preserve"> </w:t>
      </w:r>
      <w:r>
        <w:rPr>
          <w:rFonts w:hint="eastAsia"/>
        </w:rPr>
        <w:t xml:space="preserve">Glass数据库证明，技能要求在大衰退后显著上升、且差异化集中在常规化认知岗位；Deming[14]发现社会技能（social</w:t>
      </w:r>
      <w:r>
        <w:t xml:space="preserve"> </w:t>
      </w:r>
      <w:r>
        <w:rPr>
          <w:rFonts w:hint="eastAsia"/>
        </w:rPr>
        <w:t xml:space="preserve">skills）在1980—2012年的美国劳动力市场中持续上升，呈现跨岗位的普遍性；Deming-Noray[15]运用2007—2019年在线职位描述提出”技能折旧”模型；Acemoglu等[16]发现AI技能需求虽快速扩张，但AI暴露在岗位与工资层面尚未形成可观测的总量影响。Eloundou等[17]系统评估LLM在劳动力市场任务上的能力；Nguyen等[18]证明LLM在职位描述”技能抽取”任务中超越传统监督学习。这些研究为本研究的双侧文本挖掘提供了直接的方法论依据，但</w:t>
      </w:r>
      <w:r>
        <w:rPr>
          <w:rFonts w:hint="eastAsia"/>
          <w:b/>
          <w:bCs/>
        </w:rPr>
        <w:t xml:space="preserve">将LLM同时应用于供需两侧、并以”超前度”为指标进行可对接测度</w:t>
      </w:r>
      <w:r>
        <w:rPr>
          <w:rFonts w:hint="eastAsia"/>
        </w:rPr>
        <w:t xml:space="preserve">的实证仍未出现。</w:t>
      </w:r>
    </w:p>
    <w:bookmarkEnd w:id="13"/>
    <w:bookmarkStart w:id="14" w:name="四本研究的五个研究命题"/>
    <w:p>
      <w:pPr>
        <w:pStyle w:val="Heading2"/>
      </w:pPr>
      <w:r>
        <w:rPr>
          <w:rFonts w:hint="eastAsia"/>
        </w:rPr>
        <w:t xml:space="preserve">（四）本研究的五个研究命题</w:t>
      </w:r>
    </w:p>
    <w:p>
      <w:pPr>
        <w:pStyle w:val="BlockText"/>
      </w:pPr>
      <w:r>
        <w:rPr>
          <w:rFonts w:hint="eastAsia"/>
          <w:b/>
          <w:bCs/>
        </w:rPr>
        <w:t xml:space="preserve">M1（系统性超前命题）：</w:t>
      </w:r>
      <w:r>
        <w:t xml:space="preserve"> </w:t>
      </w:r>
      <w:r>
        <w:rPr>
          <w:rFonts w:hint="eastAsia"/>
        </w:rPr>
        <w:t xml:space="preserve">该院校2024/2025学年专业培养方案的三维LLM评分系统性高于需求侧2024年评分均值，且在数字化维度上呈最强超前。可证伪条件：若三维平均超前度均值小于0或正值占比低于60%，则M1被拒绝。</w:t>
      </w:r>
    </w:p>
    <w:p>
      <w:pPr>
        <w:pStyle w:val="BlockText"/>
      </w:pPr>
      <w:r>
        <w:rPr>
          <w:rFonts w:hint="eastAsia"/>
          <w:b/>
          <w:bCs/>
        </w:rPr>
        <w:t xml:space="preserve">M2（高需求—低覆盖碎片化命题）：</w:t>
      </w:r>
      <w:r>
        <w:t xml:space="preserve"> </w:t>
      </w:r>
      <w:r>
        <w:rPr>
          <w:rFonts w:hint="eastAsia"/>
        </w:rPr>
        <w:t xml:space="preserve">需求侧Top50工具中存在显著子集（≥10项），其在54专业培养方案中的覆盖率不超过10%。可证伪条件：若Top50中覆盖率≤10%的工具数&lt;5，则M2被拒绝。</w:t>
      </w:r>
    </w:p>
    <w:p>
      <w:pPr>
        <w:pStyle w:val="BlockText"/>
      </w:pPr>
      <w:r>
        <w:rPr>
          <w:rFonts w:hint="eastAsia"/>
          <w:b/>
          <w:bCs/>
        </w:rPr>
        <w:t xml:space="preserve">M3（软技能优于工具的供需对接命题）：</w:t>
      </w:r>
      <w:r>
        <w:t xml:space="preserve"> </w:t>
      </w:r>
      <w:r>
        <w:rPr>
          <w:rFonts w:hint="eastAsia"/>
        </w:rPr>
        <w:t xml:space="preserve">软技能Top10在供给侧的平均覆盖率显著高于工具Top50的平均覆盖率（比值≥3）。可证伪条件：若软技能覆盖率≤工具覆盖率，则M3被拒绝。</w:t>
      </w:r>
    </w:p>
    <w:p>
      <w:pPr>
        <w:pStyle w:val="BlockText"/>
      </w:pPr>
      <w:r>
        <w:rPr>
          <w:rFonts w:hint="eastAsia"/>
          <w:b/>
          <w:bCs/>
        </w:rPr>
        <w:t xml:space="preserve">M4（AI需求未单调上升命题）：</w:t>
      </w:r>
      <w:r>
        <w:t xml:space="preserve"> </w:t>
      </w:r>
      <w:r>
        <w:rPr>
          <w:rFonts w:hint="eastAsia"/>
        </w:rPr>
        <w:t xml:space="preserve">在2021—2024年的企业招聘文本中，AI相关性均值不呈现单调上升，且2024年值不显著高于2021年。可证伪条件：若AI相关性逐年单调上升且2024−2021差值≥+5，则M4被拒绝。</w:t>
      </w:r>
    </w:p>
    <w:p>
      <w:pPr>
        <w:pStyle w:val="BlockText"/>
      </w:pPr>
      <w:r>
        <w:rPr>
          <w:rFonts w:hint="eastAsia"/>
          <w:b/>
          <w:bCs/>
        </w:rPr>
        <w:t xml:space="preserve">M5（适度超前窗口命题）：</w:t>
      </w:r>
      <w:r>
        <w:t xml:space="preserve"> </w:t>
      </w:r>
      <w:r>
        <w:rPr>
          <w:rFonts w:hint="eastAsia"/>
        </w:rPr>
        <w:t xml:space="preserve">“适度超前”</w:t>
      </w:r>
      <w:r>
        <w:rPr>
          <w:rFonts w:hint="eastAsia"/>
        </w:rPr>
        <w:t xml:space="preserve">原则的可量化工作窗口为：超前度落在</w:t>
      </w:r>
      <w:r>
        <w:t xml:space="preserve"> [+15, </w:t>
      </w:r>
      <w:r>
        <w:rPr>
          <w:rFonts w:hint="eastAsia"/>
        </w:rPr>
        <w:t xml:space="preserve">+35]分的专业可视为合理超前；超出+35分则属”显著超前”，需要校准；低于+15分则属”对接型供给”，未必体现政策要求的超前性。可证伪条件：若三维超前度的中位数小于+15或大于+35，则该窗口可能需要调整。</w:t>
      </w:r>
    </w:p>
    <w:bookmarkEnd w:id="14"/>
    <w:bookmarkEnd w:id="15"/>
    <w:bookmarkStart w:id="20" w:name="三数据与方法"/>
    <w:p>
      <w:pPr>
        <w:pStyle w:val="Heading1"/>
      </w:pPr>
      <w:r>
        <w:rPr>
          <w:rFonts w:hint="eastAsia"/>
        </w:rPr>
        <w:t xml:space="preserve">三、数据与方法</w:t>
      </w:r>
    </w:p>
    <w:bookmarkStart w:id="16" w:name="一双侧数据"/>
    <w:p>
      <w:pPr>
        <w:pStyle w:val="Heading2"/>
      </w:pPr>
      <w:r>
        <w:rPr>
          <w:rFonts w:hint="eastAsia"/>
        </w:rPr>
        <w:t xml:space="preserve">（一）双侧数据</w:t>
      </w:r>
    </w:p>
    <w:p>
      <w:pPr>
        <w:pStyle w:val="FirstParagraph"/>
      </w:pPr>
      <w:r>
        <w:rPr>
          <w:rFonts w:hint="eastAsia"/>
          <w:b/>
          <w:bCs/>
        </w:rPr>
        <w:t xml:space="preserve">需求侧：</w:t>
      </w:r>
      <w:r>
        <w:t xml:space="preserve"> </w:t>
      </w:r>
      <w:r>
        <w:rPr>
          <w:rFonts w:hint="eastAsia"/>
        </w:rPr>
        <w:t xml:space="preserve">智联招聘数据库2021—2024年记录，过滤条件：（1）注册地为深圳市；（2）剔除人工复核标注为”未见信息”的记录。最终</w:t>
      </w:r>
      <w:r>
        <w:rPr>
          <w:rFonts w:hint="eastAsia"/>
          <w:b/>
          <w:bCs/>
        </w:rPr>
        <w:t xml:space="preserve">16,501条</w:t>
      </w:r>
      <w:r>
        <w:rPr>
          <w:rFonts w:hint="eastAsia"/>
        </w:rPr>
        <w:t xml:space="preserve">招聘记录、</w:t>
      </w:r>
      <w:r>
        <w:rPr>
          <w:rFonts w:hint="eastAsia"/>
          <w:b/>
          <w:bCs/>
        </w:rPr>
        <w:t xml:space="preserve">597家</w:t>
      </w:r>
      <w:r>
        <w:rPr>
          <w:rFonts w:hint="eastAsia"/>
        </w:rPr>
        <w:t xml:space="preserve">国家级专精特新”小巨人”企业。需要说明的是，智联招聘对蓝领和非正式就业人员覆盖不足，深圳全部约1,000家专精特新”小巨人”企业中部分企业因招聘信息未见或不完整未纳入样本。</w:t>
      </w:r>
    </w:p>
    <w:p>
      <w:pPr>
        <w:pStyle w:val="BodyText"/>
      </w:pPr>
      <w:r>
        <w:rPr>
          <w:rFonts w:hint="eastAsia"/>
          <w:b/>
          <w:bCs/>
        </w:rPr>
        <w:t xml:space="preserve">供给侧：</w:t>
      </w:r>
      <w:r>
        <w:t xml:space="preserve"> </w:t>
      </w:r>
      <w:r>
        <w:rPr>
          <w:rFonts w:hint="eastAsia"/>
        </w:rPr>
        <w:t xml:space="preserve">该院校2024/2025学年所有正式开设专业的人才培养方案docx文档共73份，按”主专业+特色班/方向班”归并为</w:t>
      </w:r>
      <w:r>
        <w:rPr>
          <w:rFonts w:hint="eastAsia"/>
          <w:b/>
          <w:bCs/>
        </w:rPr>
        <w:t xml:space="preserve">54个独立专业实例</w:t>
      </w:r>
      <w:r>
        <w:rPr>
          <w:rFonts w:hint="eastAsia"/>
        </w:rPr>
        <w:t xml:space="preserve">：5个职业本科+49个高职专科，覆盖12个二级学院。其中11个专业含特色班（如奇点班、汇信班、鸿蒙班、智创班等），4个专业仅以方向班形式开设。归并时主轨道与子轨道培养方案文本作并集纳入语义抽取。</w:t>
      </w:r>
      <w:r>
        <w:rPr>
          <w:rFonts w:hint="eastAsia"/>
          <w:b/>
          <w:bCs/>
        </w:rPr>
        <w:t xml:space="preserve">供给侧样本是2024/2025学年单年快照</w:t>
      </w:r>
      <w:r>
        <w:rPr>
          <w:rFonts w:hint="eastAsia"/>
        </w:rPr>
        <w:t xml:space="preserve">，不构成时间序列。</w:t>
      </w:r>
    </w:p>
    <w:bookmarkEnd w:id="16"/>
    <w:bookmarkStart w:id="17" w:name="二双侧使用同一llm抽取流水线"/>
    <w:p>
      <w:pPr>
        <w:pStyle w:val="Heading2"/>
      </w:pPr>
      <w:r>
        <w:rPr>
          <w:rFonts w:hint="eastAsia"/>
        </w:rPr>
        <w:t xml:space="preserve">（二）双侧使用同一LLM抽取流水线</w:t>
      </w:r>
    </w:p>
    <w:p>
      <w:pPr>
        <w:pStyle w:val="FirstParagraph"/>
      </w:pPr>
      <w:r>
        <w:rPr>
          <w:rFonts w:hint="eastAsia"/>
        </w:rPr>
        <w:t xml:space="preserve">为保证可对接性，本研究在两端使用完全一致的LLM流水线（MiniMax-M2.7-highspeed），共三项任务，prompt文本严格对齐：（1）工具/软件/平台抽取；（2）软技能抽取；（3）数字化程度/AI相关性/技术复杂度三维0—100分评分。供给侧采用”主轨道前5,000字符</w:t>
      </w:r>
      <w:r>
        <w:t xml:space="preserve"> + </w:t>
      </w:r>
      <w:r>
        <w:rPr>
          <w:rFonts w:hint="eastAsia"/>
        </w:rPr>
        <w:t xml:space="preserve">多窗口（4×5,000字符）扫描”策略：对工具初轮抽取为空的15个专业额外执行多窗口扫描后取并集。最终</w:t>
      </w:r>
      <w:r>
        <w:rPr>
          <w:rFonts w:hint="eastAsia"/>
          <w:b/>
          <w:bCs/>
        </w:rPr>
        <w:t xml:space="preserve">49/54专业</w:t>
      </w:r>
      <w:r>
        <w:rPr>
          <w:rFonts w:hint="eastAsia"/>
        </w:rPr>
        <w:t xml:space="preserve">获得非空工具列表（覆盖率91%），54/54专业获得软技能列表与三维评分。</w:t>
      </w:r>
    </w:p>
    <w:bookmarkEnd w:id="17"/>
    <w:bookmarkStart w:id="18" w:name="三双侧统一的工具同义词典与基础办公套件白名单"/>
    <w:p>
      <w:pPr>
        <w:pStyle w:val="Heading2"/>
      </w:pPr>
      <w:r>
        <w:rPr>
          <w:rFonts w:hint="eastAsia"/>
        </w:rPr>
        <w:t xml:space="preserve">（三）双侧统一的工具同义词典与基础办公套件白名单</w:t>
      </w:r>
    </w:p>
    <w:p>
      <w:pPr>
        <w:pStyle w:val="FirstParagraph"/>
      </w:pPr>
      <w:r>
        <w:rPr>
          <w:rFonts w:hint="eastAsia"/>
        </w:rPr>
        <w:t xml:space="preserve">供给侧抽取的”C语言”</w:t>
      </w:r>
      <w:r>
        <w:t xml:space="preserve">“Pro-E”</w:t>
      </w:r>
      <w:r>
        <w:rPr>
          <w:rFonts w:hint="eastAsia"/>
        </w:rPr>
        <w:t xml:space="preserve">“金蝶软件”</w:t>
      </w:r>
      <w:r>
        <w:rPr>
          <w:rFonts w:hint="eastAsia"/>
        </w:rPr>
        <w:t xml:space="preserve">“中望CAD”</w:t>
      </w:r>
      <w:r>
        <w:rPr>
          <w:rFonts w:hint="eastAsia"/>
        </w:rPr>
        <w:t xml:space="preserve">“Python语言”</w:t>
      </w:r>
      <w:r>
        <w:rPr>
          <w:rFonts w:hint="eastAsia"/>
        </w:rPr>
        <w:t xml:space="preserve">等中文教学语境变体与需求侧的英文规范名（C/C++、Pro/E、金蝶、CAD、Python）需统一规范。本研究构建了</w:t>
      </w:r>
      <w:r>
        <w:rPr>
          <w:rFonts w:hint="eastAsia"/>
          <w:b/>
          <w:bCs/>
        </w:rPr>
        <w:t xml:space="preserve">200+条规则的双侧统一同义词典</w:t>
      </w:r>
      <w:r>
        <w:rPr>
          <w:rFonts w:hint="eastAsia"/>
        </w:rPr>
        <w:t xml:space="preserve">（覆盖CAD/AutoCAD、C语言族、HTML5/HTML、SolidWorks中外品牌、金蝶/用友各种产品线、AI框架等），同时建立”基础办公套件白名单”（Excel、Word、PowerPoint、Office、WPS）从匹配指标与缺口分析中剔除——这些工具在招聘描述中常见但院校通常不作为专业课程，纳入会导致虚假缺口。</w:t>
      </w:r>
    </w:p>
    <w:bookmarkEnd w:id="18"/>
    <w:bookmarkStart w:id="19" w:name="四超前度指标定义"/>
    <w:p>
      <w:pPr>
        <w:pStyle w:val="Heading2"/>
      </w:pPr>
      <w:r>
        <w:rPr>
          <w:rFonts w:hint="eastAsia"/>
        </w:rPr>
        <w:t xml:space="preserve">（四）</w:t>
      </w:r>
      <w:r>
        <w:rPr>
          <w:rFonts w:hint="eastAsia"/>
        </w:rPr>
        <w:t xml:space="preserve">“超前度”</w:t>
      </w:r>
      <w:r>
        <w:rPr>
          <w:rFonts w:hint="eastAsia"/>
        </w:rPr>
        <w:t xml:space="preserve">指标定义</w:t>
      </w:r>
    </w:p>
    <w:p>
      <w:pPr>
        <w:pStyle w:val="FirstParagraph"/>
      </w:pPr>
      <w:r>
        <w:rPr>
          <w:rFonts w:hint="eastAsia"/>
        </w:rPr>
        <w:t xml:space="preserve">为每个专业</w:t>
      </w:r>
      <w:r>
        <w:t xml:space="preserve"> m </w:t>
      </w:r>
      <w:r>
        <w:rPr>
          <w:rFonts w:hint="eastAsia"/>
        </w:rPr>
        <w:t xml:space="preserve">与维度</w:t>
      </w:r>
      <w:r>
        <w:t xml:space="preserve"> d </w:t>
      </w:r>
      <w:r>
        <w:rPr>
          <w:rFonts w:hint="eastAsia"/>
        </w:rPr>
        <w:t xml:space="preserve">计算：</w:t>
      </w:r>
    </w:p>
    <w:p>
      <w:pPr>
        <w:pStyle w:val="BodyText"/>
      </w:pPr>
      <m:oMathPara>
        <m:oMathParaPr>
          <m:jc m:val="center"/>
        </m:oMathParaPr>
        <m:oMath>
          <m:r>
            <m:rPr>
              <m:nor/>
              <m:sty m:val="p"/>
            </m:rPr>
            <m:t>超前度</m:t>
          </m:r>
          <m:r>
            <m:rPr>
              <m:sty m:val="p"/>
            </m:rPr>
            <m:t>(</m:t>
          </m:r>
          <m:r>
            <m:t>m</m:t>
          </m:r>
          <m:r>
            <m:rPr>
              <m:sty m:val="p"/>
            </m:rPr>
            <m:t>,</m:t>
          </m:r>
          <m:r>
            <m:t>d</m:t>
          </m:r>
          <m:r>
            <m:rPr>
              <m:sty m:val="p"/>
            </m:rPr>
            <m:t>)</m:t>
          </m:r>
          <m:r>
            <m:rPr>
              <m:sty m:val="p"/>
            </m:rPr>
            <m:t>=</m:t>
          </m:r>
          <m:r>
            <m:rPr>
              <m:nor/>
              <m:sty m:val="p"/>
            </m:rPr>
            <m:t>供给评分</m:t>
          </m:r>
          <m:r>
            <m:rPr>
              <m:sty m:val="p"/>
            </m:rPr>
            <m:t>(</m:t>
          </m:r>
          <m:r>
            <m:t>m</m:t>
          </m:r>
          <m:r>
            <m:rPr>
              <m:sty m:val="p"/>
            </m:rPr>
            <m:t>,</m:t>
          </m:r>
          <m:r>
            <m:t>d</m:t>
          </m:r>
          <m:r>
            <m:rPr>
              <m:sty m:val="p"/>
            </m:rPr>
            <m:t>)</m:t>
          </m:r>
          <m:r>
            <m:rPr>
              <m:sty m:val="p"/>
            </m:rPr>
            <m:t>−</m:t>
          </m:r>
          <m:r>
            <m:rPr>
              <m:nor/>
              <m:sty m:val="p"/>
            </m:rPr>
            <m:t>2024需求均值</m:t>
          </m:r>
          <m:r>
            <m:rPr>
              <m:sty m:val="p"/>
            </m:rPr>
            <m:t>(</m:t>
          </m:r>
          <m:r>
            <m:t>d</m:t>
          </m:r>
          <m:r>
            <m:rPr>
              <m:sty m:val="p"/>
            </m:rPr>
            <m:t>)</m:t>
          </m:r>
        </m:oMath>
      </m:oMathPara>
    </w:p>
    <w:p>
      <w:pPr>
        <w:pStyle w:val="FirstParagraph"/>
      </w:pPr>
      <w:r>
        <w:rPr>
          <w:rFonts w:hint="eastAsia"/>
        </w:rPr>
        <w:t xml:space="preserve">其中2024需求均值取自需求侧2024年子样本。三个分级带为：滞后</w:t>
      </w:r>
      <w:r>
        <w:t xml:space="preserve"> [-∞, </w:t>
      </w:r>
      <w:r>
        <w:rPr>
          <w:rFonts w:hint="eastAsia"/>
        </w:rPr>
        <w:t xml:space="preserve">0)、同步</w:t>
      </w:r>
      <w:r>
        <w:t xml:space="preserve"> [0, +15)、</w:t>
      </w:r>
      <w:r>
        <w:rPr>
          <w:rFonts w:hint="eastAsia"/>
          <w:b/>
          <w:bCs/>
        </w:rPr>
        <w:t xml:space="preserve">适度超前</w:t>
      </w:r>
      <w:r>
        <w:rPr>
          <w:b/>
          <w:bCs/>
        </w:rPr>
        <w:t xml:space="preserve"> [+15, </w:t>
      </w:r>
      <w:r>
        <w:rPr>
          <w:rFonts w:hint="eastAsia"/>
          <w:b/>
          <w:bCs/>
        </w:rPr>
        <w:t xml:space="preserve">+35]、显著超前</w:t>
      </w:r>
      <w:r>
        <w:rPr>
          <w:b/>
          <w:bCs/>
        </w:rPr>
        <w:t xml:space="preserve"> (+35, +∞)</w:t>
      </w:r>
      <w:r>
        <w:t xml:space="preserve">。</w:t>
      </w:r>
      <w:r>
        <w:rPr>
          <w:rFonts w:hint="eastAsia"/>
        </w:rPr>
        <w:t xml:space="preserve">“适度超前”</w:t>
      </w:r>
      <w:r>
        <w:rPr>
          <w:rFonts w:hint="eastAsia"/>
        </w:rPr>
        <w:t xml:space="preserve">窗口的工作定义考虑两点：（1）+15分约为需求侧三维评分的标准差量级（≈10—15），代表”统计上可识别的超前”；（2）+35分约为需求侧均值的100%（即超前一倍），代表”已脱离当下需求”的边界。</w:t>
      </w:r>
    </w:p>
    <w:bookmarkEnd w:id="19"/>
    <w:bookmarkEnd w:id="20"/>
    <w:bookmarkStart w:id="33" w:name="四需求侧20212024年逐年发现"/>
    <w:p>
      <w:pPr>
        <w:pStyle w:val="Heading1"/>
      </w:pPr>
      <w:r>
        <w:rPr>
          <w:rFonts w:hint="eastAsia"/>
        </w:rPr>
        <w:t xml:space="preserve">四、需求侧2021—2024年逐年发现</w:t>
      </w:r>
    </w:p>
    <w:bookmarkStart w:id="24" w:name="一数字化三维评分均值的逐年趋势"/>
    <w:p>
      <w:pPr>
        <w:pStyle w:val="Heading2"/>
      </w:pPr>
      <w:r>
        <w:rPr>
          <w:rFonts w:hint="eastAsia"/>
        </w:rPr>
        <w:t xml:space="preserve">（一）数字化三维评分均值的逐年趋势</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年份</w:t>
            </w:r>
          </w:p>
        </w:tc>
        <w:tc>
          <w:tcPr/>
          <w:p>
            <w:pPr>
              <w:pStyle w:val="Compact"/>
            </w:pPr>
            <w:r>
              <w:rPr>
                <w:rFonts w:hint="eastAsia"/>
              </w:rPr>
              <w:t xml:space="preserve">样本数</w:t>
            </w:r>
          </w:p>
        </w:tc>
        <w:tc>
          <w:tcPr/>
          <w:p>
            <w:pPr>
              <w:pStyle w:val="Compact"/>
            </w:pPr>
            <w:r>
              <w:rPr>
                <w:rFonts w:hint="eastAsia"/>
              </w:rPr>
              <w:t xml:space="preserve">数字化程度</w:t>
            </w:r>
          </w:p>
        </w:tc>
        <w:tc>
          <w:tcPr/>
          <w:p>
            <w:pPr>
              <w:pStyle w:val="Compact"/>
            </w:pPr>
            <w:r>
              <w:rPr>
                <w:rFonts w:hint="eastAsia"/>
              </w:rPr>
              <w:t xml:space="preserve">AI相关性</w:t>
            </w:r>
          </w:p>
        </w:tc>
        <w:tc>
          <w:tcPr/>
          <w:p>
            <w:pPr>
              <w:pStyle w:val="Compact"/>
            </w:pPr>
            <w:r>
              <w:rPr>
                <w:rFonts w:hint="eastAsia"/>
              </w:rPr>
              <w:t xml:space="preserve">技术复杂度</w:t>
            </w:r>
          </w:p>
        </w:tc>
      </w:tr>
      <w:tr>
        <w:tc>
          <w:tcPr/>
          <w:p>
            <w:pPr>
              <w:pStyle w:val="Compact"/>
            </w:pPr>
            <w:r>
              <w:t xml:space="preserve">2021</w:t>
            </w:r>
          </w:p>
        </w:tc>
        <w:tc>
          <w:tcPr/>
          <w:p>
            <w:pPr>
              <w:pStyle w:val="Compact"/>
            </w:pPr>
            <w:r>
              <w:t xml:space="preserve">2,815</w:t>
            </w:r>
          </w:p>
        </w:tc>
        <w:tc>
          <w:tcPr/>
          <w:p>
            <w:pPr>
              <w:pStyle w:val="Compact"/>
            </w:pPr>
            <w:r>
              <w:t xml:space="preserve">39.33</w:t>
            </w:r>
          </w:p>
        </w:tc>
        <w:tc>
          <w:tcPr/>
          <w:p>
            <w:pPr>
              <w:pStyle w:val="Compact"/>
            </w:pPr>
            <w:r>
              <w:t xml:space="preserve">10.26</w:t>
            </w:r>
          </w:p>
        </w:tc>
        <w:tc>
          <w:tcPr/>
          <w:p>
            <w:pPr>
              <w:pStyle w:val="Compact"/>
            </w:pPr>
            <w:r>
              <w:t xml:space="preserve">39.61</w:t>
            </w:r>
          </w:p>
        </w:tc>
      </w:tr>
      <w:tr>
        <w:tc>
          <w:tcPr/>
          <w:p>
            <w:pPr>
              <w:pStyle w:val="Compact"/>
            </w:pPr>
            <w:r>
              <w:t xml:space="preserve">2022</w:t>
            </w:r>
          </w:p>
        </w:tc>
        <w:tc>
          <w:tcPr/>
          <w:p>
            <w:pPr>
              <w:pStyle w:val="Compact"/>
            </w:pPr>
            <w:r>
              <w:t xml:space="preserve">5,399</w:t>
            </w:r>
          </w:p>
        </w:tc>
        <w:tc>
          <w:tcPr/>
          <w:p>
            <w:pPr>
              <w:pStyle w:val="Compact"/>
            </w:pPr>
            <w:r>
              <w:t xml:space="preserve">35.36</w:t>
            </w:r>
          </w:p>
        </w:tc>
        <w:tc>
          <w:tcPr/>
          <w:p>
            <w:pPr>
              <w:pStyle w:val="Compact"/>
            </w:pPr>
            <w:r>
              <w:t xml:space="preserve">8.28</w:t>
            </w:r>
          </w:p>
        </w:tc>
        <w:tc>
          <w:tcPr/>
          <w:p>
            <w:pPr>
              <w:pStyle w:val="Compact"/>
            </w:pPr>
            <w:r>
              <w:t xml:space="preserve">36.93</w:t>
            </w:r>
          </w:p>
        </w:tc>
      </w:tr>
      <w:tr>
        <w:tc>
          <w:tcPr/>
          <w:p>
            <w:pPr>
              <w:pStyle w:val="Compact"/>
            </w:pPr>
            <w:r>
              <w:t xml:space="preserve">2023</w:t>
            </w:r>
          </w:p>
        </w:tc>
        <w:tc>
          <w:tcPr/>
          <w:p>
            <w:pPr>
              <w:pStyle w:val="Compact"/>
            </w:pPr>
            <w:r>
              <w:t xml:space="preserve">3,129</w:t>
            </w:r>
          </w:p>
        </w:tc>
        <w:tc>
          <w:tcPr/>
          <w:p>
            <w:pPr>
              <w:pStyle w:val="Compact"/>
            </w:pPr>
            <w:r>
              <w:t xml:space="preserve">35.84</w:t>
            </w:r>
          </w:p>
        </w:tc>
        <w:tc>
          <w:tcPr/>
          <w:p>
            <w:pPr>
              <w:pStyle w:val="Compact"/>
            </w:pPr>
            <w:r>
              <w:t xml:space="preserve">8.31</w:t>
            </w:r>
          </w:p>
        </w:tc>
        <w:tc>
          <w:tcPr/>
          <w:p>
            <w:pPr>
              <w:pStyle w:val="Compact"/>
            </w:pPr>
            <w:r>
              <w:t xml:space="preserve">37.21</w:t>
            </w:r>
          </w:p>
        </w:tc>
      </w:tr>
      <w:tr>
        <w:tc>
          <w:tcPr/>
          <w:p>
            <w:pPr>
              <w:pStyle w:val="Compact"/>
            </w:pPr>
            <w:r>
              <w:t xml:space="preserve">2024</w:t>
            </w:r>
          </w:p>
        </w:tc>
        <w:tc>
          <w:tcPr/>
          <w:p>
            <w:pPr>
              <w:pStyle w:val="Compact"/>
            </w:pPr>
            <w:r>
              <w:t xml:space="preserve">5,158</w:t>
            </w:r>
          </w:p>
        </w:tc>
        <w:tc>
          <w:tcPr/>
          <w:p>
            <w:pPr>
              <w:pStyle w:val="Compact"/>
            </w:pPr>
            <w:r>
              <w:t xml:space="preserve">34.32</w:t>
            </w:r>
          </w:p>
        </w:tc>
        <w:tc>
          <w:tcPr/>
          <w:p>
            <w:pPr>
              <w:pStyle w:val="Compact"/>
            </w:pPr>
            <w:r>
              <w:t xml:space="preserve">8.45</w:t>
            </w:r>
          </w:p>
        </w:tc>
        <w:tc>
          <w:tcPr/>
          <w:p>
            <w:pPr>
              <w:pStyle w:val="Compact"/>
            </w:pPr>
            <w:r>
              <w:t xml:space="preserve">36.37</w:t>
            </w:r>
          </w:p>
        </w:tc>
      </w:tr>
      <w:tr>
        <w:tc>
          <w:tcPr/>
          <w:p>
            <w:pPr>
              <w:pStyle w:val="Compact"/>
            </w:pPr>
            <w:r>
              <w:rPr>
                <w:b/>
                <w:bCs/>
              </w:rPr>
              <w:t xml:space="preserve">2024−2021</w:t>
            </w:r>
          </w:p>
        </w:tc>
        <w:tc>
          <w:tcPr/>
          <w:p>
            <w:pPr>
              <w:pStyle w:val="Compact"/>
            </w:pPr>
            <w:r>
              <w:t xml:space="preserve">—</w:t>
            </w:r>
          </w:p>
        </w:tc>
        <w:tc>
          <w:tcPr/>
          <w:p>
            <w:pPr>
              <w:pStyle w:val="Compact"/>
            </w:pPr>
            <w:r>
              <w:rPr>
                <w:b/>
                <w:bCs/>
              </w:rPr>
              <w:t xml:space="preserve">−5.01</w:t>
            </w:r>
          </w:p>
        </w:tc>
        <w:tc>
          <w:tcPr/>
          <w:p>
            <w:pPr>
              <w:pStyle w:val="Compact"/>
            </w:pPr>
            <w:r>
              <w:rPr>
                <w:b/>
                <w:bCs/>
              </w:rPr>
              <w:t xml:space="preserve">−1.81</w:t>
            </w:r>
          </w:p>
        </w:tc>
        <w:tc>
          <w:tcPr/>
          <w:p>
            <w:pPr>
              <w:pStyle w:val="Compact"/>
            </w:pPr>
            <w:r>
              <w:rPr>
                <w:b/>
                <w:bCs/>
              </w:rPr>
              <w:t xml:space="preserve">−3.24</w:t>
            </w:r>
          </w:p>
        </w:tc>
      </w:tr>
    </w:tbl>
    <w:p>
      <w:pPr>
        <w:pStyle w:val="BodyText"/>
      </w:pPr>
      <w:r>
        <w:rPr>
          <w:rFonts w:hint="eastAsia"/>
        </w:rPr>
        <w:t xml:space="preserve">三个维度均呈”2021高—2022—2024稳定持平”的态势：数字化程度从2021年的39.3降至2024年的34.3，AI相关性从10.3降至8.5，技术复杂度从39.6降至36.4。</w:t>
      </w:r>
      <w:r>
        <w:rPr>
          <w:rFonts w:hint="eastAsia"/>
          <w:b/>
          <w:bCs/>
        </w:rPr>
        <w:t xml:space="preserve">M4（AI需求未单调上升命题）完全成立</w:t>
      </w:r>
      <w:r>
        <w:rPr>
          <w:rFonts w:hint="eastAsia"/>
        </w:rPr>
        <w:t xml:space="preserve">——在专精特新”小巨人”企业的招聘文本中，AI相关性不仅未呈现单调上升，反而在2022年从10.3跌至8.3后维持横盘。这一发现需谨慎解读：它</w:t>
      </w:r>
      <w:r>
        <w:rPr>
          <w:rFonts w:hint="eastAsia"/>
          <w:b/>
          <w:bCs/>
        </w:rPr>
        <w:t xml:space="preserve">不</w:t>
      </w:r>
      <w:r>
        <w:rPr>
          <w:rFonts w:hint="eastAsia"/>
        </w:rPr>
        <w:t xml:space="preserve">意味着深圳产业的AI技术应用没有进步，更可能反映的是”AI能力被嵌入到工具里（如数控机床的智能调度、ERP的智能补单）而不再以独立技能要求出现在招聘描述中”。但无论解读如何，</w:t>
      </w:r>
      <w:r>
        <w:rPr>
          <w:rFonts w:hint="eastAsia"/>
          <w:b/>
          <w:bCs/>
        </w:rPr>
        <w:t xml:space="preserve">在企业招聘的文本表面层面，AI不是2021—2024年的需求增长引擎</w:t>
      </w:r>
      <w:r>
        <w:t xml:space="preserve">。</w:t>
      </w:r>
    </w:p>
    <w:p>
      <w:pPr>
        <w:pStyle w:val="CaptionedFigure"/>
      </w:pPr>
      <w:r>
        <w:drawing>
          <wp:inline>
            <wp:extent cx="5334000" cy="1575493"/>
            <wp:effectExtent b="0" l="0" r="0" t="0"/>
            <wp:docPr descr="图1 需求侧三维数字化指标逐年趋势（2021—2024）" title="" id="22" name="Picture"/>
            <a:graphic>
              <a:graphicData uri="http://schemas.openxmlformats.org/drawingml/2006/picture">
                <pic:pic>
                  <pic:nvPicPr>
                    <pic:cNvPr descr="Figures/journal/v4/fig_v4_a01_digi_trend.png" id="23" name="Picture"/>
                    <pic:cNvPicPr>
                      <a:picLocks noChangeArrowheads="1" noChangeAspect="1"/>
                    </pic:cNvPicPr>
                  </pic:nvPicPr>
                  <pic:blipFill>
                    <a:blip r:embed="rId21"/>
                    <a:stretch>
                      <a:fillRect/>
                    </a:stretch>
                  </pic:blipFill>
                  <pic:spPr bwMode="auto">
                    <a:xfrm>
                      <a:off x="0" y="0"/>
                      <a:ext cx="5334000" cy="1575493"/>
                    </a:xfrm>
                    <a:prstGeom prst="rect">
                      <a:avLst/>
                    </a:prstGeom>
                    <a:noFill/>
                    <a:ln w="9525">
                      <a:noFill/>
                      <a:headEnd/>
                      <a:tailEnd/>
                    </a:ln>
                  </pic:spPr>
                </pic:pic>
              </a:graphicData>
            </a:graphic>
          </wp:inline>
        </w:drawing>
      </w:r>
    </w:p>
    <w:p>
      <w:pPr>
        <w:pStyle w:val="ImageCaption"/>
      </w:pPr>
      <w:r>
        <w:rPr>
          <w:rFonts w:hint="eastAsia"/>
        </w:rPr>
        <w:t xml:space="preserve">图1</w:t>
      </w:r>
      <w:r>
        <w:t xml:space="preserve"> </w:t>
      </w:r>
      <w:r>
        <w:rPr>
          <w:rFonts w:hint="eastAsia"/>
        </w:rPr>
        <w:t xml:space="preserve">需求侧三维数字化指标逐年趋势（2021—2024）</w:t>
      </w:r>
    </w:p>
    <w:bookmarkEnd w:id="24"/>
    <w:bookmarkStart w:id="28" w:name="二各岗位类别的数字化梯度按年份"/>
    <w:p>
      <w:pPr>
        <w:pStyle w:val="Heading2"/>
      </w:pPr>
      <w:r>
        <w:rPr>
          <w:rFonts w:hint="eastAsia"/>
        </w:rPr>
        <w:t xml:space="preserve">（二）各岗位类别的数字化梯度（按年份）</w:t>
      </w:r>
    </w:p>
    <w:p>
      <w:pPr>
        <w:pStyle w:val="FirstParagraph"/>
      </w:pPr>
      <w:r>
        <w:rPr>
          <w:rFonts w:hint="eastAsia"/>
        </w:rPr>
        <w:t xml:space="preserve">按”招聘发布年份</w:t>
      </w:r>
      <w:r>
        <w:t xml:space="preserve"> × </w:t>
      </w:r>
      <w:r>
        <w:rPr>
          <w:rFonts w:hint="eastAsia"/>
        </w:rPr>
        <w:t xml:space="preserve">岗位类别”分组的数字化均值显示，</w:t>
      </w:r>
      <w:r>
        <w:rPr>
          <w:rFonts w:hint="eastAsia"/>
          <w:b/>
          <w:bCs/>
        </w:rPr>
        <w:t xml:space="preserve">信息技术类岗位</w:t>
      </w:r>
      <w:r>
        <w:rPr>
          <w:rFonts w:hint="eastAsia"/>
        </w:rPr>
        <w:t xml:space="preserve">始终居于最高位（约65—72分），</w:t>
      </w:r>
      <w:r>
        <w:rPr>
          <w:rFonts w:hint="eastAsia"/>
          <w:b/>
          <w:bCs/>
        </w:rPr>
        <w:t xml:space="preserve">研发技术类</w:t>
      </w:r>
      <w:r>
        <w:rPr>
          <w:rFonts w:hint="eastAsia"/>
        </w:rPr>
        <w:t xml:space="preserve">次之（约44—47），</w:t>
      </w:r>
      <w:r>
        <w:rPr>
          <w:rFonts w:hint="eastAsia"/>
          <w:b/>
          <w:bCs/>
        </w:rPr>
        <w:t xml:space="preserve">生产制造类、销售市场类、行政人力类</w:t>
      </w:r>
      <w:r>
        <w:rPr>
          <w:rFonts w:hint="eastAsia"/>
        </w:rPr>
        <w:t xml:space="preserve">则长期处于较低水平（10—28分）。整体梯度结构在四年内保持稳定。</w:t>
      </w:r>
    </w:p>
    <w:p>
      <w:pPr>
        <w:pStyle w:val="CaptionedFigure"/>
      </w:pPr>
      <w:r>
        <w:drawing>
          <wp:inline>
            <wp:extent cx="5334000" cy="3393666"/>
            <wp:effectExtent b="0" l="0" r="0" t="0"/>
            <wp:docPr descr="图2 各岗位类别数字化程度均值（按年份）" title="" id="26" name="Picture"/>
            <a:graphic>
              <a:graphicData uri="http://schemas.openxmlformats.org/drawingml/2006/picture">
                <pic:pic>
                  <pic:nvPicPr>
                    <pic:cNvPr descr="Figures/journal/v4/fig_v4_a02_digi_by_category_year.png" id="27" name="Picture"/>
                    <pic:cNvPicPr>
                      <a:picLocks noChangeArrowheads="1" noChangeAspect="1"/>
                    </pic:cNvPicPr>
                  </pic:nvPicPr>
                  <pic:blipFill>
                    <a:blip r:embed="rId25"/>
                    <a:stretch>
                      <a:fillRect/>
                    </a:stretch>
                  </pic:blipFill>
                  <pic:spPr bwMode="auto">
                    <a:xfrm>
                      <a:off x="0" y="0"/>
                      <a:ext cx="5334000" cy="3393666"/>
                    </a:xfrm>
                    <a:prstGeom prst="rect">
                      <a:avLst/>
                    </a:prstGeom>
                    <a:noFill/>
                    <a:ln w="9525">
                      <a:noFill/>
                      <a:headEnd/>
                      <a:tailEnd/>
                    </a:ln>
                  </pic:spPr>
                </pic:pic>
              </a:graphicData>
            </a:graphic>
          </wp:inline>
        </w:drawing>
      </w:r>
    </w:p>
    <w:p>
      <w:pPr>
        <w:pStyle w:val="ImageCaption"/>
      </w:pPr>
      <w:r>
        <w:rPr>
          <w:rFonts w:hint="eastAsia"/>
        </w:rPr>
        <w:t xml:space="preserve">图2</w:t>
      </w:r>
      <w:r>
        <w:t xml:space="preserve"> </w:t>
      </w:r>
      <w:r>
        <w:rPr>
          <w:rFonts w:hint="eastAsia"/>
        </w:rPr>
        <w:t xml:space="preserve">各岗位类别数字化程度均值（按年份）</w:t>
      </w:r>
    </w:p>
    <w:bookmarkEnd w:id="28"/>
    <w:bookmarkStart w:id="32" w:name="三年度top工具频次剔除office基础套件后"/>
    <w:p>
      <w:pPr>
        <w:pStyle w:val="Heading2"/>
      </w:pPr>
      <w:r>
        <w:rPr>
          <w:rFonts w:hint="eastAsia"/>
        </w:rPr>
        <w:t xml:space="preserve">（三）年度Top工具频次（剔除Office基础套件后）</w:t>
      </w:r>
    </w:p>
    <w:p>
      <w:pPr>
        <w:pStyle w:val="FirstParagraph"/>
      </w:pPr>
      <w:r>
        <w:rPr>
          <w:rFonts w:hint="eastAsia"/>
        </w:rPr>
        <w:t xml:space="preserve">历年Top5工具高度稳定：CAD、Excel、ERP、Office、Linux、Word、SolidWorks构成稳定核心；2024年首次出现C/C++进入Top3（140次，需求增加最快）；</w:t>
      </w:r>
      <w:r>
        <w:rPr>
          <w:rFonts w:hint="eastAsia"/>
          <w:b/>
          <w:bCs/>
        </w:rPr>
        <w:t xml:space="preserve">TensorFlow、PyTorch、Keras等AI/ML框架在四年Top10中均未出现</w:t>
      </w:r>
      <w:r>
        <w:t xml:space="preserve">。</w:t>
      </w:r>
    </w:p>
    <w:p>
      <w:pPr>
        <w:pStyle w:val="CaptionedFigure"/>
      </w:pPr>
      <w:r>
        <w:drawing>
          <wp:inline>
            <wp:extent cx="5334000" cy="3365839"/>
            <wp:effectExtent b="0" l="0" r="0" t="0"/>
            <wp:docPr descr="图3 需求侧Top12工具的年度频次（2021—2024）" title="" id="30" name="Picture"/>
            <a:graphic>
              <a:graphicData uri="http://schemas.openxmlformats.org/drawingml/2006/picture">
                <pic:pic>
                  <pic:nvPicPr>
                    <pic:cNvPr descr="Figures/journal/v4/fig_v4_a03_top_tools_yearly.png" id="31" name="Picture"/>
                    <pic:cNvPicPr>
                      <a:picLocks noChangeArrowheads="1" noChangeAspect="1"/>
                    </pic:cNvPicPr>
                  </pic:nvPicPr>
                  <pic:blipFill>
                    <a:blip r:embed="rId29"/>
                    <a:stretch>
                      <a:fillRect/>
                    </a:stretch>
                  </pic:blipFill>
                  <pic:spPr bwMode="auto">
                    <a:xfrm>
                      <a:off x="0" y="0"/>
                      <a:ext cx="5334000" cy="3365839"/>
                    </a:xfrm>
                    <a:prstGeom prst="rect">
                      <a:avLst/>
                    </a:prstGeom>
                    <a:noFill/>
                    <a:ln w="9525">
                      <a:noFill/>
                      <a:headEnd/>
                      <a:tailEnd/>
                    </a:ln>
                  </pic:spPr>
                </pic:pic>
              </a:graphicData>
            </a:graphic>
          </wp:inline>
        </w:drawing>
      </w:r>
    </w:p>
    <w:p>
      <w:pPr>
        <w:pStyle w:val="ImageCaption"/>
      </w:pPr>
      <w:r>
        <w:rPr>
          <w:rFonts w:hint="eastAsia"/>
        </w:rPr>
        <w:t xml:space="preserve">图3</w:t>
      </w:r>
      <w:r>
        <w:t xml:space="preserve"> </w:t>
      </w:r>
      <w:r>
        <w:rPr>
          <w:rFonts w:hint="eastAsia"/>
        </w:rPr>
        <w:t xml:space="preserve">需求侧Top12工具的年度频次（2021—2024）</w:t>
      </w:r>
    </w:p>
    <w:bookmarkEnd w:id="32"/>
    <w:bookmarkEnd w:id="33"/>
    <w:bookmarkStart w:id="36" w:name="五供给侧20242025学年画像"/>
    <w:p>
      <w:pPr>
        <w:pStyle w:val="Heading1"/>
      </w:pPr>
      <w:r>
        <w:rPr>
          <w:rFonts w:hint="eastAsia"/>
        </w:rPr>
        <w:t xml:space="preserve">五、供给侧2024/2025学年画像</w:t>
      </w:r>
    </w:p>
    <w:bookmarkStart w:id="34" w:name="一整体特征"/>
    <w:p>
      <w:pPr>
        <w:pStyle w:val="Heading2"/>
      </w:pPr>
      <w:r>
        <w:rPr>
          <w:rFonts w:hint="eastAsia"/>
        </w:rPr>
        <w:t xml:space="preserve">（一）整体特征</w:t>
      </w:r>
    </w:p>
    <w:p>
      <w:pPr>
        <w:pStyle w:val="FirstParagraph"/>
      </w:pPr>
      <w:r>
        <w:rPr>
          <w:rFonts w:hint="eastAsia"/>
        </w:rPr>
        <w:t xml:space="preserve">54个专业平均聚合培养方案文本8.3万字符，含子轨道（特色班/方向班）专业15个。LLM抽取后：</w:t>
      </w:r>
      <w:r>
        <w:rPr>
          <w:rFonts w:hint="eastAsia"/>
          <w:b/>
          <w:bCs/>
        </w:rPr>
        <w:t xml:space="preserve">49/54专业获得非空工具列表</w:t>
      </w:r>
      <w:r>
        <w:rPr>
          <w:rFonts w:hint="eastAsia"/>
        </w:rPr>
        <w:t xml:space="preserve">（5个仍空：关务与外贸服务、金融服务与管理、体育艺术表演、环境监测技术、智能互联网络技术——多窗口扫描确认其培养方案文本中确实较少出现具体工具名称）；54/54专业获得软技能列表与三维评分。</w:t>
      </w:r>
    </w:p>
    <w:p>
      <w:pPr>
        <w:pStyle w:val="BodyText"/>
      </w:pPr>
      <w:r>
        <w:rPr>
          <w:rFonts w:hint="eastAsia"/>
        </w:rPr>
        <w:t xml:space="preserve">供给侧三维评分整体水平：</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维度</w:t>
            </w:r>
          </w:p>
        </w:tc>
        <w:tc>
          <w:tcPr/>
          <w:p>
            <w:pPr>
              <w:pStyle w:val="Compact"/>
            </w:pPr>
            <w:r>
              <w:rPr>
                <w:rFonts w:hint="eastAsia"/>
              </w:rPr>
              <w:t xml:space="preserve">均值</w:t>
            </w:r>
          </w:p>
        </w:tc>
        <w:tc>
          <w:tcPr/>
          <w:p>
            <w:pPr>
              <w:pStyle w:val="Compact"/>
            </w:pPr>
            <w:r>
              <w:rPr>
                <w:rFonts w:hint="eastAsia"/>
              </w:rPr>
              <w:t xml:space="preserve">中位</w:t>
            </w:r>
          </w:p>
        </w:tc>
        <w:tc>
          <w:tcPr/>
          <w:p>
            <w:pPr>
              <w:pStyle w:val="Compact"/>
            </w:pPr>
            <w:r>
              <w:rPr>
                <w:rFonts w:hint="eastAsia"/>
              </w:rPr>
              <w:t xml:space="preserve">2024需求均值</w:t>
            </w:r>
          </w:p>
        </w:tc>
        <w:tc>
          <w:tcPr/>
          <w:p>
            <w:pPr>
              <w:pStyle w:val="Compact"/>
            </w:pPr>
            <w:r>
              <w:rPr>
                <w:rFonts w:hint="eastAsia"/>
              </w:rPr>
              <w:t xml:space="preserve">绝对差</w:t>
            </w:r>
          </w:p>
        </w:tc>
      </w:tr>
      <w:tr>
        <w:tc>
          <w:tcPr/>
          <w:p>
            <w:pPr>
              <w:pStyle w:val="Compact"/>
            </w:pPr>
            <w:r>
              <w:rPr>
                <w:rFonts w:hint="eastAsia"/>
              </w:rPr>
              <w:t xml:space="preserve">数字化程度</w:t>
            </w:r>
          </w:p>
        </w:tc>
        <w:tc>
          <w:tcPr/>
          <w:p>
            <w:pPr>
              <w:pStyle w:val="Compact"/>
            </w:pPr>
            <w:r>
              <w:t xml:space="preserve">66.8</w:t>
            </w:r>
          </w:p>
        </w:tc>
        <w:tc>
          <w:tcPr/>
          <w:p>
            <w:pPr>
              <w:pStyle w:val="Compact"/>
            </w:pPr>
            <w:r>
              <w:t xml:space="preserve">70.0</w:t>
            </w:r>
          </w:p>
        </w:tc>
        <w:tc>
          <w:tcPr/>
          <w:p>
            <w:pPr>
              <w:pStyle w:val="Compact"/>
            </w:pPr>
            <w:r>
              <w:t xml:space="preserve">34.3</w:t>
            </w:r>
          </w:p>
        </w:tc>
        <w:tc>
          <w:tcPr/>
          <w:p>
            <w:pPr>
              <w:pStyle w:val="Compact"/>
            </w:pPr>
            <w:r>
              <w:t xml:space="preserve">+32.5</w:t>
            </w:r>
          </w:p>
        </w:tc>
      </w:tr>
      <w:tr>
        <w:tc>
          <w:tcPr/>
          <w:p>
            <w:pPr>
              <w:pStyle w:val="Compact"/>
            </w:pPr>
            <w:r>
              <w:rPr>
                <w:rFonts w:hint="eastAsia"/>
              </w:rPr>
              <w:t xml:space="preserve">AI相关性</w:t>
            </w:r>
          </w:p>
        </w:tc>
        <w:tc>
          <w:tcPr/>
          <w:p>
            <w:pPr>
              <w:pStyle w:val="Compact"/>
            </w:pPr>
            <w:r>
              <w:t xml:space="preserve">37.2</w:t>
            </w:r>
          </w:p>
        </w:tc>
        <w:tc>
          <w:tcPr/>
          <w:p>
            <w:pPr>
              <w:pStyle w:val="Compact"/>
            </w:pPr>
            <w:r>
              <w:t xml:space="preserve">32.5</w:t>
            </w:r>
          </w:p>
        </w:tc>
        <w:tc>
          <w:tcPr/>
          <w:p>
            <w:pPr>
              <w:pStyle w:val="Compact"/>
            </w:pPr>
            <w:r>
              <w:t xml:space="preserve">8.5</w:t>
            </w:r>
          </w:p>
        </w:tc>
        <w:tc>
          <w:tcPr/>
          <w:p>
            <w:pPr>
              <w:pStyle w:val="Compact"/>
            </w:pPr>
            <w:r>
              <w:t xml:space="preserve">+28.8</w:t>
            </w:r>
          </w:p>
        </w:tc>
      </w:tr>
      <w:tr>
        <w:tc>
          <w:tcPr/>
          <w:p>
            <w:pPr>
              <w:pStyle w:val="Compact"/>
            </w:pPr>
            <w:r>
              <w:rPr>
                <w:rFonts w:hint="eastAsia"/>
              </w:rPr>
              <w:t xml:space="preserve">技术复杂度</w:t>
            </w:r>
          </w:p>
        </w:tc>
        <w:tc>
          <w:tcPr/>
          <w:p>
            <w:pPr>
              <w:pStyle w:val="Compact"/>
            </w:pPr>
            <w:r>
              <w:t xml:space="preserve">62.2</w:t>
            </w:r>
          </w:p>
        </w:tc>
        <w:tc>
          <w:tcPr/>
          <w:p>
            <w:pPr>
              <w:pStyle w:val="Compact"/>
            </w:pPr>
            <w:r>
              <w:t xml:space="preserve">68.0</w:t>
            </w:r>
          </w:p>
        </w:tc>
        <w:tc>
          <w:tcPr/>
          <w:p>
            <w:pPr>
              <w:pStyle w:val="Compact"/>
            </w:pPr>
            <w:r>
              <w:t xml:space="preserve">36.4</w:t>
            </w:r>
          </w:p>
        </w:tc>
        <w:tc>
          <w:tcPr/>
          <w:p>
            <w:pPr>
              <w:pStyle w:val="Compact"/>
            </w:pPr>
            <w:r>
              <w:t xml:space="preserve">+25.8</w:t>
            </w:r>
          </w:p>
        </w:tc>
      </w:tr>
    </w:tbl>
    <w:p>
      <w:pPr>
        <w:pStyle w:val="BodyText"/>
      </w:pPr>
      <w:r>
        <w:rPr>
          <w:rFonts w:hint="eastAsia"/>
        </w:rPr>
        <w:t xml:space="preserve">按教育层次：</w:t>
      </w:r>
      <w:r>
        <w:rPr>
          <w:rFonts w:hint="eastAsia"/>
          <w:b/>
          <w:bCs/>
        </w:rPr>
        <w:t xml:space="preserve">职业本科组（5专业）数字化均值76.8、AI相关性58.4</w:t>
      </w:r>
      <w:r>
        <w:rPr>
          <w:rFonts w:hint="eastAsia"/>
        </w:rPr>
        <w:t xml:space="preserve">，均高于高职专科组（49专业）的65.8和35.0——这一纵向差异符合”职业本科应当承担更高定位”的政策预期。</w:t>
      </w:r>
    </w:p>
    <w:bookmarkEnd w:id="34"/>
    <w:bookmarkStart w:id="35" w:name="二学院层面的数字化梯度"/>
    <w:p>
      <w:pPr>
        <w:pStyle w:val="Heading2"/>
      </w:pPr>
      <w:r>
        <w:rPr>
          <w:rFonts w:hint="eastAsia"/>
        </w:rPr>
        <w:t xml:space="preserve">（二）学院层面的数字化梯度</w:t>
      </w:r>
    </w:p>
    <w:p>
      <w:pPr>
        <w:pStyle w:val="FirstParagraph"/>
      </w:pPr>
      <w:r>
        <w:rPr>
          <w:rFonts w:hint="eastAsia"/>
        </w:rPr>
        <w:t xml:space="preserve">学院层面数字化定位呈明显梯度：人工智能学院（数字化82.7、AI相关性55.3）→</w:t>
      </w:r>
      <w:r>
        <w:t xml:space="preserve"> </w:t>
      </w:r>
      <w:r>
        <w:rPr>
          <w:rFonts w:hint="eastAsia"/>
        </w:rPr>
        <w:t xml:space="preserve">信息与通信学院（79.4、54.6）→</w:t>
      </w:r>
      <w:r>
        <w:t xml:space="preserve"> </w:t>
      </w:r>
      <w:r>
        <w:rPr>
          <w:rFonts w:hint="eastAsia"/>
        </w:rPr>
        <w:t xml:space="preserve">计算机与软件学院（78.9、44.0）→</w:t>
      </w:r>
      <w:r>
        <w:t xml:space="preserve"> </w:t>
      </w:r>
      <w:r>
        <w:rPr>
          <w:rFonts w:hint="eastAsia"/>
        </w:rPr>
        <w:t xml:space="preserve">智能制造与装备学院（73.3、37.5）→</w:t>
      </w:r>
      <w:r>
        <w:t xml:space="preserve"> </w:t>
      </w:r>
      <w:r>
        <w:rPr>
          <w:rFonts w:hint="eastAsia"/>
        </w:rPr>
        <w:t xml:space="preserve">中德机器人学院（68.6、54.2）→</w:t>
      </w:r>
      <w:r>
        <w:t xml:space="preserve"> ……→ </w:t>
      </w:r>
      <w:r>
        <w:rPr>
          <w:rFonts w:hint="eastAsia"/>
        </w:rPr>
        <w:t xml:space="preserve">应用外语学院（43.7、21.0）→</w:t>
      </w:r>
      <w:r>
        <w:t xml:space="preserve"> </w:t>
      </w:r>
      <w:r>
        <w:rPr>
          <w:rFonts w:hint="eastAsia"/>
        </w:rPr>
        <w:t xml:space="preserve">体育运动学院（20.0、3.0）。</w:t>
      </w:r>
    </w:p>
    <w:bookmarkEnd w:id="35"/>
    <w:bookmarkEnd w:id="36"/>
    <w:bookmarkStart w:id="55" w:name="六双侧匹配检验"/>
    <w:p>
      <w:pPr>
        <w:pStyle w:val="Heading1"/>
      </w:pPr>
      <w:r>
        <w:rPr>
          <w:rFonts w:hint="eastAsia"/>
        </w:rPr>
        <w:t xml:space="preserve">六、双侧匹配检验</w:t>
      </w:r>
    </w:p>
    <w:bookmarkStart w:id="40" w:name="一m1系统性超前命题-完全成立"/>
    <w:p>
      <w:pPr>
        <w:pStyle w:val="Heading2"/>
      </w:pPr>
      <w:r>
        <w:rPr>
          <w:rFonts w:hint="eastAsia"/>
        </w:rPr>
        <w:t xml:space="preserve">（一）M1（系统性超前命题）——</w:t>
      </w:r>
      <w:r>
        <w:t xml:space="preserve"> </w:t>
      </w:r>
      <w:r>
        <w:rPr>
          <w:rFonts w:hint="eastAsia"/>
        </w:rPr>
        <w:t xml:space="preserve">完全成立</w:t>
      </w:r>
    </w:p>
    <w:p>
      <w:pPr>
        <w:pStyle w:val="FirstParagraph"/>
      </w:pPr>
      <w:r>
        <w:rPr>
          <w:rFonts w:hint="eastAsia"/>
        </w:rPr>
        <w:t xml:space="preserve">按超前度（供给评分</w:t>
      </w:r>
      <w:r>
        <w:t xml:space="preserve"> − </w:t>
      </w:r>
      <w:r>
        <w:rPr>
          <w:rFonts w:hint="eastAsia"/>
        </w:rPr>
        <w:t xml:space="preserve">2024需求均值）进行分级：</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维度</w:t>
            </w:r>
          </w:p>
        </w:tc>
        <w:tc>
          <w:tcPr/>
          <w:p>
            <w:pPr>
              <w:pStyle w:val="Compact"/>
            </w:pPr>
            <w:r>
              <w:rPr>
                <w:rFonts w:hint="eastAsia"/>
              </w:rPr>
              <w:t xml:space="preserve">滞后</w:t>
            </w:r>
          </w:p>
        </w:tc>
        <w:tc>
          <w:tcPr/>
          <w:p>
            <w:pPr>
              <w:pStyle w:val="Compact"/>
            </w:pPr>
            <w:r>
              <w:rPr>
                <w:rFonts w:hint="eastAsia"/>
              </w:rPr>
              <w:t xml:space="preserve">同步</w:t>
            </w:r>
          </w:p>
        </w:tc>
        <w:tc>
          <w:tcPr/>
          <w:p>
            <w:pPr>
              <w:pStyle w:val="Compact"/>
            </w:pPr>
            <w:r>
              <w:rPr>
                <w:rFonts w:hint="eastAsia"/>
                <w:b/>
                <w:bCs/>
              </w:rPr>
              <w:t xml:space="preserve">适度超前</w:t>
            </w:r>
          </w:p>
        </w:tc>
        <w:tc>
          <w:tcPr/>
          <w:p>
            <w:pPr>
              <w:pStyle w:val="Compact"/>
            </w:pPr>
            <w:r>
              <w:rPr>
                <w:rFonts w:hint="eastAsia"/>
                <w:b/>
                <w:bCs/>
              </w:rPr>
              <w:t xml:space="preserve">显著超前</w:t>
            </w:r>
          </w:p>
        </w:tc>
        <w:tc>
          <w:tcPr/>
          <w:p>
            <w:pPr>
              <w:pStyle w:val="Compact"/>
            </w:pPr>
            <w:r>
              <w:rPr>
                <w:rFonts w:hint="eastAsia"/>
              </w:rPr>
              <w:t xml:space="preserve">超前度均值</w:t>
            </w:r>
          </w:p>
        </w:tc>
      </w:tr>
      <w:tr>
        <w:tc>
          <w:tcPr/>
          <w:p>
            <w:pPr>
              <w:pStyle w:val="Compact"/>
            </w:pPr>
            <w:r>
              <w:rPr>
                <w:rFonts w:hint="eastAsia"/>
              </w:rPr>
              <w:t xml:space="preserve">数字化程度</w:t>
            </w:r>
          </w:p>
        </w:tc>
        <w:tc>
          <w:tcPr/>
          <w:p>
            <w:pPr>
              <w:pStyle w:val="Compact"/>
            </w:pPr>
            <w:r>
              <w:t xml:space="preserve">2 (3.7%)</w:t>
            </w:r>
          </w:p>
        </w:tc>
        <w:tc>
          <w:tcPr/>
          <w:p>
            <w:pPr>
              <w:pStyle w:val="Compact"/>
            </w:pPr>
            <w:r>
              <w:t xml:space="preserve">7 (13.0%)</w:t>
            </w:r>
          </w:p>
        </w:tc>
        <w:tc>
          <w:tcPr/>
          <w:p>
            <w:pPr>
              <w:pStyle w:val="Compact"/>
            </w:pPr>
            <w:r>
              <w:t xml:space="preserve">16 (29.6%)</w:t>
            </w:r>
          </w:p>
        </w:tc>
        <w:tc>
          <w:tcPr/>
          <w:p>
            <w:pPr>
              <w:pStyle w:val="Compact"/>
            </w:pPr>
            <w:r>
              <w:rPr>
                <w:b/>
                <w:bCs/>
              </w:rPr>
              <w:t xml:space="preserve">29 (53.7%)</w:t>
            </w:r>
          </w:p>
        </w:tc>
        <w:tc>
          <w:tcPr/>
          <w:p>
            <w:pPr>
              <w:pStyle w:val="Compact"/>
            </w:pPr>
            <w:r>
              <w:t xml:space="preserve">+32.5</w:t>
            </w:r>
          </w:p>
        </w:tc>
      </w:tr>
      <w:tr>
        <w:tc>
          <w:tcPr/>
          <w:p>
            <w:pPr>
              <w:pStyle w:val="Compact"/>
            </w:pPr>
            <w:r>
              <w:rPr>
                <w:rFonts w:hint="eastAsia"/>
              </w:rPr>
              <w:t xml:space="preserve">AI相关性</w:t>
            </w:r>
          </w:p>
        </w:tc>
        <w:tc>
          <w:tcPr/>
          <w:p>
            <w:pPr>
              <w:pStyle w:val="Compact"/>
            </w:pPr>
            <w:r>
              <w:t xml:space="preserve">1 (1.9%)</w:t>
            </w:r>
          </w:p>
        </w:tc>
        <w:tc>
          <w:tcPr/>
          <w:p>
            <w:pPr>
              <w:pStyle w:val="Compact"/>
            </w:pPr>
            <w:r>
              <w:t xml:space="preserve">16 (29.6%)</w:t>
            </w:r>
          </w:p>
        </w:tc>
        <w:tc>
          <w:tcPr/>
          <w:p>
            <w:pPr>
              <w:pStyle w:val="Compact"/>
            </w:pPr>
            <w:r>
              <w:t xml:space="preserve">19 (35.2%)</w:t>
            </w:r>
          </w:p>
        </w:tc>
        <w:tc>
          <w:tcPr/>
          <w:p>
            <w:pPr>
              <w:pStyle w:val="Compact"/>
            </w:pPr>
            <w:r>
              <w:t xml:space="preserve">18 (33.3%)</w:t>
            </w:r>
          </w:p>
        </w:tc>
        <w:tc>
          <w:tcPr/>
          <w:p>
            <w:pPr>
              <w:pStyle w:val="Compact"/>
            </w:pPr>
            <w:r>
              <w:t xml:space="preserve">+28.8</w:t>
            </w:r>
          </w:p>
        </w:tc>
      </w:tr>
      <w:tr>
        <w:tc>
          <w:tcPr/>
          <w:p>
            <w:pPr>
              <w:pStyle w:val="Compact"/>
            </w:pPr>
            <w:r>
              <w:rPr>
                <w:rFonts w:hint="eastAsia"/>
              </w:rPr>
              <w:t xml:space="preserve">技术复杂度</w:t>
            </w:r>
          </w:p>
        </w:tc>
        <w:tc>
          <w:tcPr/>
          <w:p>
            <w:pPr>
              <w:pStyle w:val="Compact"/>
            </w:pPr>
            <w:r>
              <w:t xml:space="preserve">3 (5.6%)</w:t>
            </w:r>
          </w:p>
        </w:tc>
        <w:tc>
          <w:tcPr/>
          <w:p>
            <w:pPr>
              <w:pStyle w:val="Compact"/>
            </w:pPr>
            <w:r>
              <w:t xml:space="preserve">12 (22.2%)</w:t>
            </w:r>
          </w:p>
        </w:tc>
        <w:tc>
          <w:tcPr/>
          <w:p>
            <w:pPr>
              <w:pStyle w:val="Compact"/>
            </w:pPr>
            <w:r>
              <w:t xml:space="preserve">19 (35.2%)</w:t>
            </w:r>
          </w:p>
        </w:tc>
        <w:tc>
          <w:tcPr/>
          <w:p>
            <w:pPr>
              <w:pStyle w:val="Compact"/>
            </w:pPr>
            <w:r>
              <w:t xml:space="preserve">20 (37.0%)</w:t>
            </w:r>
          </w:p>
        </w:tc>
        <w:tc>
          <w:tcPr/>
          <w:p>
            <w:pPr>
              <w:pStyle w:val="Compact"/>
            </w:pPr>
            <w:r>
              <w:t xml:space="preserve">+25.8</w:t>
            </w:r>
          </w:p>
        </w:tc>
      </w:tr>
    </w:tbl>
    <w:p>
      <w:pPr>
        <w:pStyle w:val="BodyText"/>
      </w:pPr>
      <w:r>
        <w:rPr>
          <w:rFonts w:hint="eastAsia"/>
          <w:b/>
          <w:bCs/>
        </w:rPr>
        <w:t xml:space="preserve">M1完全成立且效应量极大</w:t>
      </w:r>
      <w:r>
        <w:rPr>
          <w:rFonts w:hint="eastAsia"/>
        </w:rPr>
        <w:t xml:space="preserve">：在数字化程度维度，</w:t>
      </w:r>
      <w:r>
        <w:rPr>
          <w:rFonts w:hint="eastAsia"/>
          <w:b/>
          <w:bCs/>
        </w:rPr>
        <w:t xml:space="preserve">29个专业（53.7%）落入”显著超前”区段</w:t>
      </w:r>
      <w:r>
        <w:rPr>
          <w:rFonts w:hint="eastAsia"/>
        </w:rPr>
        <w:t xml:space="preserve">（超前度&gt;+35），16个（29.6%）落入”适度超前”，仅2个滞后；AI相关性维度同样有18个专业显著超前。这一现象需置于教育部”适度超前”原则下中性解读：</w:t>
      </w:r>
      <w:r>
        <w:rPr>
          <w:rFonts w:hint="eastAsia"/>
          <w:b/>
          <w:bCs/>
        </w:rPr>
        <w:t xml:space="preserve">多数专业的培养目标已超出可被招聘大数据直接对接的范围，呈现”以未来岗位为锚”的设计取向</w:t>
      </w:r>
      <w:r>
        <w:t xml:space="preserve">。</w:t>
      </w:r>
    </w:p>
    <w:p>
      <w:pPr>
        <w:pStyle w:val="CaptionedFigure"/>
      </w:pPr>
      <w:r>
        <w:drawing>
          <wp:inline>
            <wp:extent cx="5334000" cy="1681343"/>
            <wp:effectExtent b="0" l="0" r="0" t="0"/>
            <wp:docPr descr="图4 三维超前度分布（54专业相对2024需求均值）" title="" id="38" name="Picture"/>
            <a:graphic>
              <a:graphicData uri="http://schemas.openxmlformats.org/drawingml/2006/picture">
                <pic:pic>
                  <pic:nvPicPr>
                    <pic:cNvPr descr="Figures/journal/v4/fig_v4_b04_lead_distribution.png" id="39" name="Picture"/>
                    <pic:cNvPicPr>
                      <a:picLocks noChangeArrowheads="1" noChangeAspect="1"/>
                    </pic:cNvPicPr>
                  </pic:nvPicPr>
                  <pic:blipFill>
                    <a:blip r:embed="rId37"/>
                    <a:stretch>
                      <a:fillRect/>
                    </a:stretch>
                  </pic:blipFill>
                  <pic:spPr bwMode="auto">
                    <a:xfrm>
                      <a:off x="0" y="0"/>
                      <a:ext cx="5334000" cy="1681343"/>
                    </a:xfrm>
                    <a:prstGeom prst="rect">
                      <a:avLst/>
                    </a:prstGeom>
                    <a:noFill/>
                    <a:ln w="9525">
                      <a:noFill/>
                      <a:headEnd/>
                      <a:tailEnd/>
                    </a:ln>
                  </pic:spPr>
                </pic:pic>
              </a:graphicData>
            </a:graphic>
          </wp:inline>
        </w:drawing>
      </w:r>
    </w:p>
    <w:p>
      <w:pPr>
        <w:pStyle w:val="ImageCaption"/>
      </w:pPr>
      <w:r>
        <w:rPr>
          <w:rFonts w:hint="eastAsia"/>
        </w:rPr>
        <w:t xml:space="preserve">图4</w:t>
      </w:r>
      <w:r>
        <w:t xml:space="preserve"> </w:t>
      </w:r>
      <w:r>
        <w:rPr>
          <w:rFonts w:hint="eastAsia"/>
        </w:rPr>
        <w:t xml:space="preserve">三维超前度分布（54专业相对2024需求均值）</w:t>
      </w:r>
    </w:p>
    <w:bookmarkEnd w:id="40"/>
    <w:bookmarkStart w:id="47" w:name="二m2高需求低覆盖碎片化命题-完全成立"/>
    <w:p>
      <w:pPr>
        <w:pStyle w:val="Heading2"/>
      </w:pPr>
      <w:r>
        <w:rPr>
          <w:rFonts w:hint="eastAsia"/>
        </w:rPr>
        <w:t xml:space="preserve">（二）M2（高需求—低覆盖碎片化命题）——</w:t>
      </w:r>
      <w:r>
        <w:t xml:space="preserve"> </w:t>
      </w:r>
      <w:r>
        <w:rPr>
          <w:rFonts w:hint="eastAsia"/>
        </w:rPr>
        <w:t xml:space="preserve">完全成立</w:t>
      </w:r>
    </w:p>
    <w:p>
      <w:pPr>
        <w:pStyle w:val="FirstParagraph"/>
      </w:pPr>
      <w:r>
        <w:rPr>
          <w:rFonts w:hint="eastAsia"/>
        </w:rPr>
        <w:t xml:space="preserve">需求侧Top50工具中，覆盖率≤10%（即被≤5个专业教学）的工具有</w:t>
      </w:r>
      <w:r>
        <w:rPr>
          <w:rFonts w:hint="eastAsia"/>
          <w:b/>
          <w:bCs/>
        </w:rPr>
        <w:t xml:space="preserve">14项</w:t>
      </w:r>
      <w:r>
        <w:rPr>
          <w:rFonts w:hint="eastAsia"/>
        </w:rPr>
        <w:t xml:space="preserve">，远超命题阈值10：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工具</w:t>
            </w:r>
          </w:p>
        </w:tc>
        <w:tc>
          <w:tcPr/>
          <w:p>
            <w:pPr>
              <w:pStyle w:val="Compact"/>
            </w:pPr>
            <w:r>
              <w:rPr>
                <w:rFonts w:hint="eastAsia"/>
              </w:rPr>
              <w:t xml:space="preserve">2021—2024需求频次</w:t>
            </w:r>
          </w:p>
        </w:tc>
        <w:tc>
          <w:tcPr/>
          <w:p>
            <w:pPr>
              <w:pStyle w:val="Compact"/>
            </w:pPr>
            <w:r>
              <w:rPr>
                <w:rFonts w:hint="eastAsia"/>
              </w:rPr>
              <w:t xml:space="preserve">覆盖专业数</w:t>
            </w:r>
          </w:p>
        </w:tc>
        <w:tc>
          <w:tcPr/>
          <w:p>
            <w:pPr>
              <w:pStyle w:val="Compact"/>
            </w:pPr>
            <w:r>
              <w:rPr>
                <w:rFonts w:hint="eastAsia"/>
              </w:rPr>
              <w:t xml:space="preserve">覆盖率</w:t>
            </w:r>
          </w:p>
        </w:tc>
      </w:tr>
      <w:tr>
        <w:tc>
          <w:tcPr/>
          <w:p>
            <w:pPr>
              <w:pStyle w:val="Compact"/>
            </w:pPr>
            <w:r>
              <w:t xml:space="preserve">ERP</w:t>
            </w:r>
          </w:p>
        </w:tc>
        <w:tc>
          <w:tcPr/>
          <w:p>
            <w:pPr>
              <w:pStyle w:val="Compact"/>
            </w:pPr>
            <w:r>
              <w:t xml:space="preserve">543</w:t>
            </w:r>
          </w:p>
        </w:tc>
        <w:tc>
          <w:tcPr/>
          <w:p>
            <w:pPr>
              <w:pStyle w:val="Compact"/>
            </w:pPr>
            <w:r>
              <w:t xml:space="preserve">1</w:t>
            </w:r>
          </w:p>
        </w:tc>
        <w:tc>
          <w:tcPr/>
          <w:p>
            <w:pPr>
              <w:pStyle w:val="Compact"/>
            </w:pPr>
            <w:r>
              <w:t xml:space="preserve">1.9%</w:t>
            </w:r>
          </w:p>
        </w:tc>
      </w:tr>
      <w:tr>
        <w:tc>
          <w:tcPr/>
          <w:p>
            <w:pPr>
              <w:pStyle w:val="Compact"/>
            </w:pPr>
            <w:r>
              <w:t xml:space="preserve">SolidWorks</w:t>
            </w:r>
          </w:p>
        </w:tc>
        <w:tc>
          <w:tcPr/>
          <w:p>
            <w:pPr>
              <w:pStyle w:val="Compact"/>
            </w:pPr>
            <w:r>
              <w:t xml:space="preserve">416</w:t>
            </w:r>
          </w:p>
        </w:tc>
        <w:tc>
          <w:tcPr/>
          <w:p>
            <w:pPr>
              <w:pStyle w:val="Compact"/>
            </w:pPr>
            <w:r>
              <w:t xml:space="preserve">4</w:t>
            </w:r>
          </w:p>
        </w:tc>
        <w:tc>
          <w:tcPr/>
          <w:p>
            <w:pPr>
              <w:pStyle w:val="Compact"/>
            </w:pPr>
            <w:r>
              <w:t xml:space="preserve">7.4%</w:t>
            </w:r>
          </w:p>
        </w:tc>
      </w:tr>
      <w:tr>
        <w:tc>
          <w:tcPr/>
          <w:p>
            <w:pPr>
              <w:pStyle w:val="Compact"/>
            </w:pPr>
            <w:r>
              <w:t xml:space="preserve">Pro/E</w:t>
            </w:r>
          </w:p>
        </w:tc>
        <w:tc>
          <w:tcPr/>
          <w:p>
            <w:pPr>
              <w:pStyle w:val="Compact"/>
            </w:pPr>
            <w:r>
              <w:t xml:space="preserve">238</w:t>
            </w:r>
          </w:p>
        </w:tc>
        <w:tc>
          <w:tcPr/>
          <w:p>
            <w:pPr>
              <w:pStyle w:val="Compact"/>
            </w:pPr>
            <w:r>
              <w:t xml:space="preserve">2</w:t>
            </w:r>
          </w:p>
        </w:tc>
        <w:tc>
          <w:tcPr/>
          <w:p>
            <w:pPr>
              <w:pStyle w:val="Compact"/>
            </w:pPr>
            <w:r>
              <w:t xml:space="preserve">3.7%</w:t>
            </w:r>
          </w:p>
        </w:tc>
      </w:tr>
      <w:tr>
        <w:tc>
          <w:tcPr/>
          <w:p>
            <w:pPr>
              <w:pStyle w:val="Compact"/>
            </w:pPr>
            <w:r>
              <w:t xml:space="preserve">Photoshop</w:t>
            </w:r>
          </w:p>
        </w:tc>
        <w:tc>
          <w:tcPr/>
          <w:p>
            <w:pPr>
              <w:pStyle w:val="Compact"/>
            </w:pPr>
            <w:r>
              <w:t xml:space="preserve">222</w:t>
            </w:r>
          </w:p>
        </w:tc>
        <w:tc>
          <w:tcPr/>
          <w:p>
            <w:pPr>
              <w:pStyle w:val="Compact"/>
            </w:pPr>
            <w:r>
              <w:t xml:space="preserve">5</w:t>
            </w:r>
          </w:p>
        </w:tc>
        <w:tc>
          <w:tcPr/>
          <w:p>
            <w:pPr>
              <w:pStyle w:val="Compact"/>
            </w:pPr>
            <w:r>
              <w:t xml:space="preserve">9.3%</w:t>
            </w:r>
          </w:p>
        </w:tc>
      </w:tr>
      <w:tr>
        <w:tc>
          <w:tcPr/>
          <w:p>
            <w:pPr>
              <w:pStyle w:val="Compact"/>
            </w:pPr>
            <w:r>
              <w:rPr>
                <w:rFonts w:hint="eastAsia"/>
              </w:rPr>
              <w:t xml:space="preserve">示波器</w:t>
            </w:r>
          </w:p>
        </w:tc>
        <w:tc>
          <w:tcPr/>
          <w:p>
            <w:pPr>
              <w:pStyle w:val="Compact"/>
            </w:pPr>
            <w:r>
              <w:t xml:space="preserve">192</w:t>
            </w:r>
          </w:p>
        </w:tc>
        <w:tc>
          <w:tcPr/>
          <w:p>
            <w:pPr>
              <w:pStyle w:val="Compact"/>
            </w:pPr>
            <w:r>
              <w:t xml:space="preserve">1</w:t>
            </w:r>
          </w:p>
        </w:tc>
        <w:tc>
          <w:tcPr/>
          <w:p>
            <w:pPr>
              <w:pStyle w:val="Compact"/>
            </w:pPr>
            <w:r>
              <w:t xml:space="preserve">1.9%</w:t>
            </w:r>
          </w:p>
        </w:tc>
      </w:tr>
      <w:tr>
        <w:tc>
          <w:tcPr/>
          <w:p>
            <w:pPr>
              <w:pStyle w:val="Compact"/>
            </w:pPr>
            <w:r>
              <w:t xml:space="preserve">C#</w:t>
            </w:r>
          </w:p>
        </w:tc>
        <w:tc>
          <w:tcPr/>
          <w:p>
            <w:pPr>
              <w:pStyle w:val="Compact"/>
            </w:pPr>
            <w:r>
              <w:t xml:space="preserve">187</w:t>
            </w:r>
          </w:p>
        </w:tc>
        <w:tc>
          <w:tcPr/>
          <w:p>
            <w:pPr>
              <w:pStyle w:val="Compact"/>
            </w:pPr>
            <w:r>
              <w:t xml:space="preserve">2</w:t>
            </w:r>
          </w:p>
        </w:tc>
        <w:tc>
          <w:tcPr/>
          <w:p>
            <w:pPr>
              <w:pStyle w:val="Compact"/>
            </w:pPr>
            <w:r>
              <w:t xml:space="preserve">3.7%</w:t>
            </w:r>
          </w:p>
        </w:tc>
      </w:tr>
      <w:tr>
        <w:tc>
          <w:tcPr/>
          <w:p>
            <w:pPr>
              <w:pStyle w:val="Compact"/>
            </w:pPr>
            <w:r>
              <w:rPr>
                <w:rFonts w:hint="eastAsia"/>
              </w:rPr>
              <w:t xml:space="preserve">万用表</w:t>
            </w:r>
          </w:p>
        </w:tc>
        <w:tc>
          <w:tcPr/>
          <w:p>
            <w:pPr>
              <w:pStyle w:val="Compact"/>
            </w:pPr>
            <w:r>
              <w:t xml:space="preserve">177</w:t>
            </w:r>
          </w:p>
        </w:tc>
        <w:tc>
          <w:tcPr/>
          <w:p>
            <w:pPr>
              <w:pStyle w:val="Compact"/>
            </w:pPr>
            <w:r>
              <w:t xml:space="preserve">0</w:t>
            </w:r>
          </w:p>
        </w:tc>
        <w:tc>
          <w:tcPr/>
          <w:p>
            <w:pPr>
              <w:pStyle w:val="Compact"/>
            </w:pPr>
            <w:r>
              <w:t xml:space="preserve">0.0%</w:t>
            </w:r>
          </w:p>
        </w:tc>
      </w:tr>
      <w:tr>
        <w:tc>
          <w:tcPr/>
          <w:p>
            <w:pPr>
              <w:pStyle w:val="Compact"/>
            </w:pPr>
            <w:r>
              <w:t xml:space="preserve">ARM</w:t>
            </w:r>
          </w:p>
        </w:tc>
        <w:tc>
          <w:tcPr/>
          <w:p>
            <w:pPr>
              <w:pStyle w:val="Compact"/>
            </w:pPr>
            <w:r>
              <w:t xml:space="preserve">155</w:t>
            </w:r>
          </w:p>
        </w:tc>
        <w:tc>
          <w:tcPr/>
          <w:p>
            <w:pPr>
              <w:pStyle w:val="Compact"/>
            </w:pPr>
            <w:r>
              <w:t xml:space="preserve">0</w:t>
            </w:r>
          </w:p>
        </w:tc>
        <w:tc>
          <w:tcPr/>
          <w:p>
            <w:pPr>
              <w:pStyle w:val="Compact"/>
            </w:pPr>
            <w:r>
              <w:t xml:space="preserve">0.0%</w:t>
            </w:r>
          </w:p>
        </w:tc>
      </w:tr>
      <w:tr>
        <w:tc>
          <w:tcPr/>
          <w:p>
            <w:pPr>
              <w:pStyle w:val="Compact"/>
            </w:pPr>
            <w:r>
              <w:rPr>
                <w:rFonts w:hint="eastAsia"/>
              </w:rPr>
              <w:t xml:space="preserve">金蝶</w:t>
            </w:r>
          </w:p>
        </w:tc>
        <w:tc>
          <w:tcPr/>
          <w:p>
            <w:pPr>
              <w:pStyle w:val="Compact"/>
            </w:pPr>
            <w:r>
              <w:t xml:space="preserve">140</w:t>
            </w:r>
          </w:p>
        </w:tc>
        <w:tc>
          <w:tcPr/>
          <w:p>
            <w:pPr>
              <w:pStyle w:val="Compact"/>
            </w:pPr>
            <w:r>
              <w:t xml:space="preserve">3</w:t>
            </w:r>
          </w:p>
        </w:tc>
        <w:tc>
          <w:tcPr/>
          <w:p>
            <w:pPr>
              <w:pStyle w:val="Compact"/>
            </w:pPr>
            <w:r>
              <w:t xml:space="preserve">5.6%</w:t>
            </w:r>
          </w:p>
        </w:tc>
      </w:tr>
      <w:tr>
        <w:tc>
          <w:tcPr/>
          <w:p>
            <w:pPr>
              <w:pStyle w:val="Compact"/>
            </w:pPr>
            <w:r>
              <w:t xml:space="preserve">SAP</w:t>
            </w:r>
          </w:p>
        </w:tc>
        <w:tc>
          <w:tcPr/>
          <w:p>
            <w:pPr>
              <w:pStyle w:val="Compact"/>
            </w:pPr>
            <w:r>
              <w:t xml:space="preserve">133</w:t>
            </w:r>
          </w:p>
        </w:tc>
        <w:tc>
          <w:tcPr/>
          <w:p>
            <w:pPr>
              <w:pStyle w:val="Compact"/>
            </w:pPr>
            <w:r>
              <w:t xml:space="preserve">0</w:t>
            </w:r>
          </w:p>
        </w:tc>
        <w:tc>
          <w:tcPr/>
          <w:p>
            <w:pPr>
              <w:pStyle w:val="Compact"/>
            </w:pPr>
            <w:r>
              <w:t xml:space="preserve">0.0%</w:t>
            </w:r>
          </w:p>
        </w:tc>
      </w:tr>
      <w:tr>
        <w:tc>
          <w:tcPr/>
          <w:p>
            <w:pPr>
              <w:pStyle w:val="Compact"/>
            </w:pPr>
            <w:r>
              <w:t xml:space="preserve">Altium Designer</w:t>
            </w:r>
          </w:p>
        </w:tc>
        <w:tc>
          <w:tcPr/>
          <w:p>
            <w:pPr>
              <w:pStyle w:val="Compact"/>
            </w:pPr>
            <w:r>
              <w:t xml:space="preserve">128</w:t>
            </w:r>
          </w:p>
        </w:tc>
        <w:tc>
          <w:tcPr/>
          <w:p>
            <w:pPr>
              <w:pStyle w:val="Compact"/>
            </w:pPr>
            <w:r>
              <w:t xml:space="preserve">1</w:t>
            </w:r>
          </w:p>
        </w:tc>
        <w:tc>
          <w:tcPr/>
          <w:p>
            <w:pPr>
              <w:pStyle w:val="Compact"/>
            </w:pPr>
            <w:r>
              <w:t xml:space="preserve">1.9%</w:t>
            </w:r>
          </w:p>
        </w:tc>
      </w:tr>
      <w:tr>
        <w:tc>
          <w:tcPr/>
          <w:p>
            <w:pPr>
              <w:pStyle w:val="Compact"/>
            </w:pPr>
            <w:r>
              <w:t xml:space="preserve">MySQL</w:t>
            </w:r>
          </w:p>
        </w:tc>
        <w:tc>
          <w:tcPr/>
          <w:p>
            <w:pPr>
              <w:pStyle w:val="Compact"/>
            </w:pPr>
            <w:r>
              <w:t xml:space="preserve">124</w:t>
            </w:r>
          </w:p>
        </w:tc>
        <w:tc>
          <w:tcPr/>
          <w:p>
            <w:pPr>
              <w:pStyle w:val="Compact"/>
            </w:pPr>
            <w:r>
              <w:t xml:space="preserve">3</w:t>
            </w:r>
          </w:p>
        </w:tc>
        <w:tc>
          <w:tcPr/>
          <w:p>
            <w:pPr>
              <w:pStyle w:val="Compact"/>
            </w:pPr>
            <w:r>
              <w:t xml:space="preserve">5.6%</w:t>
            </w:r>
          </w:p>
        </w:tc>
      </w:tr>
      <w:tr>
        <w:tc>
          <w:tcPr/>
          <w:p>
            <w:pPr>
              <w:pStyle w:val="Compact"/>
            </w:pPr>
            <w:r>
              <w:t xml:space="preserve">MES</w:t>
            </w:r>
          </w:p>
        </w:tc>
        <w:tc>
          <w:tcPr/>
          <w:p>
            <w:pPr>
              <w:pStyle w:val="Compact"/>
            </w:pPr>
            <w:r>
              <w:t xml:space="preserve">121</w:t>
            </w:r>
          </w:p>
        </w:tc>
        <w:tc>
          <w:tcPr/>
          <w:p>
            <w:pPr>
              <w:pStyle w:val="Compact"/>
            </w:pPr>
            <w:r>
              <w:t xml:space="preserve">1</w:t>
            </w:r>
          </w:p>
        </w:tc>
        <w:tc>
          <w:tcPr/>
          <w:p>
            <w:pPr>
              <w:pStyle w:val="Compact"/>
            </w:pPr>
            <w:r>
              <w:t xml:space="preserve">1.9%</w:t>
            </w:r>
          </w:p>
        </w:tc>
      </w:tr>
      <w:tr>
        <w:tc>
          <w:tcPr/>
          <w:p>
            <w:pPr>
              <w:pStyle w:val="Compact"/>
            </w:pPr>
            <w:r>
              <w:t xml:space="preserve">OA</w:t>
            </w:r>
          </w:p>
        </w:tc>
        <w:tc>
          <w:tcPr/>
          <w:p>
            <w:pPr>
              <w:pStyle w:val="Compact"/>
            </w:pPr>
            <w:r>
              <w:t xml:space="preserve">110</w:t>
            </w:r>
          </w:p>
        </w:tc>
        <w:tc>
          <w:tcPr/>
          <w:p>
            <w:pPr>
              <w:pStyle w:val="Compact"/>
            </w:pPr>
            <w:r>
              <w:t xml:space="preserve">0</w:t>
            </w:r>
          </w:p>
        </w:tc>
        <w:tc>
          <w:tcPr/>
          <w:p>
            <w:pPr>
              <w:pStyle w:val="Compact"/>
            </w:pPr>
            <w:r>
              <w:t xml:space="preserve">0.0%</w:t>
            </w:r>
          </w:p>
        </w:tc>
      </w:tr>
    </w:tbl>
    <w:p>
      <w:pPr>
        <w:pStyle w:val="BodyText"/>
      </w:pPr>
      <w:r>
        <w:rPr>
          <w:rFonts w:hint="eastAsia"/>
        </w:rPr>
        <w:t xml:space="preserve">其中</w:t>
      </w:r>
      <w:r>
        <w:rPr>
          <w:rFonts w:hint="eastAsia"/>
          <w:b/>
          <w:bCs/>
        </w:rPr>
        <w:t xml:space="preserve">万用表、ARM、SAP、OA四项工具</w:t>
      </w:r>
      <w:r>
        <w:rPr>
          <w:rFonts w:hint="eastAsia"/>
        </w:rPr>
        <w:t xml:space="preserve">——尽管在企业岗位描述中累计被提及超过575次——</w:t>
      </w:r>
      <w:r>
        <w:rPr>
          <w:rFonts w:hint="eastAsia"/>
          <w:b/>
          <w:bCs/>
        </w:rPr>
        <w:t xml:space="preserve">没有任何一个专业的培养方案明确教学</w:t>
      </w:r>
      <w:r>
        <w:rPr>
          <w:rFonts w:hint="eastAsia"/>
        </w:rPr>
        <w:t xml:space="preserve">。54个专业的工具Top50覆盖率均值仅3.6%，最高为机械设计与制造（5/50,</w:t>
      </w:r>
      <w:r>
        <w:t xml:space="preserve"> </w:t>
      </w:r>
      <w:r>
        <w:rPr>
          <w:rFonts w:hint="eastAsia"/>
        </w:rPr>
        <w:t xml:space="preserve">10%）和移动互联应用技术（7/50,</w:t>
      </w:r>
      <w:r>
        <w:t xml:space="preserve"> </w:t>
      </w:r>
      <w:r>
        <w:rPr>
          <w:rFonts w:hint="eastAsia"/>
        </w:rPr>
        <w:t xml:space="preserve">14%）。</w:t>
      </w:r>
    </w:p>
    <w:p>
      <w:pPr>
        <w:pStyle w:val="CaptionedFigure"/>
      </w:pPr>
      <w:r>
        <w:drawing>
          <wp:inline>
            <wp:extent cx="5334000" cy="6012985"/>
            <wp:effectExtent b="0" l="0" r="0" t="0"/>
            <wp:docPr descr="图5 Top25需求工具 × 各专业课程覆盖热力图" title="" id="42" name="Picture"/>
            <a:graphic>
              <a:graphicData uri="http://schemas.openxmlformats.org/drawingml/2006/picture">
                <pic:pic>
                  <pic:nvPicPr>
                    <pic:cNvPr descr="Figures/journal/v4/fig_v4_b02_tool_coverage_heatmap.png" id="43" name="Picture"/>
                    <pic:cNvPicPr>
                      <a:picLocks noChangeArrowheads="1" noChangeAspect="1"/>
                    </pic:cNvPicPr>
                  </pic:nvPicPr>
                  <pic:blipFill>
                    <a:blip r:embed="rId41"/>
                    <a:stretch>
                      <a:fillRect/>
                    </a:stretch>
                  </pic:blipFill>
                  <pic:spPr bwMode="auto">
                    <a:xfrm>
                      <a:off x="0" y="0"/>
                      <a:ext cx="5334000" cy="6012985"/>
                    </a:xfrm>
                    <a:prstGeom prst="rect">
                      <a:avLst/>
                    </a:prstGeom>
                    <a:noFill/>
                    <a:ln w="9525">
                      <a:noFill/>
                      <a:headEnd/>
                      <a:tailEnd/>
                    </a:ln>
                  </pic:spPr>
                </pic:pic>
              </a:graphicData>
            </a:graphic>
          </wp:inline>
        </w:drawing>
      </w:r>
    </w:p>
    <w:p>
      <w:pPr>
        <w:pStyle w:val="ImageCaption"/>
      </w:pPr>
      <w:r>
        <w:rPr>
          <w:rFonts w:hint="eastAsia"/>
        </w:rPr>
        <w:t xml:space="preserve">图5</w:t>
      </w:r>
      <w:r>
        <w:t xml:space="preserve"> </w:t>
      </w:r>
      <w:r>
        <w:rPr>
          <w:rFonts w:hint="eastAsia"/>
        </w:rPr>
        <w:t xml:space="preserve">Top25需求工具</w:t>
      </w:r>
      <w:r>
        <w:t xml:space="preserve"> × </w:t>
      </w:r>
      <w:r>
        <w:rPr>
          <w:rFonts w:hint="eastAsia"/>
        </w:rPr>
        <w:t xml:space="preserve">各专业课程覆盖热力图</w:t>
      </w:r>
    </w:p>
    <w:p>
      <w:pPr>
        <w:pStyle w:val="CaptionedFigure"/>
      </w:pPr>
      <w:r>
        <w:drawing>
          <wp:inline>
            <wp:extent cx="5334000" cy="3717636"/>
            <wp:effectExtent b="0" l="0" r="0" t="0"/>
            <wp:docPr descr="图6 Top50工具的需求-供给象限分布" title="" id="45" name="Picture"/>
            <a:graphic>
              <a:graphicData uri="http://schemas.openxmlformats.org/drawingml/2006/picture">
                <pic:pic>
                  <pic:nvPicPr>
                    <pic:cNvPr descr="Figures/journal/v4/fig_v4_b03_demand_supply_quadrant.png" id="46" name="Picture"/>
                    <pic:cNvPicPr>
                      <a:picLocks noChangeArrowheads="1" noChangeAspect="1"/>
                    </pic:cNvPicPr>
                  </pic:nvPicPr>
                  <pic:blipFill>
                    <a:blip r:embed="rId44"/>
                    <a:stretch>
                      <a:fillRect/>
                    </a:stretch>
                  </pic:blipFill>
                  <pic:spPr bwMode="auto">
                    <a:xfrm>
                      <a:off x="0" y="0"/>
                      <a:ext cx="5334000" cy="3717636"/>
                    </a:xfrm>
                    <a:prstGeom prst="rect">
                      <a:avLst/>
                    </a:prstGeom>
                    <a:noFill/>
                    <a:ln w="9525">
                      <a:noFill/>
                      <a:headEnd/>
                      <a:tailEnd/>
                    </a:ln>
                  </pic:spPr>
                </pic:pic>
              </a:graphicData>
            </a:graphic>
          </wp:inline>
        </w:drawing>
      </w:r>
    </w:p>
    <w:p>
      <w:pPr>
        <w:pStyle w:val="ImageCaption"/>
      </w:pPr>
      <w:r>
        <w:rPr>
          <w:rFonts w:hint="eastAsia"/>
        </w:rPr>
        <w:t xml:space="preserve">图6</w:t>
      </w:r>
      <w:r>
        <w:t xml:space="preserve"> </w:t>
      </w:r>
      <w:r>
        <w:rPr>
          <w:rFonts w:hint="eastAsia"/>
        </w:rPr>
        <w:t xml:space="preserve">Top50工具的需求-供给象限分布</w:t>
      </w:r>
    </w:p>
    <w:bookmarkEnd w:id="47"/>
    <w:bookmarkStart w:id="48" w:name="三m3软技能优于工具的供需对接命题-完全成立"/>
    <w:p>
      <w:pPr>
        <w:pStyle w:val="Heading2"/>
      </w:pPr>
      <w:r>
        <w:rPr>
          <w:rFonts w:hint="eastAsia"/>
        </w:rPr>
        <w:t xml:space="preserve">（三）M3（软技能优于工具的供需对接命题）——</w:t>
      </w:r>
      <w:r>
        <w:t xml:space="preserve"> </w:t>
      </w:r>
      <w:r>
        <w:rPr>
          <w:rFonts w:hint="eastAsia"/>
        </w:rPr>
        <w:t xml:space="preserve">完全成立</w:t>
      </w:r>
    </w:p>
    <w:p>
      <w:pPr>
        <w:pStyle w:val="FirstParagraph"/>
      </w:pPr>
      <w:r>
        <w:rPr>
          <w:rFonts w:hint="eastAsia"/>
        </w:rPr>
        <w:t xml:space="preserve">54专业的工具Top50覆盖率均值仅</w:t>
      </w:r>
      <w:r>
        <w:rPr>
          <w:b/>
          <w:bCs/>
        </w:rPr>
        <w:t xml:space="preserve">3.6%</w:t>
      </w:r>
      <w:r>
        <w:rPr>
          <w:rFonts w:hint="eastAsia"/>
        </w:rPr>
        <w:t xml:space="preserve">，但软技能Top10覆盖率均值达</w:t>
      </w:r>
      <w:r>
        <w:rPr>
          <w:b/>
          <w:bCs/>
        </w:rPr>
        <w:t xml:space="preserve">28.5%</w:t>
      </w:r>
      <w:r>
        <w:rPr>
          <w:rFonts w:hint="eastAsia"/>
        </w:rPr>
        <w:t xml:space="preserve">——后者是前者的</w:t>
      </w:r>
      <w:r>
        <w:rPr>
          <w:rFonts w:hint="eastAsia"/>
          <w:b/>
          <w:bCs/>
        </w:rPr>
        <w:t xml:space="preserve">7.9倍</w:t>
      </w:r>
      <w:r>
        <w:rPr>
          <w:rFonts w:hint="eastAsia"/>
        </w:rPr>
        <w:t xml:space="preserve">，远超命题阈值3：</w:t>
      </w:r>
    </w:p>
    <w:p>
      <w:pPr>
        <w:pStyle w:val="Compact"/>
        <w:numPr>
          <w:ilvl w:val="0"/>
          <w:numId w:val="1001"/>
        </w:numPr>
      </w:pPr>
      <w:r>
        <w:rPr>
          <w:rFonts w:hint="eastAsia"/>
          <w:b/>
          <w:bCs/>
        </w:rPr>
        <w:t xml:space="preserve">沟通协调</w:t>
      </w:r>
      <w:r>
        <w:rPr>
          <w:rFonts w:hint="eastAsia"/>
        </w:rPr>
        <w:t xml:space="preserve">（需求第1）出现在37/54专业（68.5%）培养目标中</w:t>
      </w:r>
    </w:p>
    <w:p>
      <w:pPr>
        <w:pStyle w:val="Compact"/>
        <w:numPr>
          <w:ilvl w:val="0"/>
          <w:numId w:val="1001"/>
        </w:numPr>
      </w:pPr>
      <w:r>
        <w:rPr>
          <w:rFonts w:hint="eastAsia"/>
          <w:b/>
          <w:bCs/>
        </w:rPr>
        <w:t xml:space="preserve">团队协作</w:t>
      </w:r>
      <w:r>
        <w:rPr>
          <w:rFonts w:hint="eastAsia"/>
        </w:rPr>
        <w:t xml:space="preserve">（需求第5）出现在30/54专业（55.6%）</w:t>
      </w:r>
    </w:p>
    <w:p>
      <w:pPr>
        <w:pStyle w:val="Compact"/>
        <w:numPr>
          <w:ilvl w:val="0"/>
          <w:numId w:val="1001"/>
        </w:numPr>
      </w:pPr>
      <w:r>
        <w:rPr>
          <w:rFonts w:hint="eastAsia"/>
          <w:b/>
          <w:bCs/>
        </w:rPr>
        <w:t xml:space="preserve">创新思维</w:t>
      </w:r>
      <w:r>
        <w:t xml:space="preserve"> </w:t>
      </w:r>
      <w:r>
        <w:rPr>
          <w:rFonts w:hint="eastAsia"/>
        </w:rPr>
        <w:t xml:space="preserve">出现在29/54专业（53.7%）</w:t>
      </w:r>
    </w:p>
    <w:p>
      <w:pPr>
        <w:pStyle w:val="Compact"/>
        <w:numPr>
          <w:ilvl w:val="0"/>
          <w:numId w:val="1001"/>
        </w:numPr>
      </w:pPr>
      <w:r>
        <w:rPr>
          <w:rFonts w:hint="eastAsia"/>
          <w:b/>
          <w:bCs/>
        </w:rPr>
        <w:t xml:space="preserve">学习能力</w:t>
      </w:r>
      <w:r>
        <w:rPr>
          <w:rFonts w:hint="eastAsia"/>
        </w:rPr>
        <w:t xml:space="preserve">（需求第4）出现在27/54专业（50.0%）</w:t>
      </w:r>
    </w:p>
    <w:p>
      <w:pPr>
        <w:pStyle w:val="Compact"/>
        <w:numPr>
          <w:ilvl w:val="0"/>
          <w:numId w:val="1001"/>
        </w:numPr>
      </w:pPr>
      <w:r>
        <w:rPr>
          <w:rFonts w:hint="eastAsia"/>
          <w:b/>
          <w:bCs/>
        </w:rPr>
        <w:t xml:space="preserve">责任心</w:t>
      </w:r>
      <w:r>
        <w:rPr>
          <w:rFonts w:hint="eastAsia"/>
        </w:rPr>
        <w:t xml:space="preserve">（需求第2）出现在11/54专业（20.4%）</w:t>
      </w:r>
    </w:p>
    <w:p>
      <w:pPr>
        <w:pStyle w:val="FirstParagraph"/>
      </w:pPr>
      <w:r>
        <w:rPr>
          <w:rFonts w:hint="eastAsia"/>
        </w:rPr>
        <w:t xml:space="preserve">这与Deming[14]</w:t>
      </w:r>
      <w:r>
        <w:rPr>
          <w:rFonts w:hint="eastAsia"/>
        </w:rPr>
        <w:t xml:space="preserve">“社会技能在劳动力市场中跨岗位普遍上升”</w:t>
      </w:r>
      <w:r>
        <w:rPr>
          <w:rFonts w:hint="eastAsia"/>
        </w:rPr>
        <w:t xml:space="preserve">的国际发现形成跨语境呼应：软技能不仅是企业的普遍要求，也已成为院校层面广泛接受的培养目标，</w:t>
      </w:r>
      <w:r>
        <w:rPr>
          <w:rFonts w:hint="eastAsia"/>
          <w:b/>
          <w:bCs/>
        </w:rPr>
        <w:t xml:space="preserve">是供需两端最容易达成共识的能力维度</w:t>
      </w:r>
      <w:r>
        <w:t xml:space="preserve">。</w:t>
      </w:r>
    </w:p>
    <w:bookmarkEnd w:id="48"/>
    <w:bookmarkStart w:id="49" w:name="四m4ai需求未单调上升命题-已在第四章证明"/>
    <w:p>
      <w:pPr>
        <w:pStyle w:val="Heading2"/>
      </w:pPr>
      <w:r>
        <w:rPr>
          <w:rFonts w:hint="eastAsia"/>
        </w:rPr>
        <w:t xml:space="preserve">（四）M4（AI需求未单调上升命题）——</w:t>
      </w:r>
      <w:r>
        <w:t xml:space="preserve"> </w:t>
      </w:r>
      <w:r>
        <w:rPr>
          <w:rFonts w:hint="eastAsia"/>
        </w:rPr>
        <w:t xml:space="preserve">已在第四章证明</w:t>
      </w:r>
    </w:p>
    <w:p>
      <w:pPr>
        <w:pStyle w:val="FirstParagraph"/>
      </w:pPr>
      <w:r>
        <w:rPr>
          <w:rFonts w:hint="eastAsia"/>
        </w:rPr>
        <w:t xml:space="preserve">需求侧2024−2021</w:t>
      </w:r>
      <w:r>
        <w:t xml:space="preserve"> </w:t>
      </w:r>
      <w:r>
        <w:rPr>
          <w:rFonts w:hint="eastAsia"/>
        </w:rPr>
        <w:t xml:space="preserve">AI相关性差值=−1.81，未呈单调上升。M4成立。</w:t>
      </w:r>
    </w:p>
    <w:bookmarkEnd w:id="49"/>
    <w:bookmarkStart w:id="50" w:name="五m5适度超前窗口命题-部分成立需校准"/>
    <w:p>
      <w:pPr>
        <w:pStyle w:val="Heading2"/>
      </w:pPr>
      <w:r>
        <w:rPr>
          <w:rFonts w:hint="eastAsia"/>
        </w:rPr>
        <w:t xml:space="preserve">（五）M5（适度超前窗口命题）——</w:t>
      </w:r>
      <w:r>
        <w:t xml:space="preserve"> </w:t>
      </w:r>
      <w:r>
        <w:rPr>
          <w:rFonts w:hint="eastAsia"/>
        </w:rPr>
        <w:t xml:space="preserve">部分成立，需校准</w:t>
      </w:r>
    </w:p>
    <w:p>
      <w:pPr>
        <w:pStyle w:val="FirstParagraph"/>
      </w:pPr>
      <w:r>
        <w:rPr>
          <w:rFonts w:hint="eastAsia"/>
        </w:rPr>
        <w:t xml:space="preserve">按本研究工作定义（[+15,</w:t>
      </w:r>
      <w:r>
        <w:t xml:space="preserve"> </w:t>
      </w:r>
      <w:r>
        <w:rPr>
          <w:rFonts w:hint="eastAsia"/>
        </w:rPr>
        <w:t xml:space="preserve">+35]为”适度超前”），M5在三维上的具体落实情况：</w:t>
      </w:r>
    </w:p>
    <w:p>
      <w:pPr>
        <w:pStyle w:val="Compact"/>
        <w:numPr>
          <w:ilvl w:val="0"/>
          <w:numId w:val="1002"/>
        </w:numPr>
      </w:pPr>
      <w:r>
        <w:rPr>
          <w:rFonts w:hint="eastAsia"/>
          <w:b/>
          <w:bCs/>
        </w:rPr>
        <w:t xml:space="preserve">数字化程度：</w:t>
      </w:r>
      <w:r>
        <w:t xml:space="preserve"> </w:t>
      </w:r>
      <w:r>
        <w:rPr>
          <w:rFonts w:hint="eastAsia"/>
        </w:rPr>
        <w:t xml:space="preserve">中位数超前度+35.7，</w:t>
      </w:r>
      <w:r>
        <w:rPr>
          <w:rFonts w:hint="eastAsia"/>
          <w:b/>
          <w:bCs/>
        </w:rPr>
        <w:t xml:space="preserve">恰好落在”适度超前”上界附近</w:t>
      </w:r>
      <w:r>
        <w:rPr>
          <w:rFonts w:hint="eastAsia"/>
        </w:rPr>
        <w:t xml:space="preserve">——这意味着该院校超过一半的专业已经达到或超出工作定义中的”适度超前”上界。如果取更宽松的窗口[+15,</w:t>
      </w:r>
      <w:r>
        <w:t xml:space="preserve"> </w:t>
      </w:r>
      <w:r>
        <w:rPr>
          <w:rFonts w:hint="eastAsia"/>
        </w:rPr>
        <w:t xml:space="preserve">+50]，则数字化超前度的77.4%（48/54）可视为”合理”；</w:t>
      </w:r>
    </w:p>
    <w:p>
      <w:pPr>
        <w:pStyle w:val="Compact"/>
        <w:numPr>
          <w:ilvl w:val="0"/>
          <w:numId w:val="1002"/>
        </w:numPr>
      </w:pPr>
      <w:r>
        <w:rPr>
          <w:rFonts w:hint="eastAsia"/>
          <w:b/>
          <w:bCs/>
        </w:rPr>
        <w:t xml:space="preserve">AI相关性：</w:t>
      </w:r>
      <w:r>
        <w:t xml:space="preserve"> </w:t>
      </w:r>
      <w:r>
        <w:rPr>
          <w:rFonts w:hint="eastAsia"/>
        </w:rPr>
        <w:t xml:space="preserve">中位数超前度+24.1，</w:t>
      </w:r>
      <w:r>
        <w:rPr>
          <w:rFonts w:hint="eastAsia"/>
          <w:b/>
          <w:bCs/>
        </w:rPr>
        <w:t xml:space="preserve">舒适地落在”适度超前”区间内</w:t>
      </w:r>
      <w:r>
        <w:rPr>
          <w:rFonts w:hint="eastAsia"/>
        </w:rPr>
        <w:t xml:space="preserve">——表明AI维度的超前度更为温和；</w:t>
      </w:r>
    </w:p>
    <w:p>
      <w:pPr>
        <w:pStyle w:val="Compact"/>
        <w:numPr>
          <w:ilvl w:val="0"/>
          <w:numId w:val="1002"/>
        </w:numPr>
      </w:pPr>
      <w:r>
        <w:rPr>
          <w:rFonts w:hint="eastAsia"/>
          <w:b/>
          <w:bCs/>
        </w:rPr>
        <w:t xml:space="preserve">技术复杂度：</w:t>
      </w:r>
      <w:r>
        <w:t xml:space="preserve"> </w:t>
      </w:r>
      <w:r>
        <w:rPr>
          <w:rFonts w:hint="eastAsia"/>
        </w:rPr>
        <w:t xml:space="preserve">中位数超前度+31.6，同样接近”适度超前”上界。</w:t>
      </w:r>
    </w:p>
    <w:p>
      <w:pPr>
        <w:pStyle w:val="FirstParagraph"/>
      </w:pPr>
      <w:r>
        <w:rPr>
          <w:rFonts w:hint="eastAsia"/>
          <w:b/>
          <w:bCs/>
        </w:rPr>
        <w:t xml:space="preserve">结论：M5</w:t>
      </w:r>
      <w:r>
        <w:rPr>
          <w:b/>
          <w:bCs/>
        </w:rPr>
        <w:t xml:space="preserve"> </w:t>
      </w:r>
      <w:r>
        <w:rPr>
          <w:rFonts w:hint="eastAsia"/>
          <w:b/>
          <w:bCs/>
        </w:rPr>
        <w:t xml:space="preserve">部分成立</w:t>
      </w:r>
      <w:r>
        <w:rPr>
          <w:rFonts w:hint="eastAsia"/>
        </w:rPr>
        <w:t xml:space="preserve">——本研究提出的[+15,</w:t>
      </w:r>
      <w:r>
        <w:t xml:space="preserve"> </w:t>
      </w:r>
      <w:r>
        <w:rPr>
          <w:rFonts w:hint="eastAsia"/>
        </w:rPr>
        <w:t xml:space="preserve">+35]工作窗口在AI相关性维度上拟合度高，但在数字化程度与技术复杂度维度上需要校准。一种可能的修正是：</w:t>
      </w:r>
      <w:r>
        <w:rPr>
          <w:rFonts w:hint="eastAsia"/>
          <w:b/>
          <w:bCs/>
        </w:rPr>
        <w:t xml:space="preserve">对不同维度采用不同的”适度超前”窗口</w:t>
      </w:r>
      <w:r>
        <w:rPr>
          <w:rFonts w:hint="eastAsia"/>
        </w:rPr>
        <w:t xml:space="preserve">——在快速变化的领域（如AI）使用更宽容的上界（如+45），在相对稳定的领域（如数字化基础）使用更严的上界（如+30）。这一修正方向可作为后续研究的一个具体议题。</w:t>
      </w:r>
    </w:p>
    <w:bookmarkEnd w:id="50"/>
    <w:bookmarkStart w:id="54" w:name="六综合匹配指数"/>
    <w:p>
      <w:pPr>
        <w:pStyle w:val="Heading2"/>
      </w:pPr>
      <w:r>
        <w:rPr>
          <w:rFonts w:hint="eastAsia"/>
        </w:rPr>
        <w:t xml:space="preserve">（六）综合匹配指数</w:t>
      </w:r>
    </w:p>
    <w:p>
      <w:pPr>
        <w:pStyle w:val="FirstParagraph"/>
      </w:pPr>
      <w:r>
        <w:rPr>
          <w:rFonts w:hint="eastAsia"/>
        </w:rPr>
        <w:t xml:space="preserve">54专业综合匹配指数（满分100）均值仅</w:t>
      </w:r>
      <w:r>
        <w:rPr>
          <w:b/>
          <w:bCs/>
        </w:rPr>
        <w:t xml:space="preserve">17.8</w:t>
      </w:r>
      <w:r>
        <w:rPr>
          <w:rFonts w:hint="eastAsia"/>
        </w:rPr>
        <w:t xml:space="preserve">（中位18.4，最大31.3，最小4.0）。这一极低的总体匹配水平</w:t>
      </w:r>
      <w:r>
        <w:rPr>
          <w:rFonts w:hint="eastAsia"/>
          <w:b/>
          <w:bCs/>
        </w:rPr>
        <w:t xml:space="preserve">不应被简单解读为”院校失职”</w:t>
      </w:r>
      <w:r>
        <w:rPr>
          <w:rFonts w:hint="eastAsia"/>
        </w:rPr>
        <w:t xml:space="preserve">——它更准确地反映了两个事实：（1）招聘大数据Top50工具在跨行业层面具有高度的多样性，单一专业难以全部覆盖；（2）院校专业的细分定位与企业用人需求的”通用工具优先”取向之间存在结构性矛盾。</w:t>
      </w:r>
    </w:p>
    <w:p>
      <w:pPr>
        <w:pStyle w:val="BodyText"/>
      </w:pPr>
      <w:r>
        <w:rPr>
          <w:rFonts w:hint="eastAsia"/>
        </w:rPr>
        <w:t xml:space="preserve">按学院聚合的匹配指数（从高到低）：交通与环境学院22.9</w:t>
      </w:r>
      <w:r>
        <w:t xml:space="preserve"> → </w:t>
      </w:r>
      <w:r>
        <w:rPr>
          <w:rFonts w:hint="eastAsia"/>
        </w:rPr>
        <w:t xml:space="preserve">体育运动学院22.7</w:t>
      </w:r>
      <w:r>
        <w:t xml:space="preserve"> → </w:t>
      </w:r>
      <w:r>
        <w:rPr>
          <w:rFonts w:hint="eastAsia"/>
        </w:rPr>
        <w:t xml:space="preserve">财经学院21.0</w:t>
      </w:r>
      <w:r>
        <w:t xml:space="preserve"> → </w:t>
      </w:r>
      <w:r>
        <w:rPr>
          <w:rFonts w:hint="eastAsia"/>
        </w:rPr>
        <w:t xml:space="preserve">应用外语学院20.8</w:t>
      </w:r>
      <w:r>
        <w:t xml:space="preserve"> → </w:t>
      </w:r>
      <w:r>
        <w:rPr>
          <w:rFonts w:hint="eastAsia"/>
        </w:rPr>
        <w:t xml:space="preserve">微电子学院19.0</w:t>
      </w:r>
      <w:r>
        <w:t xml:space="preserve"> → </w:t>
      </w:r>
      <w:r>
        <w:rPr>
          <w:rFonts w:hint="eastAsia"/>
        </w:rPr>
        <w:t xml:space="preserve">计算机与软件学院18.5</w:t>
      </w:r>
      <w:r>
        <w:t xml:space="preserve"> → </w:t>
      </w:r>
      <w:r>
        <w:rPr>
          <w:rFonts w:hint="eastAsia"/>
        </w:rPr>
        <w:t xml:space="preserve">智能制造与装备学院18.2</w:t>
      </w:r>
      <w:r>
        <w:t xml:space="preserve"> → </w:t>
      </w:r>
      <w:r>
        <w:rPr>
          <w:rFonts w:hint="eastAsia"/>
        </w:rPr>
        <w:t xml:space="preserve">中德机器人学院16.7</w:t>
      </w:r>
      <w:r>
        <w:t xml:space="preserve"> → </w:t>
      </w:r>
      <w:r>
        <w:rPr>
          <w:rFonts w:hint="eastAsia"/>
        </w:rPr>
        <w:t xml:space="preserve">数字媒体学院16.5</w:t>
      </w:r>
      <w:r>
        <w:t xml:space="preserve"> → </w:t>
      </w:r>
      <w:r>
        <w:rPr>
          <w:rFonts w:hint="eastAsia"/>
        </w:rPr>
        <w:t xml:space="preserve">人工智能学院15.2</w:t>
      </w:r>
      <w:r>
        <w:t xml:space="preserve"> → </w:t>
      </w:r>
      <w:r>
        <w:rPr>
          <w:rFonts w:hint="eastAsia"/>
        </w:rPr>
        <w:t xml:space="preserve">管理学院15.2</w:t>
      </w:r>
      <w:r>
        <w:t xml:space="preserve"> → </w:t>
      </w:r>
      <w:r>
        <w:rPr>
          <w:rFonts w:hint="eastAsia"/>
        </w:rPr>
        <w:t xml:space="preserve">信息与通信学院11.7。</w:t>
      </w:r>
    </w:p>
    <w:p>
      <w:pPr>
        <w:pStyle w:val="BodyText"/>
      </w:pPr>
      <w:r>
        <w:rPr>
          <w:rFonts w:hint="eastAsia"/>
          <w:b/>
          <w:bCs/>
        </w:rPr>
        <w:t xml:space="preserve">反直觉的是，</w:t>
      </w:r>
      <w:r>
        <w:rPr>
          <w:rFonts w:hint="eastAsia"/>
          <w:b/>
          <w:bCs/>
        </w:rPr>
        <w:t xml:space="preserve">“人工智能学院”</w:t>
      </w:r>
      <w:r>
        <w:rPr>
          <w:rFonts w:hint="eastAsia"/>
          <w:b/>
          <w:bCs/>
        </w:rPr>
        <w:t xml:space="preserve">匹配指数较低（15.2）</w:t>
      </w:r>
      <w:r>
        <w:rPr>
          <w:rFonts w:hint="eastAsia"/>
        </w:rPr>
        <w:t xml:space="preserve">——其培养方案的数字化定位（82.7）和AI相关性（55.3）都是全校最高，但匹配指数却处于中下水平。原因在于其抽取的工具（</w:t>
      </w:r>
      <w:r>
        <w:t xml:space="preserve">“Python”</w:t>
      </w:r>
      <w:r>
        <w:t xml:space="preserve">、</w:t>
      </w:r>
      <w:r>
        <w:rPr>
          <w:rFonts w:hint="eastAsia"/>
        </w:rPr>
        <w:t xml:space="preserve">“深度学习框架”</w:t>
      </w:r>
      <w:r>
        <w:t xml:space="preserve">、</w:t>
      </w:r>
      <w:r>
        <w:t xml:space="preserve">“Hadoop”</w:t>
      </w:r>
      <w:r>
        <w:rPr>
          <w:rFonts w:hint="eastAsia"/>
        </w:rPr>
        <w:t xml:space="preserve">等）虽属高定位，却未能精准对接企业实际工具需求（CAD、SolidWorks、ERP、PLC、示波器等更”传统”的具体工具）。这一发现是M1与M4的联合产物：</w:t>
      </w:r>
      <w:r>
        <w:rPr>
          <w:rFonts w:hint="eastAsia"/>
          <w:b/>
          <w:bCs/>
        </w:rPr>
        <w:t xml:space="preserve">人工智能学院的培养方案以”AI产业未来需求”为锚，而企业招聘文本中的AI相关性反向下降</w:t>
      </w:r>
      <w:r>
        <w:rPr>
          <w:rFonts w:hint="eastAsia"/>
        </w:rPr>
        <w:t xml:space="preserve">——超前度最大的专业，恰恰也是匹配度最低的专业。</w:t>
      </w:r>
    </w:p>
    <w:p>
      <w:pPr>
        <w:pStyle w:val="CaptionedFigure"/>
      </w:pPr>
      <w:r>
        <w:drawing>
          <wp:inline>
            <wp:extent cx="5334000" cy="6950363"/>
            <wp:effectExtent b="0" l="0" r="0" t="0"/>
            <wp:docPr descr="图7 54个专业综合匹配指数排序（蓝=职业本科，橙=高职专科）" title="" id="52" name="Picture"/>
            <a:graphic>
              <a:graphicData uri="http://schemas.openxmlformats.org/drawingml/2006/picture">
                <pic:pic>
                  <pic:nvPicPr>
                    <pic:cNvPr descr="Figures/journal/v4/fig_v4_b01_match_index_bar.png" id="53" name="Picture"/>
                    <pic:cNvPicPr>
                      <a:picLocks noChangeArrowheads="1" noChangeAspect="1"/>
                    </pic:cNvPicPr>
                  </pic:nvPicPr>
                  <pic:blipFill>
                    <a:blip r:embed="rId51"/>
                    <a:stretch>
                      <a:fillRect/>
                    </a:stretch>
                  </pic:blipFill>
                  <pic:spPr bwMode="auto">
                    <a:xfrm>
                      <a:off x="0" y="0"/>
                      <a:ext cx="5334000" cy="6950363"/>
                    </a:xfrm>
                    <a:prstGeom prst="rect">
                      <a:avLst/>
                    </a:prstGeom>
                    <a:noFill/>
                    <a:ln w="9525">
                      <a:noFill/>
                      <a:headEnd/>
                      <a:tailEnd/>
                    </a:ln>
                  </pic:spPr>
                </pic:pic>
              </a:graphicData>
            </a:graphic>
          </wp:inline>
        </w:drawing>
      </w:r>
    </w:p>
    <w:p>
      <w:pPr>
        <w:pStyle w:val="ImageCaption"/>
      </w:pPr>
      <w:r>
        <w:rPr>
          <w:rFonts w:hint="eastAsia"/>
        </w:rPr>
        <w:t xml:space="preserve">图7</w:t>
      </w:r>
      <w:r>
        <w:t xml:space="preserve"> </w:t>
      </w:r>
      <w:r>
        <w:rPr>
          <w:rFonts w:hint="eastAsia"/>
        </w:rPr>
        <w:t xml:space="preserve">54个专业综合匹配指数排序（蓝=职业本科，橙=高职专科）</w:t>
      </w:r>
    </w:p>
    <w:bookmarkEnd w:id="54"/>
    <w:bookmarkEnd w:id="55"/>
    <w:bookmarkStart w:id="60" w:name="七讨论"/>
    <w:p>
      <w:pPr>
        <w:pStyle w:val="Heading1"/>
      </w:pPr>
      <w:r>
        <w:rPr>
          <w:rFonts w:hint="eastAsia"/>
        </w:rPr>
        <w:t xml:space="preserve">七、讨论</w:t>
      </w:r>
    </w:p>
    <w:bookmarkStart w:id="56" w:name="一适度超前原则的首个可量化窗口"/>
    <w:p>
      <w:pPr>
        <w:pStyle w:val="Heading2"/>
      </w:pPr>
      <w:r>
        <w:rPr>
          <w:rFonts w:hint="eastAsia"/>
        </w:rPr>
        <w:t xml:space="preserve">（一）</w:t>
      </w:r>
      <w:r>
        <w:rPr>
          <w:rFonts w:hint="eastAsia"/>
        </w:rPr>
        <w:t xml:space="preserve">“适度超前”</w:t>
      </w:r>
      <w:r>
        <w:rPr>
          <w:rFonts w:hint="eastAsia"/>
        </w:rPr>
        <w:t xml:space="preserve">原则的首个可量化窗口</w:t>
      </w:r>
    </w:p>
    <w:p>
      <w:pPr>
        <w:pStyle w:val="FirstParagraph"/>
      </w:pPr>
      <w:r>
        <w:rPr>
          <w:rFonts w:hint="eastAsia"/>
        </w:rPr>
        <w:t xml:space="preserve">本研究最重要的贡献是为教育部”适度超前”原则提供了首个基于双侧文本数据的可量化工作窗口（[+15,</w:t>
      </w:r>
      <w:r>
        <w:t xml:space="preserve"> </w:t>
      </w:r>
      <w:r>
        <w:rPr>
          <w:rFonts w:hint="eastAsia"/>
        </w:rPr>
        <w:t xml:space="preserve">+35]分）。在数字化程度维度，该窗口能容纳29.6%的专业（适度超前）+</w:t>
      </w:r>
      <w:r>
        <w:t xml:space="preserve"> </w:t>
      </w:r>
      <w:r>
        <w:rPr>
          <w:rFonts w:hint="eastAsia"/>
        </w:rPr>
        <w:t xml:space="preserve">13.0%（同步），合计42.6%属于”原则下”。但</w:t>
      </w:r>
      <w:r>
        <w:rPr>
          <w:rFonts w:hint="eastAsia"/>
          <w:b/>
          <w:bCs/>
        </w:rPr>
        <w:t xml:space="preserve">53.7%的专业已超出+35上界</w:t>
      </w:r>
      <w:r>
        <w:rPr>
          <w:rFonts w:hint="eastAsia"/>
        </w:rPr>
        <w:t xml:space="preserve">，进入”显著超前”区段。这不必然是缺陷——一个合理的解释是：</w:t>
      </w:r>
      <w:r>
        <w:rPr>
          <w:rFonts w:hint="eastAsia"/>
          <w:b/>
          <w:bCs/>
        </w:rPr>
        <w:t xml:space="preserve">在数字化基础（CAD、ERP操作）已被默认为”通用素养”的当下，培养方案的数字化定位被普遍上抬，而招聘文本的数字化评分被工具基础化后压低</w:t>
      </w:r>
      <w:r>
        <w:rPr>
          <w:rFonts w:hint="eastAsia"/>
        </w:rPr>
        <w:t xml:space="preserve">。供需差因此被放大，但两端实际的”距离”未必如分数所示那么大。</w:t>
      </w:r>
    </w:p>
    <w:bookmarkEnd w:id="56"/>
    <w:bookmarkStart w:id="57" w:name="二ai需求尚未起势与院校ai显著超前定位的时间错位"/>
    <w:p>
      <w:pPr>
        <w:pStyle w:val="Heading2"/>
      </w:pPr>
      <w:r>
        <w:rPr>
          <w:rFonts w:hint="eastAsia"/>
        </w:rPr>
        <w:t xml:space="preserve">（二）AI需求”尚未起势”与院校”AI显著超前定位”的时间错位</w:t>
      </w:r>
    </w:p>
    <w:p>
      <w:pPr>
        <w:pStyle w:val="FirstParagraph"/>
      </w:pPr>
      <w:r>
        <w:rPr>
          <w:rFonts w:hint="eastAsia"/>
        </w:rPr>
        <w:t xml:space="preserve">M4揭示企业招聘文本中AI相关性2021—2024年下降1.81分，与”AI浪潮”的舆论叙事形成鲜明对比。一种解释是：AI能力正快速嵌入工具（如数控CNC的智能补刀、ERP的智能补单），不再以独立技能出现在招聘文本中——但即便如此，</w:t>
      </w:r>
      <w:r>
        <w:rPr>
          <w:rFonts w:hint="eastAsia"/>
          <w:b/>
          <w:bCs/>
        </w:rPr>
        <w:t xml:space="preserve">院校AI类专业培养方案的”AI相关性=55.3”作为面向未来3—5年的设计，能否在毕业生入职时找到对应的需求峰值，仍是一个开放的实证议题</w:t>
      </w:r>
      <w:r>
        <w:rPr>
          <w:rFonts w:hint="eastAsia"/>
        </w:rPr>
        <w:t xml:space="preserve">。本研究无法预测，但确认了一个重要事实：在样本期末（2024年）的招聘文本中，AI相关性的位置仍然偏低。</w:t>
      </w:r>
    </w:p>
    <w:bookmarkEnd w:id="57"/>
    <w:bookmarkStart w:id="58" w:name="三双向概念工具语义落差"/>
    <w:p>
      <w:pPr>
        <w:pStyle w:val="Heading2"/>
      </w:pPr>
      <w:r>
        <w:rPr>
          <w:rFonts w:hint="eastAsia"/>
        </w:rPr>
        <w:t xml:space="preserve">（三）双向”概念—工具”语义落差</w:t>
      </w:r>
    </w:p>
    <w:p>
      <w:pPr>
        <w:pStyle w:val="FirstParagraph"/>
      </w:pPr>
      <w:r>
        <w:rPr>
          <w:rFonts w:hint="eastAsia"/>
        </w:rPr>
        <w:t xml:space="preserve">V2研究已揭示企业招聘描述用”人工智能”</w:t>
      </w:r>
      <w:r>
        <w:rPr>
          <w:rFonts w:hint="eastAsia"/>
        </w:rPr>
        <w:t xml:space="preserve">“智能制造”</w:t>
      </w:r>
      <w:r>
        <w:rPr>
          <w:rFonts w:hint="eastAsia"/>
        </w:rPr>
        <w:t xml:space="preserve">等概念词覆盖工具应用层（机制1）；本研究M1进一步揭示院校培养方案用”数字化”</w:t>
      </w:r>
      <w:r>
        <w:rPr>
          <w:rFonts w:hint="eastAsia"/>
        </w:rPr>
        <w:t xml:space="preserve">“智能化”</w:t>
      </w:r>
      <w:r>
        <w:rPr>
          <w:rFonts w:hint="eastAsia"/>
        </w:rPr>
        <w:t xml:space="preserve">等概念词放大了未必落地的高定位。两端的语义落差方向相反，但</w:t>
      </w:r>
      <w:r>
        <w:rPr>
          <w:rFonts w:hint="eastAsia"/>
          <w:b/>
          <w:bCs/>
        </w:rPr>
        <w:t xml:space="preserve">在效果上叠加形成双向放大的错配</w:t>
      </w:r>
      <w:r>
        <w:rPr>
          <w:rFonts w:hint="eastAsia"/>
        </w:rPr>
        <w:t xml:space="preserve">：企业以为院校在培养”AI高定位人才”，院校以为企业需要”AI高定位人才”，但实际岗位需要的是CAD/ERP/SolidWorks/Linux/PLC等具体工具熟练度。</w:t>
      </w:r>
    </w:p>
    <w:bookmarkEnd w:id="58"/>
    <w:bookmarkStart w:id="59" w:name="四三类政策启示"/>
    <w:p>
      <w:pPr>
        <w:pStyle w:val="Heading2"/>
      </w:pPr>
      <w:r>
        <w:rPr>
          <w:rFonts w:hint="eastAsia"/>
        </w:rPr>
        <w:t xml:space="preserve">（四）三类政策启示</w:t>
      </w:r>
    </w:p>
    <w:p>
      <w:pPr>
        <w:pStyle w:val="FirstParagraph"/>
      </w:pPr>
      <w:r>
        <w:rPr>
          <w:rFonts w:hint="eastAsia"/>
          <w:b/>
          <w:bCs/>
        </w:rPr>
        <w:t xml:space="preserve">第一类，对该院校的具体改革建议：</w:t>
      </w:r>
      <w:r>
        <w:t xml:space="preserve"> </w:t>
      </w:r>
      <w:r>
        <w:t xml:space="preserve">1.</w:t>
      </w:r>
      <w:r>
        <w:t xml:space="preserve"> </w:t>
      </w:r>
      <w:r>
        <w:rPr>
          <w:rFonts w:hint="eastAsia"/>
          <w:b/>
          <w:bCs/>
        </w:rPr>
        <w:t xml:space="preserve">数字化”显著超前”区段（29个专业）需与产业实际工具需求做交叉审计</w:t>
      </w:r>
      <w:r>
        <w:rPr>
          <w:rFonts w:hint="eastAsia"/>
        </w:rPr>
        <w:t xml:space="preserve">：在保留高定位的同时增加通用工具课程（如必修ERP/CAD一门），让”显著超前”成为”携带工具基础的超前”</w:t>
      </w:r>
      <w:r>
        <w:t xml:space="preserve"> </w:t>
      </w:r>
      <w:r>
        <w:t xml:space="preserve">2.</w:t>
      </w:r>
      <w:r>
        <w:t xml:space="preserve"> </w:t>
      </w:r>
      <w:r>
        <w:rPr>
          <w:rFonts w:hint="eastAsia"/>
          <w:b/>
          <w:bCs/>
        </w:rPr>
        <w:t xml:space="preserve">匹配指数最低的人工智能学院与信息与通信学院</w:t>
      </w:r>
      <w:r>
        <w:rPr>
          <w:rFonts w:hint="eastAsia"/>
        </w:rPr>
        <w:t xml:space="preserve">应优先开展企业实地访谈，将”AI算法/系统/通信”等高定位与”CAD/SolidWorks/PLC/示波器”等通用工具贯通教学</w:t>
      </w:r>
      <w:r>
        <w:t xml:space="preserve"> </w:t>
      </w:r>
      <w:r>
        <w:t xml:space="preserve">3.</w:t>
      </w:r>
      <w:r>
        <w:t xml:space="preserve"> </w:t>
      </w:r>
      <w:r>
        <w:rPr>
          <w:rFonts w:hint="eastAsia"/>
          <w:b/>
          <w:bCs/>
        </w:rPr>
        <w:t xml:space="preserve">匹配指数最高的交通与环境、应用外语、财经学院</w:t>
      </w:r>
      <w:r>
        <w:rPr>
          <w:rFonts w:hint="eastAsia"/>
        </w:rPr>
        <w:t xml:space="preserve">得益于软技能维度强、专业工具与需求匹配较好，可作为校内协同育人的范本</w:t>
      </w:r>
      <w:r>
        <w:t xml:space="preserve"> </w:t>
      </w:r>
      <w:r>
        <w:t xml:space="preserve">4.</w:t>
      </w:r>
      <w:r>
        <w:t xml:space="preserve"> </w:t>
      </w:r>
      <w:r>
        <w:rPr>
          <w:rFonts w:hint="eastAsia"/>
          <w:b/>
          <w:bCs/>
        </w:rPr>
        <w:t xml:space="preserve">5个工具空（关务、金融、体育艺术、环境监测、智能互联网络）专业</w:t>
      </w:r>
      <w:r>
        <w:rPr>
          <w:rFonts w:hint="eastAsia"/>
        </w:rPr>
        <w:t xml:space="preserve">应在培养方案修订中明示具体工具/平台名称</w:t>
      </w:r>
      <w:r>
        <w:t xml:space="preserve"> </w:t>
      </w:r>
      <w:r>
        <w:t xml:space="preserve">5. </w:t>
      </w:r>
      <w:r>
        <w:rPr>
          <w:rFonts w:hint="eastAsia"/>
        </w:rPr>
        <w:t xml:space="preserve">推进谭卓婧、周纳宇[12]建议的”双师型”教师建设，优先安排到匹配指数较低、AI相关性最高的专业类别</w:t>
      </w:r>
    </w:p>
    <w:p>
      <w:pPr>
        <w:pStyle w:val="BodyText"/>
      </w:pPr>
      <w:r>
        <w:rPr>
          <w:rFonts w:hint="eastAsia"/>
          <w:b/>
          <w:bCs/>
        </w:rPr>
        <w:t xml:space="preserve">第二类，对教育部与省级教育主管部门的建议：</w:t>
      </w:r>
      <w:r>
        <w:t xml:space="preserve"> </w:t>
      </w:r>
      <w:r>
        <w:t xml:space="preserve">- </w:t>
      </w:r>
      <w:r>
        <w:rPr>
          <w:rFonts w:hint="eastAsia"/>
        </w:rPr>
        <w:t xml:space="preserve">武博[8]提出的”匹配度—协调性—适应性”三大依据中，匹配度的可操作化应基于双侧LLM文本挖掘而非传统统计；本研究方法论可作为试点</w:t>
      </w:r>
      <w:r>
        <w:t xml:space="preserve"> </w:t>
      </w:r>
      <w:r>
        <w:t xml:space="preserve">- </w:t>
      </w:r>
      <w:r>
        <w:rPr>
          <w:rFonts w:hint="eastAsia"/>
        </w:rPr>
        <w:t xml:space="preserve">喻宙等[10]构建的产教融合效益评价指标体系应纳入”超前度分布”</w:t>
      </w:r>
      <w:r>
        <w:rPr>
          <w:rFonts w:hint="eastAsia"/>
        </w:rPr>
        <w:t xml:space="preserve">“工具覆盖率”</w:t>
      </w:r>
      <w:r>
        <w:rPr>
          <w:rFonts w:hint="eastAsia"/>
        </w:rPr>
        <w:t xml:space="preserve">“软技能匹配率”</w:t>
      </w:r>
      <w:r>
        <w:rPr>
          <w:rFonts w:hint="eastAsia"/>
        </w:rPr>
        <w:t xml:space="preserve">三类微观指标</w:t>
      </w:r>
      <w:r>
        <w:t xml:space="preserve"> </w:t>
      </w:r>
      <w:r>
        <w:t xml:space="preserve">- </w:t>
      </w:r>
      <w:r>
        <w:rPr>
          <w:rFonts w:hint="eastAsia"/>
        </w:rPr>
        <w:t xml:space="preserve">在新质生产力被纳入省域产教融合规划的背景下[11]，应明确”适度超前”在不同维度（数字化基础/AI/技术复杂度）上的差异化窗口</w:t>
      </w:r>
    </w:p>
    <w:p>
      <w:pPr>
        <w:pStyle w:val="BodyText"/>
      </w:pPr>
      <w:r>
        <w:rPr>
          <w:rFonts w:hint="eastAsia"/>
          <w:b/>
          <w:bCs/>
        </w:rPr>
        <w:t xml:space="preserve">第三类，对深圳全域专精特新企业人才战略的建议：</w:t>
      </w:r>
      <w:r>
        <w:t xml:space="preserve"> </w:t>
      </w:r>
      <w:r>
        <w:t xml:space="preserve">- </w:t>
      </w:r>
      <w:r>
        <w:rPr>
          <w:rFonts w:hint="eastAsia"/>
        </w:rPr>
        <w:t xml:space="preserve">充分利用院校”显著超前定位”形成的高素质人才储备，在企业内部建立”工具应用→项目主导”的快速成长通道</w:t>
      </w:r>
      <w:r>
        <w:t xml:space="preserve"> </w:t>
      </w:r>
      <w:r>
        <w:t xml:space="preserve">- </w:t>
      </w:r>
      <w:r>
        <w:rPr>
          <w:rFonts w:hint="eastAsia"/>
        </w:rPr>
        <w:t xml:space="preserve">关注样本期内AI相关性下降的现象——这可能是企业”AI能力嵌入工具化”的信号，建议同步建设”嵌入式AI应用工程师”等新岗位定义</w:t>
      </w:r>
    </w:p>
    <w:bookmarkEnd w:id="59"/>
    <w:bookmarkEnd w:id="60"/>
    <w:bookmarkStart w:id="61" w:name="八稳健性检验"/>
    <w:p>
      <w:pPr>
        <w:pStyle w:val="Heading1"/>
      </w:pPr>
      <w:r>
        <w:rPr>
          <w:rFonts w:hint="eastAsia"/>
        </w:rPr>
        <w:t xml:space="preserve">八、稳健性检验</w:t>
      </w:r>
    </w:p>
    <w:p>
      <w:pPr>
        <w:pStyle w:val="FirstParagraph"/>
      </w:pPr>
      <w:r>
        <w:rPr>
          <w:rFonts w:hint="eastAsia"/>
          <w:b/>
          <w:bCs/>
        </w:rPr>
        <w:t xml:space="preserve">（1）规范化字典敏感性：</w:t>
      </w:r>
      <w:r>
        <w:t xml:space="preserve"> </w:t>
      </w:r>
      <w:r>
        <w:rPr>
          <w:rFonts w:hint="eastAsia"/>
        </w:rPr>
        <w:t xml:space="preserve">同义词典从60条扩展至200+条后，需求侧Top10中CAD（620→624）、C/C++（412+317合并→549）、ERP（529→543）等数值小幅上移；54专业的工具覆盖率均值从0.024上升到0.036，但匹配指数排序基本稳定，M1—M5的方向不变。</w:t>
      </w:r>
    </w:p>
    <w:p>
      <w:pPr>
        <w:pStyle w:val="BodyText"/>
      </w:pPr>
      <w:r>
        <w:rPr>
          <w:rFonts w:hint="eastAsia"/>
          <w:b/>
          <w:bCs/>
        </w:rPr>
        <w:t xml:space="preserve">（2）多窗口抽取效果：</w:t>
      </w:r>
      <w:r>
        <w:t xml:space="preserve"> </w:t>
      </w:r>
      <w:r>
        <w:rPr>
          <w:rFonts w:hint="eastAsia"/>
        </w:rPr>
        <w:t xml:space="preserve">对工具初轮抽取为空的15个专业，采用4×5,000字符多窗口扫描后，10个获得了非空工具列表（如”信息安全技术应用”获得Cisco、H3C、Linux、Python等9项）。5个仍空的专业（关务与外贸服务、金融服务与管理、体育艺术表演、环境监测技术、智能互联网络技术）经人工核查确认其培养方案文本中确实较少出现具体工具名称，属真实情况而非抽取失败。</w:t>
      </w:r>
    </w:p>
    <w:p>
      <w:pPr>
        <w:pStyle w:val="BodyText"/>
      </w:pPr>
      <w:r>
        <w:rPr>
          <w:rFonts w:hint="eastAsia"/>
          <w:b/>
          <w:bCs/>
        </w:rPr>
        <w:t xml:space="preserve">（3）双侧prompt一致性：</w:t>
      </w:r>
      <w:r>
        <w:t xml:space="preserve"> </w:t>
      </w:r>
      <w:r>
        <w:rPr>
          <w:rFonts w:hint="eastAsia"/>
        </w:rPr>
        <w:t xml:space="preserve">工具/软技能/数字化三个抽取任务的system+user</w:t>
      </w:r>
      <w:r>
        <w:t xml:space="preserve"> </w:t>
      </w:r>
      <w:r>
        <w:rPr>
          <w:rFonts w:hint="eastAsia"/>
        </w:rPr>
        <w:t xml:space="preserve">prompt在两侧除”职位描述”与”人才培养方案文本”措辞替换外完全一致；同义归一化字典也对两侧统一适用。这保证了匹配测度的可对接性。</w:t>
      </w:r>
    </w:p>
    <w:p>
      <w:pPr>
        <w:pStyle w:val="BodyText"/>
      </w:pPr>
      <w:r>
        <w:rPr>
          <w:rFonts w:hint="eastAsia"/>
          <w:b/>
          <w:bCs/>
        </w:rPr>
        <w:t xml:space="preserve">（4）基础办公套件剔除影响：</w:t>
      </w:r>
      <w:r>
        <w:t xml:space="preserve"> </w:t>
      </w:r>
      <w:r>
        <w:rPr>
          <w:rFonts w:hint="eastAsia"/>
        </w:rPr>
        <w:t xml:space="preserve">若不剔除Excel/Word/PowerPoint/Office/WPS（即按原始Top50计算），需求侧Top50中前5项被基础办公占据，54专业覆盖率均值降至0.010。剔除后均值上升到0.036，能更准确反映”专业工具”维度的真实差距。</w:t>
      </w:r>
    </w:p>
    <w:p>
      <w:pPr>
        <w:pStyle w:val="BodyText"/>
      </w:pPr>
      <w:r>
        <w:rPr>
          <w:rFonts w:hint="eastAsia"/>
          <w:b/>
          <w:bCs/>
        </w:rPr>
        <w:t xml:space="preserve">（5）需求侧时间窗稳健性：</w:t>
      </w:r>
      <w:r>
        <w:t xml:space="preserve"> </w:t>
      </w:r>
      <w:r>
        <w:rPr>
          <w:rFonts w:hint="eastAsia"/>
        </w:rPr>
        <w:t xml:space="preserve">M2的”高需求—低覆盖”现象在2021、2022、2023、2024各年子样本中均成立；CAD、ERP、SolidWorks在四个年份中均稳居Top10，说明”碎片化错配”不是某一年的偶发现象，而是结构性特征。</w:t>
      </w:r>
    </w:p>
    <w:bookmarkEnd w:id="61"/>
    <w:bookmarkStart w:id="65" w:name="九结论"/>
    <w:p>
      <w:pPr>
        <w:pStyle w:val="Heading1"/>
      </w:pPr>
      <w:r>
        <w:rPr>
          <w:rFonts w:hint="eastAsia"/>
        </w:rPr>
        <w:t xml:space="preserve">九、结论</w:t>
      </w:r>
    </w:p>
    <w:bookmarkStart w:id="62" w:name="一研究贡献"/>
    <w:p>
      <w:pPr>
        <w:pStyle w:val="Heading2"/>
      </w:pPr>
      <w:r>
        <w:rPr>
          <w:rFonts w:hint="eastAsia"/>
        </w:rPr>
        <w:t xml:space="preserve">（一）研究贡献</w:t>
      </w:r>
    </w:p>
    <w:p>
      <w:pPr>
        <w:pStyle w:val="FirstParagraph"/>
      </w:pPr>
      <w:r>
        <w:rPr>
          <w:rFonts w:hint="eastAsia"/>
          <w:b/>
          <w:bCs/>
        </w:rPr>
        <w:t xml:space="preserve">方法贡献：</w:t>
      </w:r>
      <w:r>
        <w:t xml:space="preserve"> </w:t>
      </w:r>
      <w:r>
        <w:rPr>
          <w:rFonts w:hint="eastAsia"/>
        </w:rPr>
        <w:t xml:space="preserve">首次将”招聘大数据</w:t>
      </w:r>
      <w:r>
        <w:t xml:space="preserve"> + </w:t>
      </w:r>
      <w:r>
        <w:rPr>
          <w:rFonts w:hint="eastAsia"/>
        </w:rPr>
        <w:t xml:space="preserve">LLM文本挖掘”双侧化，把同一抽取流水线（包括prompt、规范化字典、白名单）同时应用于供需两端，并引入”超前度”作为可量化测度，实现”一所院校</w:t>
      </w:r>
      <w:r>
        <w:t xml:space="preserve"> × </w:t>
      </w:r>
      <w:r>
        <w:rPr>
          <w:rFonts w:hint="eastAsia"/>
        </w:rPr>
        <w:t xml:space="preserve">一座城市头部企业群”的微观可对接适应性研究。该方法可推广至全国其他职业院校与城市头部产业群的对接评估。</w:t>
      </w:r>
    </w:p>
    <w:p>
      <w:pPr>
        <w:pStyle w:val="BodyText"/>
      </w:pPr>
      <w:r>
        <w:rPr>
          <w:rFonts w:hint="eastAsia"/>
          <w:b/>
          <w:bCs/>
        </w:rPr>
        <w:t xml:space="preserve">理论贡献：</w:t>
      </w:r>
      <w:r>
        <w:t xml:space="preserve"> </w:t>
      </w:r>
      <w:r>
        <w:rPr>
          <w:rFonts w:hint="eastAsia"/>
        </w:rPr>
        <w:t xml:space="preserve">为教育部”适度超前”原则提供了首个基于实证数据的可量化工作窗口（[+15,</w:t>
      </w:r>
      <w:r>
        <w:t xml:space="preserve"> </w:t>
      </w:r>
      <w:r>
        <w:rPr>
          <w:rFonts w:hint="eastAsia"/>
        </w:rPr>
        <w:t xml:space="preserve">+35]分），并指出该窗口在不同维度（数字化基础/AI/技术复杂度）上需要差异化校准。同时将潘海生等[1]</w:t>
      </w:r>
      <w:r>
        <w:rPr>
          <w:rFonts w:hint="eastAsia"/>
        </w:rPr>
        <w:t xml:space="preserve">“三层适配”</w:t>
      </w:r>
      <w:r>
        <w:rPr>
          <w:rFonts w:hint="eastAsia"/>
        </w:rPr>
        <w:t xml:space="preserve">框架与黄娉婷[2]</w:t>
      </w:r>
      <w:r>
        <w:rPr>
          <w:rFonts w:hint="eastAsia"/>
        </w:rPr>
        <w:t xml:space="preserve">“耦合协调机制”</w:t>
      </w:r>
      <w:r>
        <w:rPr>
          <w:rFonts w:hint="eastAsia"/>
        </w:rPr>
        <w:t xml:space="preserve">操作化为五个可证伪的微观命题（M1—M5）。</w:t>
      </w:r>
    </w:p>
    <w:p>
      <w:pPr>
        <w:pStyle w:val="BodyText"/>
      </w:pPr>
      <w:r>
        <w:rPr>
          <w:rFonts w:hint="eastAsia"/>
          <w:b/>
          <w:bCs/>
        </w:rPr>
        <w:t xml:space="preserve">实证贡献：</w:t>
      </w:r>
      <w:r>
        <w:t xml:space="preserve"> </w:t>
      </w:r>
      <w:r>
        <w:rPr>
          <w:rFonts w:hint="eastAsia"/>
        </w:rPr>
        <w:t xml:space="preserve">揭示三个方向性发现——（1）AI相关性在2021—2024年的企业招聘文本中未呈单调上升（M4），与舆论”AI浪潮”叙事形成对照；（2）院校三维超前度的中位数为+24至+36分，53.7%专业在数字化维度上”显著超前”（M1+M5）；（3）软技能维度供需高度对接（28.5%</w:t>
      </w:r>
      <w:r>
        <w:t xml:space="preserve"> vs </w:t>
      </w:r>
      <w:r>
        <w:rPr>
          <w:rFonts w:hint="eastAsia"/>
        </w:rPr>
        <w:t xml:space="preserve">工具的3.6%，M3），是软技能成为”产教共识能力”的国内实证依据。</w:t>
      </w:r>
    </w:p>
    <w:bookmarkEnd w:id="62"/>
    <w:bookmarkStart w:id="63" w:name="二研究局限"/>
    <w:p>
      <w:pPr>
        <w:pStyle w:val="Heading2"/>
      </w:pPr>
      <w:r>
        <w:rPr>
          <w:rFonts w:hint="eastAsia"/>
        </w:rPr>
        <w:t xml:space="preserve">（二）研究局限</w:t>
      </w:r>
    </w:p>
    <w:p>
      <w:pPr>
        <w:pStyle w:val="FirstParagraph"/>
      </w:pPr>
      <w:r>
        <w:rPr>
          <w:rFonts w:hint="eastAsia"/>
          <w:b/>
          <w:bCs/>
        </w:rPr>
        <w:t xml:space="preserve">第一，数据局限。</w:t>
      </w:r>
      <w:r>
        <w:t xml:space="preserve"> </w:t>
      </w:r>
      <w:r>
        <w:rPr>
          <w:rFonts w:hint="eastAsia"/>
        </w:rPr>
        <w:t xml:space="preserve">智联招聘对蓝领和非正式就业覆盖不足；招聘条数反映招聘意愿而非实际录用；培养方案文本来自一所深圳头部职业院校，向中西部地区或不同层次院校推广需审慎。</w:t>
      </w:r>
      <w:r>
        <w:rPr>
          <w:rFonts w:hint="eastAsia"/>
          <w:b/>
          <w:bCs/>
        </w:rPr>
        <w:t xml:space="preserve">第二，时间局限。</w:t>
      </w:r>
      <w:r>
        <w:t xml:space="preserve"> </w:t>
      </w:r>
      <w:r>
        <w:rPr>
          <w:rFonts w:hint="eastAsia"/>
        </w:rPr>
        <w:t xml:space="preserve">需求侧覆盖2021—2024年（含），供给侧仅为2024/2025学年单年快照；如果未来需求侧延伸至2025—2026年，AI相关性可能反弹，本研究当下的”超前度”测度需要随时更新。</w:t>
      </w:r>
      <w:r>
        <w:rPr>
          <w:rFonts w:hint="eastAsia"/>
          <w:b/>
          <w:bCs/>
        </w:rPr>
        <w:t xml:space="preserve">第三，利益相关。</w:t>
      </w:r>
      <w:r>
        <w:t xml:space="preserve"> </w:t>
      </w:r>
      <w:r>
        <w:rPr>
          <w:rFonts w:hint="eastAsia"/>
        </w:rPr>
        <w:t xml:space="preserve">该院校即为研究依托院校，研究者主动以同一LLM流水线、统一字典、白名单与中性的”超前度”框架取代”过高/过度”等贬义表述，但完全消除偏向需要其他独立院校样本的对照研究。</w:t>
      </w:r>
      <w:r>
        <w:rPr>
          <w:rFonts w:hint="eastAsia"/>
          <w:b/>
          <w:bCs/>
        </w:rPr>
        <w:t xml:space="preserve">第四，方法局限。</w:t>
      </w:r>
      <w:r>
        <w:t xml:space="preserve"> </w:t>
      </w:r>
      <w:r>
        <w:rPr>
          <w:rFonts w:hint="eastAsia"/>
        </w:rPr>
        <w:t xml:space="preserve">LLM抽取存在模型固有误差，特别是中文专业语境下”C语言”</w:t>
      </w:r>
      <w:r>
        <w:rPr>
          <w:rFonts w:hint="eastAsia"/>
        </w:rPr>
        <w:t xml:space="preserve">“中望CAD”</w:t>
      </w:r>
      <w:r>
        <w:rPr>
          <w:rFonts w:hint="eastAsia"/>
        </w:rPr>
        <w:t xml:space="preserve">“金蝶软件”</w:t>
      </w:r>
      <w:r>
        <w:rPr>
          <w:rFonts w:hint="eastAsia"/>
        </w:rPr>
        <w:t xml:space="preserve">等变体的归一化依赖人工词典扩展；本研究通过200+条规则缓解但无法完全消除。</w:t>
      </w:r>
      <w:r>
        <w:rPr>
          <w:rFonts w:hint="eastAsia"/>
          <w:b/>
          <w:bCs/>
        </w:rPr>
        <w:t xml:space="preserve">第五，</w:t>
      </w:r>
      <w:r>
        <w:rPr>
          <w:rFonts w:hint="eastAsia"/>
          <w:b/>
          <w:bCs/>
        </w:rPr>
        <w:t xml:space="preserve">“适度超前”</w:t>
      </w:r>
      <w:r>
        <w:rPr>
          <w:rFonts w:hint="eastAsia"/>
          <w:b/>
          <w:bCs/>
        </w:rPr>
        <w:t xml:space="preserve">窗口的可证伪性。</w:t>
      </w:r>
      <w:r>
        <w:t xml:space="preserve"> </w:t>
      </w:r>
      <w:r>
        <w:t xml:space="preserve">[+15, </w:t>
      </w:r>
      <w:r>
        <w:rPr>
          <w:rFonts w:hint="eastAsia"/>
        </w:rPr>
        <w:t xml:space="preserve">+35]为本研究的工作定义，未来研究可基于更大样本或纵向跟踪数据进行校准。</w:t>
      </w:r>
    </w:p>
    <w:bookmarkEnd w:id="63"/>
    <w:bookmarkStart w:id="64" w:name="三未来研究"/>
    <w:p>
      <w:pPr>
        <w:pStyle w:val="Heading2"/>
      </w:pPr>
      <w:r>
        <w:rPr>
          <w:rFonts w:hint="eastAsia"/>
        </w:rPr>
        <w:t xml:space="preserve">（三）未来研究</w:t>
      </w:r>
    </w:p>
    <w:p>
      <w:pPr>
        <w:pStyle w:val="FirstParagraph"/>
      </w:pPr>
      <w:r>
        <w:rPr>
          <w:rFonts w:hint="eastAsia"/>
        </w:rPr>
        <w:t xml:space="preserve">未来研究可沿以下方向拓展：（1）将该方法推广至深圳其他高校或全国多城市头部产业群，构建”院校</w:t>
      </w:r>
      <w:r>
        <w:t xml:space="preserve"> × </w:t>
      </w:r>
      <w:r>
        <w:rPr>
          <w:rFonts w:hint="eastAsia"/>
        </w:rPr>
        <w:t xml:space="preserve">城市”匹配的多对多对照表；（2）将需求侧延伸至2025年及以后，检验AI相关性是否在样本期外出现拐点上升；（3）增加毕业生就业追踪数据，闭合”供给—需求—就业”完整链条；（4）开发”超前度自动诊断”工具供院校教务部门使用，实现专业培养方案修订的实时数据驱动；（5）系统比较不同维度（数字化/AI/技术复杂度）的”适度超前”差异化窗口的最优值。</w:t>
      </w:r>
    </w:p>
    <w:p>
      <w:r>
        <w:pict>
          <v:rect style="width:0;height:1.5pt" o:hralign="center" o:hrstd="t" o:hr="t"/>
        </w:pict>
      </w:r>
    </w:p>
    <w:bookmarkEnd w:id="64"/>
    <w:bookmarkEnd w:id="65"/>
    <w:bookmarkStart w:id="84" w:name="参考文献"/>
    <w:p>
      <w:pPr>
        <w:pStyle w:val="Heading1"/>
      </w:pPr>
      <w:r>
        <w:rPr>
          <w:rFonts w:hint="eastAsia"/>
        </w:rPr>
        <w:t xml:space="preserve">参考文献</w:t>
      </w:r>
    </w:p>
    <w:p>
      <w:pPr>
        <w:pStyle w:val="FirstParagraph"/>
      </w:pPr>
      <w:r>
        <w:t xml:space="preserve">[1] </w:t>
      </w:r>
      <w:r>
        <w:rPr>
          <w:rFonts w:hint="eastAsia"/>
        </w:rPr>
        <w:t xml:space="preserve">潘海生,</w:t>
      </w:r>
      <w:r>
        <w:t xml:space="preserve"> </w:t>
      </w:r>
      <w:r>
        <w:rPr>
          <w:rFonts w:hint="eastAsia"/>
        </w:rPr>
        <w:t xml:space="preserve">徐浩璠,</w:t>
      </w:r>
      <w:r>
        <w:t xml:space="preserve"> </w:t>
      </w:r>
      <w:r>
        <w:rPr>
          <w:rFonts w:hint="eastAsia"/>
        </w:rPr>
        <w:t xml:space="preserve">杨慧.</w:t>
      </w:r>
      <w:r>
        <w:t xml:space="preserve"> </w:t>
      </w:r>
      <w:r>
        <w:rPr>
          <w:rFonts w:hint="eastAsia"/>
        </w:rPr>
        <w:t xml:space="preserve">职业教育人才适配机制的内涵、构成与优化路径[J].</w:t>
      </w:r>
      <w:r>
        <w:t xml:space="preserve"> </w:t>
      </w:r>
      <w:r>
        <w:rPr>
          <w:rFonts w:hint="eastAsia"/>
        </w:rPr>
        <w:t xml:space="preserve">中国职业技术教育,</w:t>
      </w:r>
      <w:r>
        <w:t xml:space="preserve"> 2026(2): 58-66. URL:</w:t>
      </w:r>
      <w:r>
        <w:t xml:space="preserve"> </w:t>
      </w:r>
      <w:hyperlink r:id="rId66">
        <w:r>
          <w:rPr>
            <w:rStyle w:val="Hyperlink"/>
          </w:rPr>
          <w:t xml:space="preserve">https://kns.cnki.net/KCMS/detail/detail.aspx?dbcode=CJFQ&amp;dbname=CJFDLAST2026&amp;filename=ZONE202602008</w:t>
        </w:r>
      </w:hyperlink>
    </w:p>
    <w:p>
      <w:pPr>
        <w:pStyle w:val="BodyText"/>
      </w:pPr>
      <w:r>
        <w:t xml:space="preserve">[2] </w:t>
      </w:r>
      <w:r>
        <w:rPr>
          <w:rFonts w:hint="eastAsia"/>
        </w:rPr>
        <w:t xml:space="preserve">黄娉婷.</w:t>
      </w:r>
      <w:r>
        <w:t xml:space="preserve"> </w:t>
      </w:r>
      <w:r>
        <w:rPr>
          <w:rFonts w:hint="eastAsia"/>
        </w:rPr>
        <w:t xml:space="preserve">高等职业教育人才链与产业链耦合协调机制研究[D].</w:t>
      </w:r>
      <w:r>
        <w:t xml:space="preserve"> </w:t>
      </w:r>
      <w:r>
        <w:rPr>
          <w:rFonts w:hint="eastAsia"/>
        </w:rPr>
        <w:t xml:space="preserve">广州:</w:t>
      </w:r>
      <w:r>
        <w:t xml:space="preserve"> </w:t>
      </w:r>
      <w:r>
        <w:rPr>
          <w:rFonts w:hint="eastAsia"/>
        </w:rPr>
        <w:t xml:space="preserve">广州大学,</w:t>
      </w:r>
      <w:r>
        <w:t xml:space="preserve"> 2025. DOI: 10.27040/d.cnki.ggzdu.2025.000029. URL:</w:t>
      </w:r>
      <w:r>
        <w:t xml:space="preserve"> </w:t>
      </w:r>
      <w:hyperlink r:id="rId67">
        <w:r>
          <w:rPr>
            <w:rStyle w:val="Hyperlink"/>
          </w:rPr>
          <w:t xml:space="preserve">https://link.cnki.net/doi/10.27040/d.cnki.ggzdu.2025.000029</w:t>
        </w:r>
      </w:hyperlink>
    </w:p>
    <w:p>
      <w:pPr>
        <w:pStyle w:val="BodyText"/>
      </w:pPr>
      <w:r>
        <w:t xml:space="preserve">[3] </w:t>
      </w:r>
      <w:r>
        <w:rPr>
          <w:rFonts w:hint="eastAsia"/>
        </w:rPr>
        <w:t xml:space="preserve">任聪敏.</w:t>
      </w:r>
      <w:r>
        <w:t xml:space="preserve"> </w:t>
      </w:r>
      <w:r>
        <w:rPr>
          <w:rFonts w:hint="eastAsia"/>
        </w:rPr>
        <w:t xml:space="preserve">高等职业教育专业结构与产业结构适应性研究——以浙江省为例[D].</w:t>
      </w:r>
      <w:r>
        <w:t xml:space="preserve"> </w:t>
      </w:r>
      <w:r>
        <w:rPr>
          <w:rFonts w:hint="eastAsia"/>
        </w:rPr>
        <w:t xml:space="preserve">上海:</w:t>
      </w:r>
      <w:r>
        <w:t xml:space="preserve"> </w:t>
      </w:r>
      <w:r>
        <w:rPr>
          <w:rFonts w:hint="eastAsia"/>
        </w:rPr>
        <w:t xml:space="preserve">华东师范大学,</w:t>
      </w:r>
      <w:r>
        <w:t xml:space="preserve"> 2022. DOI: 10.27149/d.cnki.ghdsu.2019.000380. URL:</w:t>
      </w:r>
      <w:r>
        <w:t xml:space="preserve"> </w:t>
      </w:r>
      <w:hyperlink r:id="rId68">
        <w:r>
          <w:rPr>
            <w:rStyle w:val="Hyperlink"/>
          </w:rPr>
          <w:t xml:space="preserve">https://link.cnki.net/doi/10.27149/d.cnki.ghdsu.2019.000380</w:t>
        </w:r>
      </w:hyperlink>
    </w:p>
    <w:p>
      <w:pPr>
        <w:pStyle w:val="BodyText"/>
      </w:pPr>
      <w:r>
        <w:t xml:space="preserve">[4] </w:t>
      </w:r>
      <w:r>
        <w:rPr>
          <w:rFonts w:hint="eastAsia"/>
        </w:rPr>
        <w:t xml:space="preserve">程兆宇.</w:t>
      </w:r>
      <w:r>
        <w:t xml:space="preserve"> </w:t>
      </w:r>
      <w:r>
        <w:rPr>
          <w:rFonts w:hint="eastAsia"/>
        </w:rPr>
        <w:t xml:space="preserve">经济转型背景下高等职业教育专业结构优化研究——以山西省为例[D].</w:t>
      </w:r>
      <w:r>
        <w:t xml:space="preserve"> </w:t>
      </w:r>
      <w:r>
        <w:rPr>
          <w:rFonts w:hint="eastAsia"/>
        </w:rPr>
        <w:t xml:space="preserve">长春:</w:t>
      </w:r>
      <w:r>
        <w:t xml:space="preserve"> </w:t>
      </w:r>
      <w:r>
        <w:rPr>
          <w:rFonts w:hint="eastAsia"/>
        </w:rPr>
        <w:t xml:space="preserve">东北师范大学,</w:t>
      </w:r>
      <w:r>
        <w:t xml:space="preserve"> 2025. DOI: 10.27011/d.cnki.gdbsu.2024.000188. URL:</w:t>
      </w:r>
      <w:r>
        <w:t xml:space="preserve"> </w:t>
      </w:r>
      <w:hyperlink r:id="rId69">
        <w:r>
          <w:rPr>
            <w:rStyle w:val="Hyperlink"/>
          </w:rPr>
          <w:t xml:space="preserve">https://link.cnki.net/doi/10.27011/d.cnki.gdbsu.2024.000188</w:t>
        </w:r>
      </w:hyperlink>
    </w:p>
    <w:p>
      <w:pPr>
        <w:pStyle w:val="BodyText"/>
      </w:pPr>
      <w:r>
        <w:t xml:space="preserve">[5] </w:t>
      </w:r>
      <w:r>
        <w:rPr>
          <w:rFonts w:hint="eastAsia"/>
        </w:rPr>
        <w:t xml:space="preserve">程智宾,</w:t>
      </w:r>
      <w:r>
        <w:t xml:space="preserve"> </w:t>
      </w:r>
      <w:r>
        <w:rPr>
          <w:rFonts w:hint="eastAsia"/>
        </w:rPr>
        <w:t xml:space="preserve">钟文强.</w:t>
      </w:r>
      <w:r>
        <w:t xml:space="preserve"> </w:t>
      </w:r>
      <w:r>
        <w:rPr>
          <w:rFonts w:hint="eastAsia"/>
        </w:rPr>
        <w:t xml:space="preserve">数字经济背景下福建省职业教育专业建设与产业发展匹配度研究[J].</w:t>
      </w:r>
      <w:r>
        <w:t xml:space="preserve"> </w:t>
      </w:r>
      <w:r>
        <w:rPr>
          <w:rFonts w:hint="eastAsia"/>
        </w:rPr>
        <w:t xml:space="preserve">教育与职业,</w:t>
      </w:r>
      <w:r>
        <w:t xml:space="preserve"> 2023(11): 50-56. DOI: 10.13615/j.cnki.1004-3985.2023.11.013. URL:</w:t>
      </w:r>
      <w:r>
        <w:t xml:space="preserve"> </w:t>
      </w:r>
      <w:hyperlink r:id="rId70">
        <w:r>
          <w:rPr>
            <w:rStyle w:val="Hyperlink"/>
          </w:rPr>
          <w:t xml:space="preserve">https://link.cnki.net/doi/10.13615/j.cnki.1004-3985.2023.11.013</w:t>
        </w:r>
      </w:hyperlink>
    </w:p>
    <w:p>
      <w:pPr>
        <w:pStyle w:val="BodyText"/>
      </w:pPr>
      <w:r>
        <w:t xml:space="preserve">[6] </w:t>
      </w:r>
      <w:r>
        <w:rPr>
          <w:rFonts w:hint="eastAsia"/>
        </w:rPr>
        <w:t xml:space="preserve">张红蕊,</w:t>
      </w:r>
      <w:r>
        <w:t xml:space="preserve"> </w:t>
      </w:r>
      <w:r>
        <w:rPr>
          <w:rFonts w:hint="eastAsia"/>
        </w:rPr>
        <w:t xml:space="preserve">王冰冰.</w:t>
      </w:r>
      <w:r>
        <w:t xml:space="preserve"> </w:t>
      </w:r>
      <w:r>
        <w:rPr>
          <w:rFonts w:hint="eastAsia"/>
        </w:rPr>
        <w:t xml:space="preserve">生物医药行业人才需求与职业院校专业设置匹配分析[J].</w:t>
      </w:r>
      <w:r>
        <w:t xml:space="preserve"> </w:t>
      </w:r>
      <w:r>
        <w:rPr>
          <w:rFonts w:hint="eastAsia"/>
        </w:rPr>
        <w:t xml:space="preserve">中国职业技术教育,</w:t>
      </w:r>
      <w:r>
        <w:t xml:space="preserve"> 2025(16): 40-53. URL:</w:t>
      </w:r>
      <w:r>
        <w:t xml:space="preserve"> </w:t>
      </w:r>
      <w:hyperlink r:id="rId71">
        <w:r>
          <w:rPr>
            <w:rStyle w:val="Hyperlink"/>
          </w:rPr>
          <w:t xml:space="preserve">https://kns.cnki.net/KCMS/detail/detail.aspx?dbcode=CJFQ&amp;dbname=CJFDLAST2025&amp;filename=ZONE202516004</w:t>
        </w:r>
      </w:hyperlink>
    </w:p>
    <w:p>
      <w:pPr>
        <w:pStyle w:val="BodyText"/>
      </w:pPr>
      <w:r>
        <w:t xml:space="preserve">[7] </w:t>
      </w:r>
      <w:r>
        <w:rPr>
          <w:rFonts w:hint="eastAsia"/>
        </w:rPr>
        <w:t xml:space="preserve">刘夏,</w:t>
      </w:r>
      <w:r>
        <w:t xml:space="preserve"> </w:t>
      </w:r>
      <w:r>
        <w:rPr>
          <w:rFonts w:hint="eastAsia"/>
        </w:rPr>
        <w:t xml:space="preserve">陈磊.</w:t>
      </w:r>
      <w:r>
        <w:t xml:space="preserve"> </w:t>
      </w:r>
      <w:r>
        <w:rPr>
          <w:rFonts w:hint="eastAsia"/>
        </w:rPr>
        <w:t xml:space="preserve">高职院校专业设置与产业结构适应性研究——基于海南14所高职院校的实证研究[J].</w:t>
      </w:r>
      <w:r>
        <w:t xml:space="preserve"> </w:t>
      </w:r>
      <w:r>
        <w:rPr>
          <w:rFonts w:hint="eastAsia"/>
        </w:rPr>
        <w:t xml:space="preserve">职业技术教育,</w:t>
      </w:r>
      <w:r>
        <w:t xml:space="preserve"> 2022, 43(35): 33-39. URL:</w:t>
      </w:r>
      <w:r>
        <w:t xml:space="preserve"> </w:t>
      </w:r>
      <w:hyperlink r:id="rId72">
        <w:r>
          <w:rPr>
            <w:rStyle w:val="Hyperlink"/>
          </w:rPr>
          <w:t xml:space="preserve">https://kns.cnki.net/KCMS/detail/detail.aspx?dbcode=CJFQ&amp;dbname=CJFDLAST2023&amp;filename=ZYJW202235006</w:t>
        </w:r>
      </w:hyperlink>
    </w:p>
    <w:p>
      <w:pPr>
        <w:pStyle w:val="BodyText"/>
      </w:pPr>
      <w:r>
        <w:t xml:space="preserve">[8] </w:t>
      </w:r>
      <w:r>
        <w:rPr>
          <w:rFonts w:hint="eastAsia"/>
        </w:rPr>
        <w:t xml:space="preserve">武博.</w:t>
      </w:r>
      <w:r>
        <w:t xml:space="preserve"> </w:t>
      </w:r>
      <w:r>
        <w:rPr>
          <w:rFonts w:hint="eastAsia"/>
        </w:rPr>
        <w:t xml:space="preserve">基于产业发展的职业教育专业调整的依据与实施[J].</w:t>
      </w:r>
      <w:r>
        <w:t xml:space="preserve"> </w:t>
      </w:r>
      <w:r>
        <w:rPr>
          <w:rFonts w:hint="eastAsia"/>
        </w:rPr>
        <w:t xml:space="preserve">河南科技学院学报,</w:t>
      </w:r>
      <w:r>
        <w:t xml:space="preserve"> 2021, 41(8): 37-42. URL:</w:t>
      </w:r>
      <w:r>
        <w:t xml:space="preserve"> </w:t>
      </w:r>
      <w:hyperlink r:id="rId73">
        <w:r>
          <w:rPr>
            <w:rStyle w:val="Hyperlink"/>
          </w:rPr>
          <w:t xml:space="preserve">https://kns.cnki.net/KCMS/detail/detail.aspx?dbcode=CJFQ&amp;dbname=CJFDLAST2021&amp;filename=ZJXY202108007</w:t>
        </w:r>
      </w:hyperlink>
    </w:p>
    <w:p>
      <w:pPr>
        <w:pStyle w:val="BodyText"/>
      </w:pPr>
      <w:r>
        <w:t xml:space="preserve">[9] </w:t>
      </w:r>
      <w:r>
        <w:rPr>
          <w:rFonts w:hint="eastAsia"/>
        </w:rPr>
        <w:t xml:space="preserve">周璇.</w:t>
      </w:r>
      <w:r>
        <w:t xml:space="preserve"> </w:t>
      </w:r>
      <w:r>
        <w:rPr>
          <w:rFonts w:hint="eastAsia"/>
        </w:rPr>
        <w:t xml:space="preserve">高职人才培养助力中小企业专精特新发展研究——以武汉交通职业学院为例[J].</w:t>
      </w:r>
      <w:r>
        <w:t xml:space="preserve"> </w:t>
      </w:r>
      <w:r>
        <w:rPr>
          <w:rFonts w:hint="eastAsia"/>
        </w:rPr>
        <w:t xml:space="preserve">文教资料,</w:t>
      </w:r>
      <w:r>
        <w:t xml:space="preserve"> 2024(2): 176-181. URL:</w:t>
      </w:r>
      <w:r>
        <w:t xml:space="preserve"> </w:t>
      </w:r>
      <w:hyperlink r:id="rId74">
        <w:r>
          <w:rPr>
            <w:rStyle w:val="Hyperlink"/>
          </w:rPr>
          <w:t xml:space="preserve">https://kns.cnki.net/KCMS/detail/detail.aspx?dbcode=CJFQ&amp;dbname=CJFDLAST2025&amp;filename=WJZZ202402044</w:t>
        </w:r>
      </w:hyperlink>
    </w:p>
    <w:p>
      <w:pPr>
        <w:pStyle w:val="BodyText"/>
      </w:pPr>
      <w:r>
        <w:t xml:space="preserve">[10] </w:t>
      </w:r>
      <w:r>
        <w:rPr>
          <w:rFonts w:hint="eastAsia"/>
        </w:rPr>
        <w:t xml:space="preserve">喻宙,</w:t>
      </w:r>
      <w:r>
        <w:t xml:space="preserve"> </w:t>
      </w:r>
      <w:r>
        <w:rPr>
          <w:rFonts w:hint="eastAsia"/>
        </w:rPr>
        <w:t xml:space="preserve">刘娅,</w:t>
      </w:r>
      <w:r>
        <w:t xml:space="preserve"> </w:t>
      </w:r>
      <w:r>
        <w:rPr>
          <w:rFonts w:hint="eastAsia"/>
        </w:rPr>
        <w:t xml:space="preserve">杨小琨.</w:t>
      </w:r>
      <w:r>
        <w:t xml:space="preserve"> </w:t>
      </w:r>
      <w:r>
        <w:rPr>
          <w:rFonts w:hint="eastAsia"/>
        </w:rPr>
        <w:t xml:space="preserve">职业院校产教融合效益评价指标体系构建研究[J].</w:t>
      </w:r>
      <w:r>
        <w:t xml:space="preserve"> </w:t>
      </w:r>
      <w:r>
        <w:rPr>
          <w:rFonts w:hint="eastAsia"/>
        </w:rPr>
        <w:t xml:space="preserve">中国职业技术教育,</w:t>
      </w:r>
      <w:r>
        <w:t xml:space="preserve"> 2026(6): 87-94. URL:</w:t>
      </w:r>
      <w:r>
        <w:t xml:space="preserve"> </w:t>
      </w:r>
      <w:hyperlink r:id="rId75">
        <w:r>
          <w:rPr>
            <w:rStyle w:val="Hyperlink"/>
          </w:rPr>
          <w:t xml:space="preserve">https://kns.cnki.net/KCMS/detail/detail.aspx?dbcode=CJFQ&amp;dbname=CJFDAUTO&amp;filename=ZONE202606011</w:t>
        </w:r>
      </w:hyperlink>
    </w:p>
    <w:p>
      <w:pPr>
        <w:pStyle w:val="BodyText"/>
      </w:pPr>
      <w:r>
        <w:t xml:space="preserve">[11] </w:t>
      </w:r>
      <w:r>
        <w:rPr>
          <w:rFonts w:hint="eastAsia"/>
        </w:rPr>
        <w:t xml:space="preserve">张进,</w:t>
      </w:r>
      <w:r>
        <w:t xml:space="preserve"> </w:t>
      </w:r>
      <w:r>
        <w:rPr>
          <w:rFonts w:hint="eastAsia"/>
        </w:rPr>
        <w:t xml:space="preserve">王新国.</w:t>
      </w:r>
      <w:r>
        <w:t xml:space="preserve"> </w:t>
      </w:r>
      <w:r>
        <w:rPr>
          <w:rFonts w:hint="eastAsia"/>
        </w:rPr>
        <w:t xml:space="preserve">新质生产力驱动下省域职业教育产教融合的路径研究——以江苏省为例[J].</w:t>
      </w:r>
      <w:r>
        <w:t xml:space="preserve"> </w:t>
      </w:r>
      <w:r>
        <w:rPr>
          <w:rFonts w:hint="eastAsia"/>
        </w:rPr>
        <w:t xml:space="preserve">江苏高职教育,</w:t>
      </w:r>
      <w:r>
        <w:t xml:space="preserve"> 2026, 26(1): 89-96. DOI: 10.15903/j.cnki.jniit.2026.01.010. URL:</w:t>
      </w:r>
      <w:r>
        <w:t xml:space="preserve"> </w:t>
      </w:r>
      <w:hyperlink r:id="rId76">
        <w:r>
          <w:rPr>
            <w:rStyle w:val="Hyperlink"/>
          </w:rPr>
          <w:t xml:space="preserve">https://link.cnki.net/doi/10.15903/j.cnki.jniit.2026.01.010</w:t>
        </w:r>
      </w:hyperlink>
    </w:p>
    <w:p>
      <w:pPr>
        <w:pStyle w:val="BodyText"/>
      </w:pPr>
      <w:r>
        <w:t xml:space="preserve">[12] </w:t>
      </w:r>
      <w:r>
        <w:rPr>
          <w:rFonts w:hint="eastAsia"/>
        </w:rPr>
        <w:t xml:space="preserve">谭卓婧,</w:t>
      </w:r>
      <w:r>
        <w:t xml:space="preserve"> </w:t>
      </w:r>
      <w:r>
        <w:rPr>
          <w:rFonts w:hint="eastAsia"/>
        </w:rPr>
        <w:t xml:space="preserve">周纳宇.</w:t>
      </w:r>
      <w:r>
        <w:t xml:space="preserve"> </w:t>
      </w:r>
      <w:r>
        <w:rPr>
          <w:rFonts w:hint="eastAsia"/>
        </w:rPr>
        <w:t xml:space="preserve">产教融合共同体下”双师型”教师发展困境与破解路径探索[J].</w:t>
      </w:r>
      <w:r>
        <w:t xml:space="preserve"> </w:t>
      </w:r>
      <w:r>
        <w:rPr>
          <w:rFonts w:hint="eastAsia"/>
        </w:rPr>
        <w:t xml:space="preserve">现代职业教育,</w:t>
      </w:r>
      <w:r>
        <w:t xml:space="preserve"> 2026(7): 64-67. URL:</w:t>
      </w:r>
      <w:r>
        <w:t xml:space="preserve"> </w:t>
      </w:r>
      <w:hyperlink r:id="rId77">
        <w:r>
          <w:rPr>
            <w:rStyle w:val="Hyperlink"/>
          </w:rPr>
          <w:t xml:space="preserve">https://kns.cnki.net/KCMS/detail/detail.aspx?dbcode=CJFQ&amp;dbname=CJFDAUTO&amp;filename=XDZJ202607015</w:t>
        </w:r>
      </w:hyperlink>
    </w:p>
    <w:p>
      <w:pPr>
        <w:pStyle w:val="BodyText"/>
      </w:pPr>
      <w:r>
        <w:t xml:space="preserve">[13] Hershbein B, Kahn L B. Do Recessions Accelerate Routine-Biased Technological Change? Evidence from Vacancy Postings[J]. American Economic Review, 2018, 108(7): 1737-1772. DOI: 10.1257/aer.20161570. URL:</w:t>
      </w:r>
      <w:r>
        <w:t xml:space="preserve"> </w:t>
      </w:r>
      <w:hyperlink r:id="rId78">
        <w:r>
          <w:rPr>
            <w:rStyle w:val="Hyperlink"/>
          </w:rPr>
          <w:t xml:space="preserve">https://www.aeaweb.org/articles?id=10.1257/aer.20161570</w:t>
        </w:r>
      </w:hyperlink>
    </w:p>
    <w:p>
      <w:pPr>
        <w:pStyle w:val="BodyText"/>
      </w:pPr>
      <w:r>
        <w:t xml:space="preserve">[14] Deming D J. The Growing Importance of Social Skills in the Labor Market[J]. Quarterly Journal of Economics, 2017, 132(4): 1593-1640. DOI: 10.1093/qje/qjx022. URL:</w:t>
      </w:r>
      <w:r>
        <w:t xml:space="preserve"> </w:t>
      </w:r>
      <w:hyperlink r:id="rId79">
        <w:r>
          <w:rPr>
            <w:rStyle w:val="Hyperlink"/>
          </w:rPr>
          <w:t xml:space="preserve">https://academic.oup.com/qje/article-abstract/132/4/1593/3861633</w:t>
        </w:r>
      </w:hyperlink>
    </w:p>
    <w:p>
      <w:pPr>
        <w:pStyle w:val="BodyText"/>
      </w:pPr>
      <w:r>
        <w:t xml:space="preserve">[15] Deming D J, Noray K. Earnings Dynamics, Changing Job Skills, and STEM Careers[J]. Quarterly Journal of Economics, 2020, 135(4): 1965-2005. DOI: 10.1093/qje/qjaa021. URL:</w:t>
      </w:r>
      <w:r>
        <w:t xml:space="preserve"> </w:t>
      </w:r>
      <w:hyperlink r:id="rId80">
        <w:r>
          <w:rPr>
            <w:rStyle w:val="Hyperlink"/>
          </w:rPr>
          <w:t xml:space="preserve">https://academic.oup.com/qje/article/135/4/1965/5858010</w:t>
        </w:r>
      </w:hyperlink>
    </w:p>
    <w:p>
      <w:pPr>
        <w:pStyle w:val="BodyText"/>
      </w:pPr>
      <w:r>
        <w:t xml:space="preserve">[16] Acemoglu D, Autor D, Hazell J, Restrepo P. Artificial Intelligence and Jobs: Evidence from Online Vacancies[J]. Journal of Labor Economics, 2022, 40(S1): S293-S340. DOI: 10.1086/718327. URL:</w:t>
      </w:r>
      <w:r>
        <w:t xml:space="preserve"> </w:t>
      </w:r>
      <w:hyperlink r:id="rId81">
        <w:r>
          <w:rPr>
            <w:rStyle w:val="Hyperlink"/>
          </w:rPr>
          <w:t xml:space="preserve">https://www.journals.uchicago.edu/doi/abs/10.1086/718327</w:t>
        </w:r>
      </w:hyperlink>
    </w:p>
    <w:p>
      <w:pPr>
        <w:pStyle w:val="BodyText"/>
      </w:pPr>
      <w:r>
        <w:t xml:space="preserve">[17] Eloundou T, Manning S, Mishkin P, Rock D. GPTs are GPTs: An Early Look at the Labor Market Impact Potential of Large Language Models[R]. arXiv preprint arXiv:2303.10130, 2023. URL:</w:t>
      </w:r>
      <w:r>
        <w:t xml:space="preserve"> </w:t>
      </w:r>
      <w:hyperlink r:id="rId82">
        <w:r>
          <w:rPr>
            <w:rStyle w:val="Hyperlink"/>
          </w:rPr>
          <w:t xml:space="preserve">https://arxiv.org/abs/2303.10130</w:t>
        </w:r>
      </w:hyperlink>
    </w:p>
    <w:p>
      <w:pPr>
        <w:pStyle w:val="BodyText"/>
      </w:pPr>
      <w:r>
        <w:t xml:space="preserve">[18] Nguyen K, Zhang M, Montariol S, Bosselut A. Rethinking Skill Extraction in the Job Market Domain using Large Language Models[C]//Proceedings of the First Workshop on Natural Language Processing for Human Resources (NLP4HR 2024). Stroudsburg, PA: Association for Computational Linguistics, 2024: 27-42. ACL Anthology ID: 2024.nlp4hr-1.3. URL:</w:t>
      </w:r>
      <w:r>
        <w:t xml:space="preserve"> </w:t>
      </w:r>
      <w:hyperlink r:id="rId83">
        <w:r>
          <w:rPr>
            <w:rStyle w:val="Hyperlink"/>
          </w:rPr>
          <w:t xml:space="preserve">https://aclanthology.org/2024.nlp4hr-1.3/</w:t>
        </w:r>
      </w:hyperlink>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51" Target="media/rId51.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37" Target="media/rId37.png" /><Relationship Type="http://schemas.openxmlformats.org/officeDocument/2006/relationships/hyperlink" Id="rId79" Target="https://academic.oup.com/qje/article-abstract/132/4/1593/3861633" TargetMode="External" /><Relationship Type="http://schemas.openxmlformats.org/officeDocument/2006/relationships/hyperlink" Id="rId80" Target="https://academic.oup.com/qje/article/135/4/1965/5858010" TargetMode="External" /><Relationship Type="http://schemas.openxmlformats.org/officeDocument/2006/relationships/hyperlink" Id="rId83" Target="https://aclanthology.org/2024.nlp4hr-1.3/" TargetMode="External" /><Relationship Type="http://schemas.openxmlformats.org/officeDocument/2006/relationships/hyperlink" Id="rId82" Target="https://arxiv.org/abs/2303.10130" TargetMode="External" /><Relationship Type="http://schemas.openxmlformats.org/officeDocument/2006/relationships/hyperlink" Id="rId77" Target="https://kns.cnki.net/KCMS/detail/detail.aspx?dbcode=CJFQ&amp;dbname=CJFDAUTO&amp;filename=XDZJ202607015" TargetMode="External" /><Relationship Type="http://schemas.openxmlformats.org/officeDocument/2006/relationships/hyperlink" Id="rId75" Target="https://kns.cnki.net/KCMS/detail/detail.aspx?dbcode=CJFQ&amp;dbname=CJFDAUTO&amp;filename=ZONE202606011" TargetMode="External" /><Relationship Type="http://schemas.openxmlformats.org/officeDocument/2006/relationships/hyperlink" Id="rId73" Target="https://kns.cnki.net/KCMS/detail/detail.aspx?dbcode=CJFQ&amp;dbname=CJFDLAST2021&amp;filename=ZJXY202108007" TargetMode="External" /><Relationship Type="http://schemas.openxmlformats.org/officeDocument/2006/relationships/hyperlink" Id="rId72" Target="https://kns.cnki.net/KCMS/detail/detail.aspx?dbcode=CJFQ&amp;dbname=CJFDLAST2023&amp;filename=ZYJW202235006" TargetMode="External" /><Relationship Type="http://schemas.openxmlformats.org/officeDocument/2006/relationships/hyperlink" Id="rId74" Target="https://kns.cnki.net/KCMS/detail/detail.aspx?dbcode=CJFQ&amp;dbname=CJFDLAST2025&amp;filename=WJZZ202402044" TargetMode="External" /><Relationship Type="http://schemas.openxmlformats.org/officeDocument/2006/relationships/hyperlink" Id="rId71" Target="https://kns.cnki.net/KCMS/detail/detail.aspx?dbcode=CJFQ&amp;dbname=CJFDLAST2025&amp;filename=ZONE202516004" TargetMode="External" /><Relationship Type="http://schemas.openxmlformats.org/officeDocument/2006/relationships/hyperlink" Id="rId66" Target="https://kns.cnki.net/KCMS/detail/detail.aspx?dbcode=CJFQ&amp;dbname=CJFDLAST2026&amp;filename=ZONE202602008" TargetMode="External" /><Relationship Type="http://schemas.openxmlformats.org/officeDocument/2006/relationships/hyperlink" Id="rId70" Target="https://link.cnki.net/doi/10.13615/j.cnki.1004-3985.2023.11.013" TargetMode="External" /><Relationship Type="http://schemas.openxmlformats.org/officeDocument/2006/relationships/hyperlink" Id="rId76" Target="https://link.cnki.net/doi/10.15903/j.cnki.jniit.2026.01.010" TargetMode="External" /><Relationship Type="http://schemas.openxmlformats.org/officeDocument/2006/relationships/hyperlink" Id="rId69" Target="https://link.cnki.net/doi/10.27011/d.cnki.gdbsu.2024.000188" TargetMode="External" /><Relationship Type="http://schemas.openxmlformats.org/officeDocument/2006/relationships/hyperlink" Id="rId67" Target="https://link.cnki.net/doi/10.27040/d.cnki.ggzdu.2025.000029" TargetMode="External" /><Relationship Type="http://schemas.openxmlformats.org/officeDocument/2006/relationships/hyperlink" Id="rId68" Target="https://link.cnki.net/doi/10.27149/d.cnki.ghdsu.2019.000380" TargetMode="External" /><Relationship Type="http://schemas.openxmlformats.org/officeDocument/2006/relationships/hyperlink" Id="rId78" Target="https://www.aeaweb.org/articles?id=10.1257/aer.20161570" TargetMode="External" /><Relationship Type="http://schemas.openxmlformats.org/officeDocument/2006/relationships/hyperlink" Id="rId81" Target="https://www.journals.uchicago.edu/doi/abs/10.1086/718327" TargetMode="External" /></Relationships>
</file>

<file path=word/_rels/footnotes.xml.rels><?xml version="1.0" encoding="UTF-8"?><Relationships xmlns="http://schemas.openxmlformats.org/package/2006/relationships"><Relationship Type="http://schemas.openxmlformats.org/officeDocument/2006/relationships/hyperlink" Id="rId79" Target="https://academic.oup.com/qje/article-abstract/132/4/1593/3861633" TargetMode="External" /><Relationship Type="http://schemas.openxmlformats.org/officeDocument/2006/relationships/hyperlink" Id="rId80" Target="https://academic.oup.com/qje/article/135/4/1965/5858010" TargetMode="External" /><Relationship Type="http://schemas.openxmlformats.org/officeDocument/2006/relationships/hyperlink" Id="rId83" Target="https://aclanthology.org/2024.nlp4hr-1.3/" TargetMode="External" /><Relationship Type="http://schemas.openxmlformats.org/officeDocument/2006/relationships/hyperlink" Id="rId82" Target="https://arxiv.org/abs/2303.10130" TargetMode="External" /><Relationship Type="http://schemas.openxmlformats.org/officeDocument/2006/relationships/hyperlink" Id="rId77" Target="https://kns.cnki.net/KCMS/detail/detail.aspx?dbcode=CJFQ&amp;dbname=CJFDAUTO&amp;filename=XDZJ202607015" TargetMode="External" /><Relationship Type="http://schemas.openxmlformats.org/officeDocument/2006/relationships/hyperlink" Id="rId75" Target="https://kns.cnki.net/KCMS/detail/detail.aspx?dbcode=CJFQ&amp;dbname=CJFDAUTO&amp;filename=ZONE202606011" TargetMode="External" /><Relationship Type="http://schemas.openxmlformats.org/officeDocument/2006/relationships/hyperlink" Id="rId73" Target="https://kns.cnki.net/KCMS/detail/detail.aspx?dbcode=CJFQ&amp;dbname=CJFDLAST2021&amp;filename=ZJXY202108007" TargetMode="External" /><Relationship Type="http://schemas.openxmlformats.org/officeDocument/2006/relationships/hyperlink" Id="rId72" Target="https://kns.cnki.net/KCMS/detail/detail.aspx?dbcode=CJFQ&amp;dbname=CJFDLAST2023&amp;filename=ZYJW202235006" TargetMode="External" /><Relationship Type="http://schemas.openxmlformats.org/officeDocument/2006/relationships/hyperlink" Id="rId74" Target="https://kns.cnki.net/KCMS/detail/detail.aspx?dbcode=CJFQ&amp;dbname=CJFDLAST2025&amp;filename=WJZZ202402044" TargetMode="External" /><Relationship Type="http://schemas.openxmlformats.org/officeDocument/2006/relationships/hyperlink" Id="rId71" Target="https://kns.cnki.net/KCMS/detail/detail.aspx?dbcode=CJFQ&amp;dbname=CJFDLAST2025&amp;filename=ZONE202516004" TargetMode="External" /><Relationship Type="http://schemas.openxmlformats.org/officeDocument/2006/relationships/hyperlink" Id="rId66" Target="https://kns.cnki.net/KCMS/detail/detail.aspx?dbcode=CJFQ&amp;dbname=CJFDLAST2026&amp;filename=ZONE202602008" TargetMode="External" /><Relationship Type="http://schemas.openxmlformats.org/officeDocument/2006/relationships/hyperlink" Id="rId70" Target="https://link.cnki.net/doi/10.13615/j.cnki.1004-3985.2023.11.013" TargetMode="External" /><Relationship Type="http://schemas.openxmlformats.org/officeDocument/2006/relationships/hyperlink" Id="rId76" Target="https://link.cnki.net/doi/10.15903/j.cnki.jniit.2026.01.010" TargetMode="External" /><Relationship Type="http://schemas.openxmlformats.org/officeDocument/2006/relationships/hyperlink" Id="rId69" Target="https://link.cnki.net/doi/10.27011/d.cnki.gdbsu.2024.000188" TargetMode="External" /><Relationship Type="http://schemas.openxmlformats.org/officeDocument/2006/relationships/hyperlink" Id="rId67" Target="https://link.cnki.net/doi/10.27040/d.cnki.ggzdu.2025.000029" TargetMode="External" /><Relationship Type="http://schemas.openxmlformats.org/officeDocument/2006/relationships/hyperlink" Id="rId68" Target="https://link.cnki.net/doi/10.27149/d.cnki.ghdsu.2019.000380" TargetMode="External" /><Relationship Type="http://schemas.openxmlformats.org/officeDocument/2006/relationships/hyperlink" Id="rId78" Target="https://www.aeaweb.org/articles?id=10.1257/aer.20161570" TargetMode="External" /><Relationship Type="http://schemas.openxmlformats.org/officeDocument/2006/relationships/hyperlink" Id="rId81" Target="https://www.journals.uchicago.edu/doi/abs/10.1086/71832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基于双侧大语言模型文本挖掘的高职院校专业培养方案与区域产业需求适应性研究——以深圳信息职业技术大学与深圳专精特新”小巨人”企业群为例</dc:title>
  <dc:creator>深圳信息职业技术大学</dc:creator>
  <cp:keywords/>
  <dcterms:created xsi:type="dcterms:W3CDTF">2026-05-04T13:03:17Z</dcterms:created>
  <dcterms:modified xsi:type="dcterms:W3CDTF">2026-05-04T13:03:17Z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2026年5月4日（V4）</vt:lpwstr>
  </property>
</Properties>
</file>