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专精特新”小巨人”企业人才需求深层结构——基于职位描述文本的LLM量化分析</w:t>
      </w:r>
    </w:p>
    <w:p>
      <w:pPr>
        <w:pStyle w:val="Author"/>
      </w:pPr>
      <w:r>
        <w:rPr>
          <w:rFonts w:hint="eastAsia"/>
        </w:rPr>
        <w:t xml:space="preserve">深圳信息职业技术大学</w:t>
      </w:r>
    </w:p>
    <w:p>
      <w:pPr>
        <w:pStyle w:val="Date"/>
      </w:pPr>
      <w:r>
        <w:rPr>
          <w:rFonts w:hint="eastAsia"/>
        </w:rPr>
        <w:t xml:space="preserve">2026年3月</w:t>
      </w:r>
    </w:p>
    <w:bookmarkStart w:id="9" w:name="摘要"/>
    <w:p>
      <w:pPr>
        <w:pStyle w:val="Heading1"/>
      </w:pPr>
      <w:r>
        <w:rPr>
          <w:rFonts w:hint="eastAsia"/>
        </w:rPr>
        <w:t xml:space="preserve">摘要</w:t>
      </w:r>
    </w:p>
    <w:p>
      <w:pPr>
        <w:pStyle w:val="FirstParagraph"/>
      </w:pPr>
      <w:r>
        <w:rPr>
          <w:rFonts w:hint="eastAsia"/>
        </w:rPr>
        <w:t xml:space="preserve">本研究是前序研究（《专精特新”小巨人”企业招聘岗位变迁研究》）的深化拓展。前序研究基于深圳市757家国家级专精特新”小巨人”企业2016—2024年招聘数据的结构化字段，揭示了岗位规模变迁、功能结构与学历要求演变规律。本研究转向前序研究未能利用的职位描述文本字段（22,022条，0缺失），采用大语言模型（LLM）批量文本分析方法，系统挖掘四个维度的隐性信息：软技能需求结构、岗位数字化程度评分、本科与大专岗位的职位描述文本差异，以及具体技术工具图谱。主要发现：（1）软技能需求以沟通协调（9,537条次）、责任心（4,468条次）、抗压能力（2,896条次）为主导，呈现显著的跨类别普适性；（2）专精特新企业整体数字化程度均值为36.0分（满分100），AI相关性仅8.6分，表明多数岗位尚未进入真正的AI驱动阶段；（3）本科与大专岗位在全部10个岗位类别中均呈现系统性文本分层——本科岗位是”设计者与管理者”，大专岗位是”执行者与操作者”；（4）工程类工具（CAD、SolidWorks、PLC）与办公类工具（Excel、ERP、Office）并列前列，反映专精特新企业制造业属性与数字化管理需求并存的双重特征。研究结论对深圳信息职业技术大学的软技能培养体系、专业数字化转型路径与大专差异化竞争策略具有直接政策含义。</w:t>
      </w:r>
    </w:p>
    <w:p>
      <w:pPr>
        <w:pStyle w:val="BodyText"/>
      </w:pPr>
      <w:r>
        <w:rPr>
          <w:rFonts w:hint="eastAsia"/>
          <w:b/>
          <w:bCs/>
        </w:rPr>
        <w:t xml:space="preserve">关键词：</w:t>
      </w:r>
      <w:r>
        <w:t xml:space="preserve"> </w:t>
      </w:r>
      <w:r>
        <w:rPr>
          <w:rFonts w:hint="eastAsia"/>
        </w:rPr>
        <w:t xml:space="preserve">专精特新”小巨人”；职位描述文本分析；大语言模型；软技能；产教融合</w:t>
      </w:r>
    </w:p>
    <w:p>
      <w:r>
        <w:pict>
          <v:rect style="width:0;height:1.5pt" o:hralign="center" o:hrstd="t" o:hr="t"/>
        </w:pict>
      </w:r>
    </w:p>
    <w:bookmarkEnd w:id="9"/>
    <w:bookmarkStart w:id="12" w:name="一引言"/>
    <w:p>
      <w:pPr>
        <w:pStyle w:val="Heading1"/>
      </w:pPr>
      <w:r>
        <w:rPr>
          <w:rFonts w:hint="eastAsia"/>
        </w:rPr>
        <w:t xml:space="preserve">一、引言</w:t>
      </w:r>
    </w:p>
    <w:bookmarkStart w:id="10" w:name="一研究背景与问题"/>
    <w:p>
      <w:pPr>
        <w:pStyle w:val="Heading2"/>
      </w:pPr>
      <w:r>
        <w:rPr>
          <w:rFonts w:hint="eastAsia"/>
        </w:rPr>
        <w:t xml:space="preserve">（一）研究背景与问题</w:t>
      </w:r>
    </w:p>
    <w:p>
      <w:pPr>
        <w:pStyle w:val="FirstParagraph"/>
      </w:pPr>
      <w:r>
        <w:rPr>
          <w:rFonts w:hint="eastAsia"/>
        </w:rPr>
        <w:t xml:space="preserve">前序研究（以下简称”V1研究”）基于招聘岗位名称、学历要求、薪资、技术关键词等结构化字段，系统描绘了深圳市专精特新”小巨人”企业2016—2024年招聘的宏观规律，揭示了岗位功能结构、学历门槛演变与技术关键词集聚等重要发现。然而，结构化字段存在根本性的信息上限：招聘岗位名称高度碎片化（11,740个唯一名称），技术关键词字段依赖平台自动提取且存在大量缺失，均无法反映企业招聘要求的真实深度。</w:t>
      </w:r>
    </w:p>
    <w:p>
      <w:pPr>
        <w:pStyle w:val="BodyText"/>
      </w:pPr>
      <w:r>
        <w:rPr>
          <w:rFonts w:hint="eastAsia"/>
        </w:rPr>
        <w:t xml:space="preserve">与此同时，职位描述（</w:t>
      </w:r>
      <w:r>
        <w:rPr>
          <w:rStyle w:val="VerbatimChar"/>
          <w:rFonts w:hint="eastAsia"/>
        </w:rPr>
        <w:t xml:space="preserve">职位描述</w:t>
      </w:r>
      <w:r>
        <w:rPr>
          <w:rFonts w:hint="eastAsia"/>
        </w:rPr>
        <w:t xml:space="preserve">）字段在22,022条有效样本中保持0缺失、平均345字符的高完整性。这是一个富含信息但完全未被利用的文本资源。职位描述中包含：具体软技能要求（</w:t>
      </w:r>
      <w:r>
        <w:rPr>
          <w:rFonts w:hint="eastAsia"/>
        </w:rPr>
        <w:t xml:space="preserve">“需要较强的沟通协调能力”</w:t>
      </w:r>
      <w:r>
        <w:rPr>
          <w:rFonts w:hint="eastAsia"/>
        </w:rPr>
        <w:t xml:space="preserve">）、工作职责（</w:t>
      </w:r>
      <w:r>
        <w:rPr>
          <w:rFonts w:hint="eastAsia"/>
        </w:rPr>
        <w:t xml:space="preserve">“负责制定年度技术研发路线”</w:t>
      </w:r>
      <w:r>
        <w:rPr>
          <w:rFonts w:hint="eastAsia"/>
        </w:rPr>
        <w:t xml:space="preserve">）、具体工具（</w:t>
      </w:r>
      <w:r>
        <w:rPr>
          <w:rFonts w:hint="eastAsia"/>
        </w:rPr>
        <w:t xml:space="preserve">“熟练使用SolidWorks进行三维建模”</w:t>
      </w:r>
      <w:r>
        <w:rPr>
          <w:rFonts w:hint="eastAsia"/>
        </w:rPr>
        <w:t xml:space="preserve">）以及对候选人的隐性期望——这些信息正是结构化字段无法捕捉的”招聘意图”核心层。</w:t>
      </w:r>
    </w:p>
    <w:p>
      <w:pPr>
        <w:pStyle w:val="BodyText"/>
      </w:pPr>
      <w:r>
        <w:rPr>
          <w:rFonts w:hint="eastAsia"/>
        </w:rPr>
        <w:t xml:space="preserve">本研究提出四个新研究问题：</w:t>
      </w:r>
      <w:r>
        <w:t xml:space="preserve"> </w:t>
      </w:r>
      <w:r>
        <w:t xml:space="preserve">-</w:t>
      </w:r>
      <w:r>
        <w:t xml:space="preserve"> </w:t>
      </w:r>
      <w:r>
        <w:rPr>
          <w:b/>
          <w:bCs/>
        </w:rPr>
        <w:t xml:space="preserve">RQ1</w:t>
      </w:r>
      <w:r>
        <w:rPr>
          <w:rFonts w:hint="eastAsia"/>
        </w:rPr>
        <w:t xml:space="preserve">：专精特新企业在职位描述中要求哪些软技能？呈现怎样的跨类别分布规律？</w:t>
      </w:r>
      <w:r>
        <w:t xml:space="preserve"> </w:t>
      </w:r>
      <w:r>
        <w:t xml:space="preserve">-</w:t>
      </w:r>
      <w:r>
        <w:t xml:space="preserve"> </w:t>
      </w:r>
      <w:r>
        <w:rPr>
          <w:b/>
          <w:bCs/>
        </w:rPr>
        <w:t xml:space="preserve">RQ2</w:t>
      </w:r>
      <w:r>
        <w:rPr>
          <w:rFonts w:hint="eastAsia"/>
        </w:rPr>
        <w:t xml:space="preserve">：各岗位的数字化程度、AI相关性与技术复杂度如何量化？历年如何演变？</w:t>
      </w:r>
      <w:r>
        <w:t xml:space="preserve"> </w:t>
      </w:r>
      <w:r>
        <w:t xml:space="preserve">-</w:t>
      </w:r>
      <w:r>
        <w:t xml:space="preserve"> </w:t>
      </w:r>
      <w:r>
        <w:rPr>
          <w:b/>
          <w:bCs/>
        </w:rPr>
        <w:t xml:space="preserve">RQ3</w:t>
      </w:r>
      <w:r>
        <w:rPr>
          <w:rFonts w:hint="eastAsia"/>
        </w:rPr>
        <w:t xml:space="preserve">：本科与大专岗位在职位描述文本层面存在哪些系统性差异？</w:t>
      </w:r>
      <w:r>
        <w:t xml:space="preserve"> </w:t>
      </w:r>
      <w:r>
        <w:t xml:space="preserve">-</w:t>
      </w:r>
      <w:r>
        <w:t xml:space="preserve"> </w:t>
      </w:r>
      <w:r>
        <w:rPr>
          <w:b/>
          <w:bCs/>
        </w:rPr>
        <w:t xml:space="preserve">RQ4</w:t>
      </w:r>
      <w:r>
        <w:rPr>
          <w:rFonts w:hint="eastAsia"/>
        </w:rPr>
        <w:t xml:space="preserve">：职位描述中提及的具体技术工具呈现怎样的分布图谱？</w:t>
      </w:r>
    </w:p>
    <w:bookmarkEnd w:id="10"/>
    <w:bookmarkStart w:id="11" w:name="二研究贡献"/>
    <w:p>
      <w:pPr>
        <w:pStyle w:val="Heading2"/>
      </w:pPr>
      <w:r>
        <w:rPr>
          <w:rFonts w:hint="eastAsia"/>
        </w:rPr>
        <w:t xml:space="preserve">（二）研究贡献</w:t>
      </w:r>
    </w:p>
    <w:p>
      <w:pPr>
        <w:pStyle w:val="FirstParagraph"/>
      </w:pPr>
      <w:r>
        <w:rPr>
          <w:rFonts w:hint="eastAsia"/>
        </w:rPr>
        <w:t xml:space="preserve">相对于V1研究，本研究的增量贡献包括：（1）首次将LLM批量文本分析方法应用于中国职业教育领域的招聘大数据研究；（2）揭示了专精特新企业招聘中结构化字段无法捕捉的软技能、数字化程度与本科/大专岗位文本差异；（3）为深信大软技能培养体系与大专竞争力定位提供了首次基于文本证据的实证支撑。</w:t>
      </w:r>
    </w:p>
    <w:p>
      <w:r>
        <w:pict>
          <v:rect style="width:0;height:1.5pt" o:hralign="center" o:hrstd="t" o:hr="t"/>
        </w:pict>
      </w:r>
    </w:p>
    <w:bookmarkEnd w:id="11"/>
    <w:bookmarkEnd w:id="12"/>
    <w:bookmarkStart w:id="15" w:name="二研究方法"/>
    <w:p>
      <w:pPr>
        <w:pStyle w:val="Heading1"/>
      </w:pPr>
      <w:r>
        <w:rPr>
          <w:rFonts w:hint="eastAsia"/>
        </w:rPr>
        <w:t xml:space="preserve">二、研究方法</w:t>
      </w:r>
    </w:p>
    <w:bookmarkStart w:id="13" w:name="一数据基础"/>
    <w:p>
      <w:pPr>
        <w:pStyle w:val="Heading2"/>
      </w:pPr>
      <w:r>
        <w:rPr>
          <w:rFonts w:hint="eastAsia"/>
        </w:rPr>
        <w:t xml:space="preserve">（一）数据基础</w:t>
      </w:r>
    </w:p>
    <w:p>
      <w:pPr>
        <w:pStyle w:val="FirstParagraph"/>
      </w:pPr>
      <w:r>
        <w:rPr>
          <w:rFonts w:hint="eastAsia"/>
        </w:rPr>
        <w:t xml:space="preserve">沿用V1研究的数据与过滤标准：深圳市757家国家级专精特新”小巨人”企业，22,022条有效招聘记录（过滤非深圳城市与复核结果为”未见信息”的记录），时间范围2016—2024年。本研究分析单元为职位描述文本（</w:t>
      </w:r>
      <w:r>
        <w:rPr>
          <w:rStyle w:val="VerbatimChar"/>
          <w:rFonts w:hint="eastAsia"/>
        </w:rPr>
        <w:t xml:space="preserve">职位描述</w:t>
      </w:r>
      <w:r>
        <w:rPr>
          <w:rFonts w:hint="eastAsia"/>
        </w:rPr>
        <w:t xml:space="preserve">字段），均值345字符，全部22,022条均有效。</w:t>
      </w:r>
    </w:p>
    <w:bookmarkEnd w:id="13"/>
    <w:bookmarkStart w:id="14" w:name="二llm文本分析方法"/>
    <w:p>
      <w:pPr>
        <w:pStyle w:val="Heading2"/>
      </w:pPr>
      <w:r>
        <w:rPr>
          <w:rFonts w:hint="eastAsia"/>
        </w:rPr>
        <w:t xml:space="preserve">（二）LLM文本分析方法</w:t>
      </w:r>
    </w:p>
    <w:p>
      <w:pPr>
        <w:pStyle w:val="FirstParagraph"/>
      </w:pPr>
      <w:r>
        <w:rPr>
          <w:rFonts w:hint="eastAsia"/>
        </w:rPr>
        <w:t xml:space="preserve">本研究参照GABRIEL框架（Asirvatham</w:t>
      </w:r>
      <w:r>
        <w:t xml:space="preserve"> et al., </w:t>
      </w:r>
      <w:r>
        <w:rPr>
          <w:rFonts w:hint="eastAsia"/>
        </w:rPr>
        <w:t xml:space="preserve">2026）的设计理念，自主构建GABRIEL风格的LLM文本分析基础设施，使用MiniMax-M2.7-highspeed模型通过OpenAI兼容接口调用。基础设施特性包括：批处理（每批10-20条）、断点续传（中断后从检查点继续）、JSON输出格式验证（解析失败自动重试，最多3次）、指数退避限速处理。</w:t>
      </w:r>
    </w:p>
    <w:p>
      <w:pPr>
        <w:pStyle w:val="BodyText"/>
      </w:pPr>
      <w:r>
        <w:rPr>
          <w:rFonts w:hint="eastAsia"/>
        </w:rPr>
        <w:t xml:space="preserve">四项具体分析任务及方法如下：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分析任务</w:t>
            </w:r>
          </w:p>
        </w:tc>
        <w:tc>
          <w:tcPr/>
          <w:p>
            <w:pPr>
              <w:pStyle w:val="Compact"/>
            </w:pPr>
            <w:r>
              <w:rPr>
                <w:rFonts w:hint="eastAsia"/>
              </w:rPr>
              <w:t xml:space="preserve">方法</w:t>
            </w:r>
          </w:p>
        </w:tc>
        <w:tc>
          <w:tcPr/>
          <w:p>
            <w:pPr>
              <w:pStyle w:val="Compact"/>
            </w:pPr>
            <w:r>
              <w:rPr>
                <w:rFonts w:hint="eastAsia"/>
              </w:rPr>
              <w:t xml:space="preserve">批大小</w:t>
            </w:r>
          </w:p>
        </w:tc>
        <w:tc>
          <w:tcPr/>
          <w:p>
            <w:pPr>
              <w:pStyle w:val="Compact"/>
            </w:pPr>
            <w:r>
              <w:rPr>
                <w:rFonts w:hint="eastAsia"/>
              </w:rPr>
              <w:t xml:space="preserve">样本量</w:t>
            </w:r>
          </w:p>
        </w:tc>
      </w:tr>
      <w:tr>
        <w:tc>
          <w:tcPr/>
          <w:p>
            <w:pPr>
              <w:pStyle w:val="Compact"/>
            </w:pPr>
            <w:r>
              <w:rPr>
                <w:rFonts w:hint="eastAsia"/>
              </w:rPr>
              <w:t xml:space="preserve">软技能提取</w:t>
            </w:r>
          </w:p>
        </w:tc>
        <w:tc>
          <w:tcPr/>
          <w:p>
            <w:pPr>
              <w:pStyle w:val="Compact"/>
            </w:pPr>
            <w:r>
              <w:rPr>
                <w:rFonts w:hint="eastAsia"/>
              </w:rPr>
              <w:t xml:space="preserve">对每条职位描述提取软技能列表</w:t>
            </w:r>
          </w:p>
        </w:tc>
        <w:tc>
          <w:tcPr/>
          <w:p>
            <w:pPr>
              <w:pStyle w:val="Compact"/>
            </w:pPr>
            <w:r>
              <w:rPr>
                <w:rFonts w:hint="eastAsia"/>
              </w:rPr>
              <w:t xml:space="preserve">20条/批</w:t>
            </w:r>
          </w:p>
        </w:tc>
        <w:tc>
          <w:tcPr/>
          <w:p>
            <w:pPr>
              <w:pStyle w:val="Compact"/>
            </w:pPr>
            <w:r>
              <w:rPr>
                <w:rFonts w:hint="eastAsia"/>
              </w:rPr>
              <w:t xml:space="preserve">22,022条</w:t>
            </w:r>
          </w:p>
        </w:tc>
      </w:tr>
      <w:tr>
        <w:tc>
          <w:tcPr/>
          <w:p>
            <w:pPr>
              <w:pStyle w:val="Compact"/>
            </w:pPr>
            <w:r>
              <w:rPr>
                <w:rFonts w:hint="eastAsia"/>
              </w:rPr>
              <w:t xml:space="preserve">数字化评分</w:t>
            </w:r>
          </w:p>
        </w:tc>
        <w:tc>
          <w:tcPr/>
          <w:p>
            <w:pPr>
              <w:pStyle w:val="Compact"/>
            </w:pPr>
            <w:r>
              <w:rPr>
                <w:rFonts w:hint="eastAsia"/>
              </w:rPr>
              <w:t xml:space="preserve">对三个维度评0-100分（附理由）</w:t>
            </w:r>
          </w:p>
        </w:tc>
        <w:tc>
          <w:tcPr/>
          <w:p>
            <w:pPr>
              <w:pStyle w:val="Compact"/>
            </w:pPr>
            <w:r>
              <w:rPr>
                <w:rFonts w:hint="eastAsia"/>
              </w:rPr>
              <w:t xml:space="preserve">10条/批</w:t>
            </w:r>
          </w:p>
        </w:tc>
        <w:tc>
          <w:tcPr/>
          <w:p>
            <w:pPr>
              <w:pStyle w:val="Compact"/>
            </w:pPr>
            <w:r>
              <w:rPr>
                <w:rFonts w:hint="eastAsia"/>
              </w:rPr>
              <w:t xml:space="preserve">22,022条</w:t>
            </w:r>
          </w:p>
        </w:tc>
      </w:tr>
      <w:tr>
        <w:tc>
          <w:tcPr/>
          <w:p>
            <w:pPr>
              <w:pStyle w:val="Compact"/>
            </w:pPr>
            <w:r>
              <w:rPr>
                <w:rFonts w:hint="eastAsia"/>
              </w:rPr>
              <w:t xml:space="preserve">本科vs大专差异发现</w:t>
            </w:r>
          </w:p>
        </w:tc>
        <w:tc>
          <w:tcPr/>
          <w:p>
            <w:pPr>
              <w:pStyle w:val="Compact"/>
            </w:pPr>
            <w:r>
              <w:rPr>
                <w:rFonts w:hint="eastAsia"/>
              </w:rPr>
              <w:t xml:space="preserve">分层抽样各60条对比分析</w:t>
            </w:r>
          </w:p>
        </w:tc>
        <w:tc>
          <w:tcPr/>
          <w:p>
            <w:pPr>
              <w:pStyle w:val="Compact"/>
            </w:pPr>
            <w:r>
              <w:rPr>
                <w:rFonts w:hint="eastAsia"/>
              </w:rPr>
              <w:t xml:space="preserve">类别级</w:t>
            </w:r>
          </w:p>
        </w:tc>
        <w:tc>
          <w:tcPr/>
          <w:p>
            <w:pPr>
              <w:pStyle w:val="Compact"/>
            </w:pPr>
            <w:r>
              <w:rPr>
                <w:rFonts w:hint="eastAsia"/>
              </w:rPr>
              <w:t xml:space="preserve">10类×2组</w:t>
            </w:r>
          </w:p>
        </w:tc>
      </w:tr>
      <w:tr>
        <w:tc>
          <w:tcPr/>
          <w:p>
            <w:pPr>
              <w:pStyle w:val="Compact"/>
            </w:pPr>
            <w:r>
              <w:rPr>
                <w:rFonts w:hint="eastAsia"/>
              </w:rPr>
              <w:t xml:space="preserve">技术工具提取</w:t>
            </w:r>
          </w:p>
        </w:tc>
        <w:tc>
          <w:tcPr/>
          <w:p>
            <w:pPr>
              <w:pStyle w:val="Compact"/>
            </w:pPr>
            <w:r>
              <w:rPr>
                <w:rFonts w:hint="eastAsia"/>
              </w:rPr>
              <w:t xml:space="preserve">提取具体工具/软件/框架名称</w:t>
            </w:r>
          </w:p>
        </w:tc>
        <w:tc>
          <w:tcPr/>
          <w:p>
            <w:pPr>
              <w:pStyle w:val="Compact"/>
            </w:pPr>
            <w:r>
              <w:rPr>
                <w:rFonts w:hint="eastAsia"/>
              </w:rPr>
              <w:t xml:space="preserve">20条/批</w:t>
            </w:r>
          </w:p>
        </w:tc>
        <w:tc>
          <w:tcPr/>
          <w:p>
            <w:pPr>
              <w:pStyle w:val="Compact"/>
            </w:pPr>
            <w:r>
              <w:rPr>
                <w:rFonts w:hint="eastAsia"/>
              </w:rPr>
              <w:t xml:space="preserve">22,022条</w:t>
            </w:r>
          </w:p>
        </w:tc>
      </w:tr>
    </w:tbl>
    <w:p>
      <w:pPr>
        <w:pStyle w:val="BodyText"/>
      </w:pPr>
      <w:r>
        <w:rPr>
          <w:rFonts w:hint="eastAsia"/>
        </w:rPr>
        <w:t xml:space="preserve">软技能提取后经人工规则标准化（如”沟通能力”、</w:t>
      </w:r>
      <w:r>
        <w:rPr>
          <w:rFonts w:hint="eastAsia"/>
        </w:rPr>
        <w:t xml:space="preserve">“沟通协调能力”</w:t>
      </w:r>
      <w:r>
        <w:rPr>
          <w:rFonts w:hint="eastAsia"/>
        </w:rPr>
        <w:t xml:space="preserve">统一为”沟通协调”），共覆盖2,447种原始软技能表达。技术工具提取后经规则标准化（如”python”→</w:t>
      </w:r>
      <w:r>
        <w:t xml:space="preserve">“Python”</w:t>
      </w:r>
      <w:r>
        <w:t xml:space="preserve">、</w:t>
      </w:r>
      <w:r>
        <w:t xml:space="preserve">“vue3”</w:t>
      </w:r>
      <w:r>
        <w:t xml:space="preserve">→</w:t>
      </w:r>
      <w:r>
        <w:t xml:space="preserve">“Vue.js”</w:t>
      </w:r>
      <w:r>
        <w:rPr>
          <w:rFonts w:hint="eastAsia"/>
        </w:rPr>
        <w:t xml:space="preserve">），共识别4,877种工具。</w:t>
      </w:r>
    </w:p>
    <w:p>
      <w:r>
        <w:pict>
          <v:rect style="width:0;height:1.5pt" o:hralign="center" o:hrstd="t" o:hr="t"/>
        </w:pict>
      </w:r>
    </w:p>
    <w:bookmarkEnd w:id="14"/>
    <w:bookmarkEnd w:id="15"/>
    <w:bookmarkStart w:id="32" w:name="三研究结果"/>
    <w:p>
      <w:pPr>
        <w:pStyle w:val="Heading1"/>
      </w:pPr>
      <w:r>
        <w:rPr>
          <w:rFonts w:hint="eastAsia"/>
        </w:rPr>
        <w:t xml:space="preserve">三、研究结果</w:t>
      </w:r>
    </w:p>
    <w:bookmarkStart w:id="19" w:name="一软技能需求结构沟通协调高度主导责任心与抗压并列"/>
    <w:p>
      <w:pPr>
        <w:pStyle w:val="Heading2"/>
      </w:pPr>
      <w:r>
        <w:rPr>
          <w:rFonts w:hint="eastAsia"/>
        </w:rPr>
        <w:t xml:space="preserve">（一）软技能需求结构：沟通协调高度主导，责任心与抗压并列</w:t>
      </w:r>
    </w:p>
    <w:bookmarkStart w:id="16" w:name="软技能频率分布"/>
    <w:p>
      <w:pPr>
        <w:pStyle w:val="Heading3"/>
      </w:pPr>
      <w:r>
        <w:t xml:space="preserve">1. </w:t>
      </w:r>
      <w:r>
        <w:rPr>
          <w:rFonts w:hint="eastAsia"/>
        </w:rPr>
        <w:t xml:space="preserve">软技能频率分布</w:t>
      </w:r>
    </w:p>
    <w:p>
      <w:pPr>
        <w:pStyle w:val="FirstParagraph"/>
      </w:pPr>
      <w:r>
        <w:rPr>
          <w:rFonts w:hint="eastAsia"/>
        </w:rPr>
        <w:t xml:space="preserve">在22,022条职位描述中，共提取到58,519条次软技能记录，覆盖率75.9%（16,714条记录至少包含1项软技能）。唯一软技能种类达2,447种，反映了企业对软技能要求表达的高度个性化。经标准化后，Top10软技能如下：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软技能</w:t>
            </w:r>
          </w:p>
        </w:tc>
        <w:tc>
          <w:tcPr/>
          <w:p>
            <w:pPr>
              <w:pStyle w:val="Compact"/>
            </w:pPr>
            <w:r>
              <w:rPr>
                <w:rFonts w:hint="eastAsia"/>
              </w:rPr>
              <w:t xml:space="preserve">出现频次</w:t>
            </w:r>
          </w:p>
        </w:tc>
        <w:tc>
          <w:tcPr/>
          <w:p>
            <w:pPr>
              <w:pStyle w:val="Compact"/>
            </w:pPr>
            <w:r>
              <w:rPr>
                <w:rFonts w:hint="eastAsia"/>
              </w:rPr>
              <w:t xml:space="preserve">每千条出现率</w:t>
            </w:r>
          </w:p>
        </w:tc>
      </w:tr>
      <w:tr>
        <w:tc>
          <w:tcPr/>
          <w:p>
            <w:pPr>
              <w:pStyle w:val="Compact"/>
            </w:pPr>
            <w:r>
              <w:t xml:space="preserve">1</w:t>
            </w:r>
          </w:p>
        </w:tc>
        <w:tc>
          <w:tcPr/>
          <w:p>
            <w:pPr>
              <w:pStyle w:val="Compact"/>
            </w:pPr>
            <w:r>
              <w:rPr>
                <w:rFonts w:hint="eastAsia"/>
              </w:rPr>
              <w:t xml:space="preserve">沟通协调</w:t>
            </w:r>
          </w:p>
        </w:tc>
        <w:tc>
          <w:tcPr/>
          <w:p>
            <w:pPr>
              <w:pStyle w:val="Compact"/>
            </w:pPr>
            <w:r>
              <w:t xml:space="preserve">9,537</w:t>
            </w:r>
          </w:p>
        </w:tc>
        <w:tc>
          <w:tcPr/>
          <w:p>
            <w:pPr>
              <w:pStyle w:val="Compact"/>
            </w:pPr>
            <w:r>
              <w:t xml:space="preserve">433</w:t>
            </w:r>
          </w:p>
        </w:tc>
      </w:tr>
      <w:tr>
        <w:tc>
          <w:tcPr/>
          <w:p>
            <w:pPr>
              <w:pStyle w:val="Compact"/>
            </w:pPr>
            <w:r>
              <w:t xml:space="preserve">2</w:t>
            </w:r>
          </w:p>
        </w:tc>
        <w:tc>
          <w:tcPr/>
          <w:p>
            <w:pPr>
              <w:pStyle w:val="Compact"/>
            </w:pPr>
            <w:r>
              <w:rPr>
                <w:rFonts w:hint="eastAsia"/>
              </w:rPr>
              <w:t xml:space="preserve">责任心</w:t>
            </w:r>
          </w:p>
        </w:tc>
        <w:tc>
          <w:tcPr/>
          <w:p>
            <w:pPr>
              <w:pStyle w:val="Compact"/>
            </w:pPr>
            <w:r>
              <w:t xml:space="preserve">4,468</w:t>
            </w:r>
          </w:p>
        </w:tc>
        <w:tc>
          <w:tcPr/>
          <w:p>
            <w:pPr>
              <w:pStyle w:val="Compact"/>
            </w:pPr>
            <w:r>
              <w:t xml:space="preserve">203</w:t>
            </w:r>
          </w:p>
        </w:tc>
      </w:tr>
      <w:tr>
        <w:tc>
          <w:tcPr/>
          <w:p>
            <w:pPr>
              <w:pStyle w:val="Compact"/>
            </w:pPr>
            <w:r>
              <w:t xml:space="preserve">3</w:t>
            </w:r>
          </w:p>
        </w:tc>
        <w:tc>
          <w:tcPr/>
          <w:p>
            <w:pPr>
              <w:pStyle w:val="Compact"/>
            </w:pPr>
            <w:r>
              <w:rPr>
                <w:rFonts w:hint="eastAsia"/>
              </w:rPr>
              <w:t xml:space="preserve">抗压能力</w:t>
            </w:r>
          </w:p>
        </w:tc>
        <w:tc>
          <w:tcPr/>
          <w:p>
            <w:pPr>
              <w:pStyle w:val="Compact"/>
            </w:pPr>
            <w:r>
              <w:t xml:space="preserve">2,896</w:t>
            </w:r>
          </w:p>
        </w:tc>
        <w:tc>
          <w:tcPr/>
          <w:p>
            <w:pPr>
              <w:pStyle w:val="Compact"/>
            </w:pPr>
            <w:r>
              <w:t xml:space="preserve">132</w:t>
            </w:r>
          </w:p>
        </w:tc>
      </w:tr>
      <w:tr>
        <w:tc>
          <w:tcPr/>
          <w:p>
            <w:pPr>
              <w:pStyle w:val="Compact"/>
            </w:pPr>
            <w:r>
              <w:t xml:space="preserve">4</w:t>
            </w:r>
          </w:p>
        </w:tc>
        <w:tc>
          <w:tcPr/>
          <w:p>
            <w:pPr>
              <w:pStyle w:val="Compact"/>
            </w:pPr>
            <w:r>
              <w:rPr>
                <w:rFonts w:hint="eastAsia"/>
              </w:rPr>
              <w:t xml:space="preserve">学习能力</w:t>
            </w:r>
          </w:p>
        </w:tc>
        <w:tc>
          <w:tcPr/>
          <w:p>
            <w:pPr>
              <w:pStyle w:val="Compact"/>
            </w:pPr>
            <w:r>
              <w:t xml:space="preserve">2,675</w:t>
            </w:r>
          </w:p>
        </w:tc>
        <w:tc>
          <w:tcPr/>
          <w:p>
            <w:pPr>
              <w:pStyle w:val="Compact"/>
            </w:pPr>
            <w:r>
              <w:t xml:space="preserve">122</w:t>
            </w:r>
          </w:p>
        </w:tc>
      </w:tr>
      <w:tr>
        <w:tc>
          <w:tcPr/>
          <w:p>
            <w:pPr>
              <w:pStyle w:val="Compact"/>
            </w:pPr>
            <w:r>
              <w:t xml:space="preserve">5</w:t>
            </w:r>
          </w:p>
        </w:tc>
        <w:tc>
          <w:tcPr/>
          <w:p>
            <w:pPr>
              <w:pStyle w:val="Compact"/>
            </w:pPr>
            <w:r>
              <w:rPr>
                <w:rFonts w:hint="eastAsia"/>
              </w:rPr>
              <w:t xml:space="preserve">团队协作</w:t>
            </w:r>
          </w:p>
        </w:tc>
        <w:tc>
          <w:tcPr/>
          <w:p>
            <w:pPr>
              <w:pStyle w:val="Compact"/>
            </w:pPr>
            <w:r>
              <w:t xml:space="preserve">2,037</w:t>
            </w:r>
          </w:p>
        </w:tc>
        <w:tc>
          <w:tcPr/>
          <w:p>
            <w:pPr>
              <w:pStyle w:val="Compact"/>
            </w:pPr>
            <w:r>
              <w:t xml:space="preserve">93</w:t>
            </w:r>
          </w:p>
        </w:tc>
      </w:tr>
      <w:tr>
        <w:tc>
          <w:tcPr/>
          <w:p>
            <w:pPr>
              <w:pStyle w:val="Compact"/>
            </w:pPr>
            <w:r>
              <w:t xml:space="preserve">6</w:t>
            </w:r>
          </w:p>
        </w:tc>
        <w:tc>
          <w:tcPr/>
          <w:p>
            <w:pPr>
              <w:pStyle w:val="Compact"/>
            </w:pPr>
            <w:r>
              <w:rPr>
                <w:rFonts w:hint="eastAsia"/>
              </w:rPr>
              <w:t xml:space="preserve">执行力</w:t>
            </w:r>
          </w:p>
        </w:tc>
        <w:tc>
          <w:tcPr/>
          <w:p>
            <w:pPr>
              <w:pStyle w:val="Compact"/>
            </w:pPr>
            <w:r>
              <w:t xml:space="preserve">1,664</w:t>
            </w:r>
          </w:p>
        </w:tc>
        <w:tc>
          <w:tcPr/>
          <w:p>
            <w:pPr>
              <w:pStyle w:val="Compact"/>
            </w:pPr>
            <w:r>
              <w:t xml:space="preserve">76</w:t>
            </w:r>
          </w:p>
        </w:tc>
      </w:tr>
      <w:tr>
        <w:tc>
          <w:tcPr/>
          <w:p>
            <w:pPr>
              <w:pStyle w:val="Compact"/>
            </w:pPr>
            <w:r>
              <w:t xml:space="preserve">7</w:t>
            </w:r>
          </w:p>
        </w:tc>
        <w:tc>
          <w:tcPr/>
          <w:p>
            <w:pPr>
              <w:pStyle w:val="Compact"/>
            </w:pPr>
            <w:r>
              <w:rPr>
                <w:rFonts w:hint="eastAsia"/>
              </w:rPr>
              <w:t xml:space="preserve">问题解决</w:t>
            </w:r>
          </w:p>
        </w:tc>
        <w:tc>
          <w:tcPr/>
          <w:p>
            <w:pPr>
              <w:pStyle w:val="Compact"/>
            </w:pPr>
            <w:r>
              <w:t xml:space="preserve">1,488</w:t>
            </w:r>
          </w:p>
        </w:tc>
        <w:tc>
          <w:tcPr/>
          <w:p>
            <w:pPr>
              <w:pStyle w:val="Compact"/>
            </w:pPr>
            <w:r>
              <w:t xml:space="preserve">68</w:t>
            </w:r>
          </w:p>
        </w:tc>
      </w:tr>
      <w:tr>
        <w:tc>
          <w:tcPr/>
          <w:p>
            <w:pPr>
              <w:pStyle w:val="Compact"/>
            </w:pPr>
            <w:r>
              <w:t xml:space="preserve">8</w:t>
            </w:r>
          </w:p>
        </w:tc>
        <w:tc>
          <w:tcPr/>
          <w:p>
            <w:pPr>
              <w:pStyle w:val="Compact"/>
            </w:pPr>
            <w:r>
              <w:rPr>
                <w:rFonts w:hint="eastAsia"/>
              </w:rPr>
              <w:t xml:space="preserve">协调能力</w:t>
            </w:r>
          </w:p>
        </w:tc>
        <w:tc>
          <w:tcPr/>
          <w:p>
            <w:pPr>
              <w:pStyle w:val="Compact"/>
            </w:pPr>
            <w:r>
              <w:t xml:space="preserve">1,453</w:t>
            </w:r>
          </w:p>
        </w:tc>
        <w:tc>
          <w:tcPr/>
          <w:p>
            <w:pPr>
              <w:pStyle w:val="Compact"/>
            </w:pPr>
            <w:r>
              <w:t xml:space="preserve">66</w:t>
            </w:r>
          </w:p>
        </w:tc>
      </w:tr>
      <w:tr>
        <w:tc>
          <w:tcPr/>
          <w:p>
            <w:pPr>
              <w:pStyle w:val="Compact"/>
            </w:pPr>
            <w:r>
              <w:t xml:space="preserve">9</w:t>
            </w:r>
          </w:p>
        </w:tc>
        <w:tc>
          <w:tcPr/>
          <w:p>
            <w:pPr>
              <w:pStyle w:val="Compact"/>
            </w:pPr>
            <w:r>
              <w:rPr>
                <w:rFonts w:hint="eastAsia"/>
              </w:rPr>
              <w:t xml:space="preserve">细心严谨</w:t>
            </w:r>
          </w:p>
        </w:tc>
        <w:tc>
          <w:tcPr/>
          <w:p>
            <w:pPr>
              <w:pStyle w:val="Compact"/>
            </w:pPr>
            <w:r>
              <w:t xml:space="preserve">1,368</w:t>
            </w:r>
          </w:p>
        </w:tc>
        <w:tc>
          <w:tcPr/>
          <w:p>
            <w:pPr>
              <w:pStyle w:val="Compact"/>
            </w:pPr>
            <w:r>
              <w:t xml:space="preserve">62</w:t>
            </w:r>
          </w:p>
        </w:tc>
      </w:tr>
      <w:tr>
        <w:tc>
          <w:tcPr/>
          <w:p>
            <w:pPr>
              <w:pStyle w:val="Compact"/>
            </w:pPr>
            <w:r>
              <w:t xml:space="preserve">10</w:t>
            </w:r>
          </w:p>
        </w:tc>
        <w:tc>
          <w:tcPr/>
          <w:p>
            <w:pPr>
              <w:pStyle w:val="Compact"/>
            </w:pPr>
            <w:r>
              <w:rPr>
                <w:rFonts w:hint="eastAsia"/>
              </w:rPr>
              <w:t xml:space="preserve">服务意识</w:t>
            </w:r>
          </w:p>
        </w:tc>
        <w:tc>
          <w:tcPr/>
          <w:p>
            <w:pPr>
              <w:pStyle w:val="Compact"/>
            </w:pPr>
            <w:r>
              <w:t xml:space="preserve">1,306</w:t>
            </w:r>
          </w:p>
        </w:tc>
        <w:tc>
          <w:tcPr/>
          <w:p>
            <w:pPr>
              <w:pStyle w:val="Compact"/>
            </w:pPr>
            <w:r>
              <w:t xml:space="preserve">59</w:t>
            </w:r>
          </w:p>
        </w:tc>
      </w:tr>
    </w:tbl>
    <w:p>
      <w:pPr>
        <w:pStyle w:val="BodyText"/>
      </w:pPr>
      <w:r>
        <w:rPr>
          <w:rFonts w:hint="eastAsia"/>
        </w:rPr>
        <w:t xml:space="preserve">（见Figures/fig29_soft_skills_top20.png）</w:t>
      </w:r>
    </w:p>
    <w:p>
      <w:pPr>
        <w:pStyle w:val="BodyText"/>
      </w:pPr>
      <w:r>
        <w:rPr>
          <w:rFonts w:hint="eastAsia"/>
        </w:rPr>
        <w:t xml:space="preserve">沟通协调类软技能的绝对主导地位（每千条433次，远超第二名责任心的203次）表明，在专精特新企业的生产经营环境中，跨部门、跨层级、跨岗位的沟通协调能力被视为所有岗位的基础门槛，而非某一类别的特殊要求。</w:t>
      </w:r>
    </w:p>
    <w:bookmarkEnd w:id="16"/>
    <w:bookmarkStart w:id="17" w:name="软技能的跨类别分布普适性与差异性并存"/>
    <w:p>
      <w:pPr>
        <w:pStyle w:val="Heading3"/>
      </w:pPr>
      <w:r>
        <w:t xml:space="preserve">2. </w:t>
      </w:r>
      <w:r>
        <w:rPr>
          <w:rFonts w:hint="eastAsia"/>
        </w:rPr>
        <w:t xml:space="preserve">软技能的跨类别分布：普适性与差异性并存</w:t>
      </w:r>
    </w:p>
    <w:p>
      <w:pPr>
        <w:pStyle w:val="FirstParagraph"/>
      </w:pPr>
      <w:r>
        <w:rPr>
          <w:rFonts w:hint="eastAsia"/>
        </w:rPr>
        <w:t xml:space="preserve">热力图分析显示（见Figures/fig30_soft_skills_category_heatmap.png），沟通协调在全部9个主要岗位类别中均以极高频率出现，体现其跨类别普适性。然而，不同类别在次级软技能上存在显著差异：</w:t>
      </w:r>
    </w:p>
    <w:p>
      <w:pPr>
        <w:pStyle w:val="Compact"/>
        <w:numPr>
          <w:ilvl w:val="0"/>
          <w:numId w:val="1001"/>
        </w:numPr>
      </w:pPr>
      <w:r>
        <w:rPr>
          <w:rFonts w:hint="eastAsia"/>
          <w:b/>
          <w:bCs/>
        </w:rPr>
        <w:t xml:space="preserve">研发技术类</w:t>
      </w:r>
      <w:r>
        <w:rPr>
          <w:rFonts w:hint="eastAsia"/>
        </w:rPr>
        <w:t xml:space="preserve">：问题解决（112/千条）、细心严谨（98/千条）频率明显高于均值，反映技术岗位对缜密工作态度的特殊要求</w:t>
      </w:r>
    </w:p>
    <w:p>
      <w:pPr>
        <w:pStyle w:val="Compact"/>
        <w:numPr>
          <w:ilvl w:val="0"/>
          <w:numId w:val="1001"/>
        </w:numPr>
      </w:pPr>
      <w:r>
        <w:rPr>
          <w:rFonts w:hint="eastAsia"/>
          <w:b/>
          <w:bCs/>
        </w:rPr>
        <w:t xml:space="preserve">销售市场类</w:t>
      </w:r>
      <w:r>
        <w:rPr>
          <w:rFonts w:hint="eastAsia"/>
        </w:rPr>
        <w:t xml:space="preserve">：服务意识（186/千条）、主动性（131/千条）显著突出，与客户导向职责高度吻合</w:t>
      </w:r>
    </w:p>
    <w:p>
      <w:pPr>
        <w:pStyle w:val="Compact"/>
        <w:numPr>
          <w:ilvl w:val="0"/>
          <w:numId w:val="1001"/>
        </w:numPr>
      </w:pPr>
      <w:r>
        <w:rPr>
          <w:rFonts w:hint="eastAsia"/>
          <w:b/>
          <w:bCs/>
        </w:rPr>
        <w:t xml:space="preserve">行政人力类</w:t>
      </w:r>
      <w:r>
        <w:rPr>
          <w:rFonts w:hint="eastAsia"/>
        </w:rPr>
        <w:t xml:space="preserve">：责任心（287/千条）频率最高，与该类别高度事务性的工作性质相符</w:t>
      </w:r>
    </w:p>
    <w:p>
      <w:pPr>
        <w:pStyle w:val="Compact"/>
        <w:numPr>
          <w:ilvl w:val="0"/>
          <w:numId w:val="1001"/>
        </w:numPr>
      </w:pPr>
      <w:r>
        <w:rPr>
          <w:rFonts w:hint="eastAsia"/>
          <w:b/>
          <w:bCs/>
        </w:rPr>
        <w:t xml:space="preserve">信息技术类</w:t>
      </w:r>
      <w:r>
        <w:rPr>
          <w:rFonts w:hint="eastAsia"/>
        </w:rPr>
        <w:t xml:space="preserve">：学习能力（167/千条）排名明显高于其他类别，折射出IT领域技术迭代速度对持续学习能力的迫切需求</w:t>
      </w:r>
    </w:p>
    <w:p>
      <w:pPr>
        <w:pStyle w:val="FirstParagraph"/>
      </w:pPr>
      <w:r>
        <w:rPr>
          <w:rFonts w:hint="eastAsia"/>
        </w:rPr>
        <w:t xml:space="preserve">（见Figures/fig30_soft_skills_category_heatmap.png）</w:t>
      </w:r>
    </w:p>
    <w:bookmarkEnd w:id="17"/>
    <w:bookmarkStart w:id="18" w:name="软技能需求的历年稳定性"/>
    <w:p>
      <w:pPr>
        <w:pStyle w:val="Heading3"/>
      </w:pPr>
      <w:r>
        <w:t xml:space="preserve">3. </w:t>
      </w:r>
      <w:r>
        <w:rPr>
          <w:rFonts w:hint="eastAsia"/>
        </w:rPr>
        <w:t xml:space="preserve">软技能需求的历年稳定性</w:t>
      </w:r>
    </w:p>
    <w:p>
      <w:pPr>
        <w:pStyle w:val="FirstParagraph"/>
      </w:pPr>
      <w:r>
        <w:rPr>
          <w:rFonts w:hint="eastAsia"/>
        </w:rPr>
        <w:t xml:space="preserve">历年趋势分析显示（见Figures/fig31_soft_skills_trend.png），四大核心软技能（沟通协调、责任心、抗压能力、学习能力）的每千条出现率在可观测年份（2016—2024）总体保持稳定，未呈现明显的单向趋势。这表明软技能要求具有较强的历史稳定性，不同于技术技能的快速迭代，是职业教育课程中可以长期聚焦的稳定训练目标。</w:t>
      </w:r>
    </w:p>
    <w:bookmarkEnd w:id="18"/>
    <w:bookmarkEnd w:id="19"/>
    <w:bookmarkStart w:id="23" w:name="二岗位数字化程度整体偏低ai相关性仍处于早期阶段"/>
    <w:p>
      <w:pPr>
        <w:pStyle w:val="Heading2"/>
      </w:pPr>
      <w:r>
        <w:rPr>
          <w:rFonts w:hint="eastAsia"/>
        </w:rPr>
        <w:t xml:space="preserve">（二）岗位数字化程度：整体偏低，AI相关性仍处于早期阶段</w:t>
      </w:r>
    </w:p>
    <w:bookmarkStart w:id="20" w:name="三维评分的全样本分布"/>
    <w:p>
      <w:pPr>
        <w:pStyle w:val="Heading3"/>
      </w:pPr>
      <w:r>
        <w:t xml:space="preserve">1. </w:t>
      </w:r>
      <w:r>
        <w:rPr>
          <w:rFonts w:hint="eastAsia"/>
        </w:rPr>
        <w:t xml:space="preserve">三维评分的全样本分布</w:t>
      </w:r>
    </w:p>
    <w:p>
      <w:pPr>
        <w:pStyle w:val="FirstParagraph"/>
      </w:pPr>
      <w:r>
        <w:rPr>
          <w:rFonts w:hint="eastAsia"/>
        </w:rPr>
        <w:t xml:space="preserve">对全部22,022条职位描述进行三维评分（0-100），结果如下：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全样本均值</w:t>
            </w:r>
          </w:p>
        </w:tc>
        <w:tc>
          <w:tcPr/>
          <w:p>
            <w:pPr>
              <w:pStyle w:val="Compact"/>
            </w:pPr>
            <w:r>
              <w:rPr>
                <w:rFonts w:hint="eastAsia"/>
              </w:rPr>
              <w:t xml:space="preserve">中位数</w:t>
            </w:r>
          </w:p>
        </w:tc>
        <w:tc>
          <w:tcPr/>
          <w:p>
            <w:pPr>
              <w:pStyle w:val="Compact"/>
            </w:pPr>
            <w:r>
              <w:rPr>
                <w:rFonts w:hint="eastAsia"/>
              </w:rPr>
              <w:t xml:space="preserve">标准差</w:t>
            </w:r>
          </w:p>
        </w:tc>
      </w:tr>
      <w:tr>
        <w:tc>
          <w:tcPr/>
          <w:p>
            <w:pPr>
              <w:pStyle w:val="Compact"/>
            </w:pPr>
            <w:r>
              <w:rPr>
                <w:rFonts w:hint="eastAsia"/>
              </w:rPr>
              <w:t xml:space="preserve">数字化程度</w:t>
            </w:r>
          </w:p>
        </w:tc>
        <w:tc>
          <w:tcPr/>
          <w:p>
            <w:pPr>
              <w:pStyle w:val="Compact"/>
            </w:pPr>
            <w:r>
              <w:t xml:space="preserve">36.0</w:t>
            </w:r>
          </w:p>
        </w:tc>
        <w:tc>
          <w:tcPr/>
          <w:p>
            <w:pPr>
              <w:pStyle w:val="Compact"/>
            </w:pPr>
            <w:r>
              <w:t xml:space="preserve">30</w:t>
            </w:r>
          </w:p>
        </w:tc>
        <w:tc>
          <w:tcPr/>
          <w:p>
            <w:pPr>
              <w:pStyle w:val="Compact"/>
            </w:pPr>
            <w:r>
              <w:t xml:space="preserve">26.4</w:t>
            </w:r>
          </w:p>
        </w:tc>
      </w:tr>
      <w:tr>
        <w:tc>
          <w:tcPr/>
          <w:p>
            <w:pPr>
              <w:pStyle w:val="Compact"/>
            </w:pPr>
            <w:r>
              <w:rPr>
                <w:rFonts w:hint="eastAsia"/>
              </w:rPr>
              <w:t xml:space="preserve">AI相关性</w:t>
            </w:r>
          </w:p>
        </w:tc>
        <w:tc>
          <w:tcPr/>
          <w:p>
            <w:pPr>
              <w:pStyle w:val="Compact"/>
            </w:pPr>
            <w:r>
              <w:t xml:space="preserve">8.6</w:t>
            </w:r>
          </w:p>
        </w:tc>
        <w:tc>
          <w:tcPr/>
          <w:p>
            <w:pPr>
              <w:pStyle w:val="Compact"/>
            </w:pPr>
            <w:r>
              <w:t xml:space="preserve">5</w:t>
            </w:r>
          </w:p>
        </w:tc>
        <w:tc>
          <w:tcPr/>
          <w:p>
            <w:pPr>
              <w:pStyle w:val="Compact"/>
            </w:pPr>
            <w:r>
              <w:t xml:space="preserve">13.2</w:t>
            </w:r>
          </w:p>
        </w:tc>
      </w:tr>
      <w:tr>
        <w:tc>
          <w:tcPr/>
          <w:p>
            <w:pPr>
              <w:pStyle w:val="Compact"/>
            </w:pPr>
            <w:r>
              <w:rPr>
                <w:rFonts w:hint="eastAsia"/>
              </w:rPr>
              <w:t xml:space="preserve">技术复杂度</w:t>
            </w:r>
          </w:p>
        </w:tc>
        <w:tc>
          <w:tcPr/>
          <w:p>
            <w:pPr>
              <w:pStyle w:val="Compact"/>
            </w:pPr>
            <w:r>
              <w:t xml:space="preserve">36.7</w:t>
            </w:r>
          </w:p>
        </w:tc>
        <w:tc>
          <w:tcPr/>
          <w:p>
            <w:pPr>
              <w:pStyle w:val="Compact"/>
            </w:pPr>
            <w:r>
              <w:t xml:space="preserve">32</w:t>
            </w:r>
          </w:p>
        </w:tc>
        <w:tc>
          <w:tcPr/>
          <w:p>
            <w:pPr>
              <w:pStyle w:val="Compact"/>
            </w:pPr>
            <w:r>
              <w:t xml:space="preserve">25.9</w:t>
            </w:r>
          </w:p>
        </w:tc>
      </w:tr>
    </w:tbl>
    <w:p>
      <w:pPr>
        <w:pStyle w:val="BodyText"/>
      </w:pPr>
      <w:r>
        <w:rPr>
          <w:rFonts w:hint="eastAsia"/>
        </w:rPr>
        <w:t xml:space="preserve">专精特新企业整体数字化程度均值仅36.0分，AI相关性均值更低至8.6分，揭示了一个重要的现实：尽管AI概念高度热门，专精特新企业中真正要求AI能力的岗位仍属少数。大多数岗位的”数字化”停留在ERP使用、CAD操作、Excel数据处理等工具应用层面，而非算法开发层面。</w:t>
      </w:r>
    </w:p>
    <w:bookmarkEnd w:id="20"/>
    <w:bookmarkStart w:id="21" w:name="各岗位类别评分分布的显著差异"/>
    <w:p>
      <w:pPr>
        <w:pStyle w:val="Heading3"/>
      </w:pPr>
      <w:r>
        <w:t xml:space="preserve">2. </w:t>
      </w:r>
      <w:r>
        <w:rPr>
          <w:rFonts w:hint="eastAsia"/>
        </w:rPr>
        <w:t xml:space="preserve">各岗位类别评分分布的显著差异</w:t>
      </w:r>
    </w:p>
    <w:p>
      <w:pPr>
        <w:pStyle w:val="FirstParagraph"/>
      </w:pPr>
      <w:r>
        <w:rPr>
          <w:rFonts w:hint="eastAsia"/>
        </w:rPr>
        <w:t xml:space="preserve">箱线图分析显示（见Figures/fig33_digitalization_category_boxplot.png），信息技术类岗位在三个维度均显著高于其他类别（数字化程度均值约72，AI相关性约28，技术复杂度约68），而生产制造类岗位的数字化程度均值约22、AI相关性约4，与IT类形成极端对比。研发技术类介于两者之间（数字化程度约42），体现了其技术密集但不一定数字化的特征。</w:t>
      </w:r>
    </w:p>
    <w:bookmarkEnd w:id="21"/>
    <w:bookmarkStart w:id="22" w:name="历年数字化程度趋势整体平稳无明显上升"/>
    <w:p>
      <w:pPr>
        <w:pStyle w:val="Heading3"/>
      </w:pPr>
      <w:r>
        <w:t xml:space="preserve">3. </w:t>
      </w:r>
      <w:r>
        <w:rPr>
          <w:rFonts w:hint="eastAsia"/>
        </w:rPr>
        <w:t xml:space="preserve">历年数字化程度趋势：整体平稳，无明显上升</w:t>
      </w:r>
    </w:p>
    <w:p>
      <w:pPr>
        <w:pStyle w:val="FirstParagraph"/>
      </w:pPr>
      <w:r>
        <w:rPr>
          <w:rFonts w:hint="eastAsia"/>
        </w:rPr>
        <w:t xml:space="preserve">年度均值趋势显示（见Figures/fig32_digitalization_trend.png），2016—2024年三维评分的历年均值总体保持平稳，未出现显著的单调上升趋势（2020年因仅有2条记录而数值异常，已剔除分析）。这一发现与V1研究中”技术关键词向物联网、AI方向集聚”的发现形成对照，提示：技术词汇的出现频率上升，不等于岗位实际数字化程度的普遍提升。大多数传统岗位的工作内容并未因外部技术政策的倡导而发生根本性变革。</w:t>
      </w:r>
    </w:p>
    <w:bookmarkEnd w:id="22"/>
    <w:bookmarkEnd w:id="23"/>
    <w:bookmarkStart w:id="27" w:name="三本科与大专岗位的文本分层系统性设计者vs执行者差异"/>
    <w:p>
      <w:pPr>
        <w:pStyle w:val="Heading2"/>
      </w:pPr>
      <w:r>
        <w:rPr>
          <w:rFonts w:hint="eastAsia"/>
        </w:rPr>
        <w:t xml:space="preserve">（三）本科与大专岗位的文本分层：系统性”设计者vs执行者”差异</w:t>
      </w:r>
    </w:p>
    <w:bookmarkStart w:id="24" w:name="各岗位类别的核心差异摘要"/>
    <w:p>
      <w:pPr>
        <w:pStyle w:val="Heading3"/>
      </w:pPr>
      <w:r>
        <w:t xml:space="preserve">1. </w:t>
      </w:r>
      <w:r>
        <w:rPr>
          <w:rFonts w:hint="eastAsia"/>
        </w:rPr>
        <w:t xml:space="preserve">各岗位类别的核心差异摘要</w:t>
      </w:r>
    </w:p>
    <w:p>
      <w:pPr>
        <w:pStyle w:val="FirstParagraph"/>
      </w:pPr>
      <w:r>
        <w:rPr>
          <w:rFonts w:hint="eastAsia"/>
        </w:rPr>
        <w:t xml:space="preserve">通过对10个岗位类别各自比较本科组与大专组的职位描述文本，LLM识别出跨类别一致的系统性文本分层模式：</w:t>
      </w:r>
    </w:p>
    <w:tbl>
      <w:tblPr>
        <w:tblStyle w:val="Table"/>
        <w:tblW w:type="pct" w:w="5000"/>
        <w:tblLayout w:type="fixed"/>
        <w:tblLook w:firstRow="1" w:lastRow="0" w:firstColumn="0" w:lastColumn="0" w:noHBand="0" w:noVBand="0" w:val="0020"/>
      </w:tblPr>
      <w:tblGrid>
        <w:gridCol w:w="2084"/>
        <w:gridCol w:w="2917"/>
        <w:gridCol w:w="2917"/>
      </w:tblGrid>
      <w:tr>
        <w:trPr>
          <w:tblHeader w:val="on"/>
        </w:trPr>
        <w:tc>
          <w:tcPr/>
          <w:p>
            <w:pPr>
              <w:pStyle w:val="Compact"/>
            </w:pPr>
            <w:r>
              <w:rPr>
                <w:rFonts w:hint="eastAsia"/>
              </w:rPr>
              <w:t xml:space="preserve">岗位类别</w:t>
            </w:r>
          </w:p>
        </w:tc>
        <w:tc>
          <w:tcPr/>
          <w:p>
            <w:pPr>
              <w:pStyle w:val="Compact"/>
            </w:pPr>
            <w:r>
              <w:rPr>
                <w:rFonts w:hint="eastAsia"/>
              </w:rPr>
              <w:t xml:space="preserve">本科组核心特征</w:t>
            </w:r>
          </w:p>
        </w:tc>
        <w:tc>
          <w:tcPr/>
          <w:p>
            <w:pPr>
              <w:pStyle w:val="Compact"/>
            </w:pPr>
            <w:r>
              <w:rPr>
                <w:rFonts w:hint="eastAsia"/>
              </w:rPr>
              <w:t xml:space="preserve">大专组核心特征</w:t>
            </w:r>
          </w:p>
        </w:tc>
      </w:tr>
      <w:tr>
        <w:tc>
          <w:tcPr/>
          <w:p>
            <w:pPr>
              <w:pStyle w:val="Compact"/>
            </w:pPr>
            <w:r>
              <w:rPr>
                <w:rFonts w:hint="eastAsia"/>
              </w:rPr>
              <w:t xml:space="preserve">研发技术</w:t>
            </w:r>
          </w:p>
        </w:tc>
        <w:tc>
          <w:tcPr/>
          <w:p>
            <w:pPr>
              <w:pStyle w:val="Compact"/>
            </w:pPr>
            <w:r>
              <w:rPr>
                <w:rFonts w:hint="eastAsia"/>
              </w:rPr>
              <w:t xml:space="preserve">产品全流程研发设计、系统方案、预研规划、跨领域协调</w:t>
            </w:r>
          </w:p>
        </w:tc>
        <w:tc>
          <w:tcPr/>
          <w:p>
            <w:pPr>
              <w:pStyle w:val="Compact"/>
            </w:pPr>
            <w:r>
              <w:rPr>
                <w:rFonts w:hint="eastAsia"/>
              </w:rPr>
              <w:t xml:space="preserve">设备维护、产线支持、测试调试、按标准流程执行</w:t>
            </w:r>
          </w:p>
        </w:tc>
      </w:tr>
      <w:tr>
        <w:tc>
          <w:tcPr/>
          <w:p>
            <w:pPr>
              <w:pStyle w:val="Compact"/>
            </w:pPr>
            <w:r>
              <w:rPr>
                <w:rFonts w:hint="eastAsia"/>
              </w:rPr>
              <w:t xml:space="preserve">信息技术</w:t>
            </w:r>
          </w:p>
        </w:tc>
        <w:tc>
          <w:tcPr/>
          <w:p>
            <w:pPr>
              <w:pStyle w:val="Compact"/>
            </w:pPr>
            <w:r>
              <w:rPr>
                <w:rFonts w:hint="eastAsia"/>
              </w:rPr>
              <w:t xml:space="preserve">系统设计、技术架构、团队领导、独立主导复杂项目</w:t>
            </w:r>
          </w:p>
        </w:tc>
        <w:tc>
          <w:tcPr/>
          <w:p>
            <w:pPr>
              <w:pStyle w:val="Compact"/>
            </w:pPr>
            <w:r>
              <w:rPr>
                <w:rFonts w:hint="eastAsia"/>
              </w:rPr>
              <w:t xml:space="preserve">执行维护、基础开发、技术支持、按规范完成具体任务</w:t>
            </w:r>
          </w:p>
        </w:tc>
      </w:tr>
      <w:tr>
        <w:tc>
          <w:tcPr/>
          <w:p>
            <w:pPr>
              <w:pStyle w:val="Compact"/>
            </w:pPr>
            <w:r>
              <w:rPr>
                <w:rFonts w:hint="eastAsia"/>
              </w:rPr>
              <w:t xml:space="preserve">生产制造</w:t>
            </w:r>
          </w:p>
        </w:tc>
        <w:tc>
          <w:tcPr/>
          <w:p>
            <w:pPr>
              <w:pStyle w:val="Compact"/>
            </w:pPr>
            <w:r>
              <w:rPr>
                <w:rFonts w:hint="eastAsia"/>
              </w:rPr>
              <w:t xml:space="preserve">工艺研发创新、项目统筹、体系建设、团队管理</w:t>
            </w:r>
          </w:p>
        </w:tc>
        <w:tc>
          <w:tcPr/>
          <w:p>
            <w:pPr>
              <w:pStyle w:val="Compact"/>
            </w:pPr>
            <w:r>
              <w:rPr>
                <w:rFonts w:hint="eastAsia"/>
              </w:rPr>
              <w:t xml:space="preserve">工艺执行落实、设备操作维修、现场问题处理、标准执行</w:t>
            </w:r>
          </w:p>
        </w:tc>
      </w:tr>
      <w:tr>
        <w:tc>
          <w:tcPr/>
          <w:p>
            <w:pPr>
              <w:pStyle w:val="Compact"/>
            </w:pPr>
            <w:r>
              <w:rPr>
                <w:rFonts w:hint="eastAsia"/>
              </w:rPr>
              <w:t xml:space="preserve">销售市场</w:t>
            </w:r>
          </w:p>
        </w:tc>
        <w:tc>
          <w:tcPr/>
          <w:p>
            <w:pPr>
              <w:pStyle w:val="Compact"/>
            </w:pPr>
            <w:r>
              <w:rPr>
                <w:rFonts w:hint="eastAsia"/>
              </w:rPr>
              <w:t xml:space="preserve">战略规划、品牌建设、团队管理、海外市场</w:t>
            </w:r>
          </w:p>
        </w:tc>
        <w:tc>
          <w:tcPr/>
          <w:p>
            <w:pPr>
              <w:pStyle w:val="Compact"/>
            </w:pPr>
            <w:r>
              <w:rPr>
                <w:rFonts w:hint="eastAsia"/>
              </w:rPr>
              <w:t xml:space="preserve">客户开发、销售跟单、平台运营、活动执行</w:t>
            </w:r>
          </w:p>
        </w:tc>
      </w:tr>
      <w:tr>
        <w:tc>
          <w:tcPr/>
          <w:p>
            <w:pPr>
              <w:pStyle w:val="Compact"/>
            </w:pPr>
            <w:r>
              <w:rPr>
                <w:rFonts w:hint="eastAsia"/>
              </w:rPr>
              <w:t xml:space="preserve">财务会计</w:t>
            </w:r>
          </w:p>
        </w:tc>
        <w:tc>
          <w:tcPr/>
          <w:p>
            <w:pPr>
              <w:pStyle w:val="Compact"/>
            </w:pPr>
            <w:r>
              <w:rPr>
                <w:rFonts w:hint="eastAsia"/>
              </w:rPr>
              <w:t xml:space="preserve">IPO筹划、预算管控、税务筹划、体系建设</w:t>
            </w:r>
          </w:p>
        </w:tc>
        <w:tc>
          <w:tcPr/>
          <w:p>
            <w:pPr>
              <w:pStyle w:val="Compact"/>
            </w:pPr>
            <w:r>
              <w:rPr>
                <w:rFonts w:hint="eastAsia"/>
              </w:rPr>
              <w:t xml:space="preserve">账务处理、基础核算、日常事务性操作</w:t>
            </w:r>
          </w:p>
        </w:tc>
      </w:tr>
      <w:tr>
        <w:tc>
          <w:tcPr/>
          <w:p>
            <w:pPr>
              <w:pStyle w:val="Compact"/>
            </w:pPr>
            <w:r>
              <w:rPr>
                <w:rFonts w:hint="eastAsia"/>
              </w:rPr>
              <w:t xml:space="preserve">供应链采购</w:t>
            </w:r>
          </w:p>
        </w:tc>
        <w:tc>
          <w:tcPr/>
          <w:p>
            <w:pPr>
              <w:pStyle w:val="Compact"/>
            </w:pPr>
            <w:r>
              <w:rPr>
                <w:rFonts w:hint="eastAsia"/>
              </w:rPr>
              <w:t xml:space="preserve">战略规划、供应商全周期管理、团队领导</w:t>
            </w:r>
          </w:p>
        </w:tc>
        <w:tc>
          <w:tcPr/>
          <w:p>
            <w:pPr>
              <w:pStyle w:val="Compact"/>
            </w:pPr>
            <w:r>
              <w:rPr>
                <w:rFonts w:hint="eastAsia"/>
              </w:rPr>
              <w:t xml:space="preserve">采购跟单、仓库管理、数据录入</w:t>
            </w:r>
          </w:p>
        </w:tc>
      </w:tr>
    </w:tbl>
    <w:p>
      <w:pPr>
        <w:pStyle w:val="BodyText"/>
      </w:pPr>
      <w:r>
        <w:rPr>
          <w:rFonts w:hint="eastAsia"/>
        </w:rPr>
        <w:t xml:space="preserve">（见Figures/fig35_edu_diff_bars.png</w:t>
      </w:r>
      <w:r>
        <w:t xml:space="preserve"> / </w:t>
      </w:r>
      <w:r>
        <w:rPr>
          <w:rFonts w:hint="eastAsia"/>
        </w:rPr>
        <w:t xml:space="preserve">fig36_edu_diff_matrix.png）</w:t>
      </w:r>
    </w:p>
    <w:bookmarkEnd w:id="24"/>
    <w:bookmarkStart w:id="25" w:name="普适性分层规律设计者与管理者vs执行者与操作者"/>
    <w:p>
      <w:pPr>
        <w:pStyle w:val="Heading3"/>
      </w:pPr>
      <w:r>
        <w:t xml:space="preserve">2. </w:t>
      </w:r>
      <w:r>
        <w:rPr>
          <w:rFonts w:hint="eastAsia"/>
        </w:rPr>
        <w:t xml:space="preserve">普适性分层规律：</w:t>
      </w:r>
      <w:r>
        <w:rPr>
          <w:rFonts w:hint="eastAsia"/>
        </w:rPr>
        <w:t xml:space="preserve">“设计者与管理者”</w:t>
      </w:r>
      <w:r>
        <w:rPr>
          <w:rFonts w:hint="eastAsia"/>
        </w:rPr>
        <w:t xml:space="preserve">vs”执行者与操作者”</w:t>
      </w:r>
    </w:p>
    <w:p>
      <w:pPr>
        <w:pStyle w:val="FirstParagraph"/>
      </w:pPr>
      <w:r>
        <w:rPr>
          <w:rFonts w:hint="eastAsia"/>
        </w:rPr>
        <w:t xml:space="preserve">最重要的发现是：上述分层在全部10个岗位类别中均呈现完全一致的方向性——</w:t>
      </w:r>
      <w:r>
        <w:rPr>
          <w:rFonts w:hint="eastAsia"/>
          <w:b/>
          <w:bCs/>
        </w:rPr>
        <w:t xml:space="preserve">本科岗位是”设计者与管理者”，大专岗位是”执行者与操作者”</w:t>
      </w:r>
      <w:r>
        <w:rPr>
          <w:rFonts w:hint="eastAsia"/>
        </w:rPr>
        <w:t xml:space="preserve">。这不是个别类别的特殊现象，而是专精特新企业招聘文化中根深蒂固的人才层级预设。</w:t>
      </w:r>
    </w:p>
    <w:p>
      <w:pPr>
        <w:pStyle w:val="BodyText"/>
      </w:pPr>
      <w:r>
        <w:rPr>
          <w:rFonts w:hint="eastAsia"/>
        </w:rPr>
        <w:t xml:space="preserve">本科岗位的关键词：战略规划、体系建设、跨部门协调、主导、方案设计、全周期管理</w:t>
      </w:r>
      <w:r>
        <w:t xml:space="preserve"> </w:t>
      </w:r>
      <w:r>
        <w:rPr>
          <w:rFonts w:hint="eastAsia"/>
        </w:rPr>
        <w:t xml:space="preserve">大专岗位的关键词：执行落实、按规范、现场处理、跟单、录入、操作维护</w:t>
      </w:r>
    </w:p>
    <w:bookmarkEnd w:id="25"/>
    <w:bookmarkStart w:id="26" w:name="对高职院校的结构性启示"/>
    <w:p>
      <w:pPr>
        <w:pStyle w:val="Heading3"/>
      </w:pPr>
      <w:r>
        <w:t xml:space="preserve">3. </w:t>
      </w:r>
      <w:r>
        <w:rPr>
          <w:rFonts w:hint="eastAsia"/>
        </w:rPr>
        <w:t xml:space="preserve">对高职院校的结构性启示</w:t>
      </w:r>
    </w:p>
    <w:p>
      <w:pPr>
        <w:pStyle w:val="FirstParagraph"/>
      </w:pPr>
      <w:r>
        <w:rPr>
          <w:rFonts w:hint="eastAsia"/>
        </w:rPr>
        <w:t xml:space="preserve">这一文本分层的政策含义是双重的：一方面，大专岗位的确存在明确的”执行者”空间，且在制造业岗位（生产制造、质量检验、供应链）中体量可观；另一方面，若高职院校培养目标停留于”执行者”定位，则其毕业生在职业发展通道上将遭遇天花板——本科学历的”设计者与管理者”是更具成长性的岗位。这意味着高职院校的差异化竞争力，不应仅靠”执行层技能熟练”，更应通过专业深度建立局部的”设计者能力”——例如，在特定工具或系统上的专家级应用能力。</w:t>
      </w:r>
    </w:p>
    <w:bookmarkEnd w:id="26"/>
    <w:bookmarkEnd w:id="27"/>
    <w:bookmarkStart w:id="31" w:name="四技术工具精细图谱工程工具与办公工具并列ai工具尚未进入主流"/>
    <w:p>
      <w:pPr>
        <w:pStyle w:val="Heading2"/>
      </w:pPr>
      <w:r>
        <w:rPr>
          <w:rFonts w:hint="eastAsia"/>
        </w:rPr>
        <w:t xml:space="preserve">（四）技术工具精细图谱：工程工具与办公工具并列，AI工具尚未进入主流</w:t>
      </w:r>
    </w:p>
    <w:bookmarkStart w:id="28" w:name="工具频率top20"/>
    <w:p>
      <w:pPr>
        <w:pStyle w:val="Heading3"/>
      </w:pPr>
      <w:r>
        <w:t xml:space="preserve">1. </w:t>
      </w:r>
      <w:r>
        <w:rPr>
          <w:rFonts w:hint="eastAsia"/>
        </w:rPr>
        <w:t xml:space="preserve">工具频率Top20</w:t>
      </w:r>
    </w:p>
    <w:p>
      <w:pPr>
        <w:pStyle w:val="FirstParagraph"/>
      </w:pPr>
      <w:r>
        <w:rPr>
          <w:rFonts w:hint="eastAsia"/>
        </w:rPr>
        <w:t xml:space="preserve">在22,022条职位描述中，共提取到29,123条次具体工具名称，覆盖率41.0%（有9,032条记录包含至少一种具体工具名），唯一工具种类4,877种。Top20工具如下：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排名</w:t>
            </w:r>
          </w:p>
        </w:tc>
        <w:tc>
          <w:tcPr/>
          <w:p>
            <w:pPr>
              <w:pStyle w:val="Compact"/>
            </w:pPr>
            <w:r>
              <w:rPr>
                <w:rFonts w:hint="eastAsia"/>
              </w:rPr>
              <w:t xml:space="preserve">工具</w:t>
            </w:r>
          </w:p>
        </w:tc>
        <w:tc>
          <w:tcPr/>
          <w:p>
            <w:pPr>
              <w:pStyle w:val="Compact"/>
            </w:pPr>
            <w:r>
              <w:rPr>
                <w:rFonts w:hint="eastAsia"/>
              </w:rPr>
              <w:t xml:space="preserve">频次</w:t>
            </w:r>
          </w:p>
        </w:tc>
        <w:tc>
          <w:tcPr/>
          <w:p>
            <w:pPr>
              <w:pStyle w:val="Compact"/>
            </w:pPr>
            <w:r>
              <w:rPr>
                <w:rFonts w:hint="eastAsia"/>
              </w:rPr>
              <w:t xml:space="preserve">类型</w:t>
            </w:r>
          </w:p>
        </w:tc>
      </w:tr>
      <w:tr>
        <w:tc>
          <w:tcPr/>
          <w:p>
            <w:pPr>
              <w:pStyle w:val="Compact"/>
            </w:pPr>
            <w:r>
              <w:t xml:space="preserve">1</w:t>
            </w:r>
          </w:p>
        </w:tc>
        <w:tc>
          <w:tcPr/>
          <w:p>
            <w:pPr>
              <w:pStyle w:val="Compact"/>
            </w:pPr>
            <w:r>
              <w:t xml:space="preserve">CAD</w:t>
            </w:r>
          </w:p>
        </w:tc>
        <w:tc>
          <w:tcPr/>
          <w:p>
            <w:pPr>
              <w:pStyle w:val="Compact"/>
            </w:pPr>
            <w:r>
              <w:t xml:space="preserve">803</w:t>
            </w:r>
          </w:p>
        </w:tc>
        <w:tc>
          <w:tcPr/>
          <w:p>
            <w:pPr>
              <w:pStyle w:val="Compact"/>
            </w:pPr>
            <w:r>
              <w:rPr>
                <w:rFonts w:hint="eastAsia"/>
              </w:rPr>
              <w:t xml:space="preserve">工程设计</w:t>
            </w:r>
          </w:p>
        </w:tc>
      </w:tr>
      <w:tr>
        <w:tc>
          <w:tcPr/>
          <w:p>
            <w:pPr>
              <w:pStyle w:val="Compact"/>
            </w:pPr>
            <w:r>
              <w:t xml:space="preserve">2</w:t>
            </w:r>
          </w:p>
        </w:tc>
        <w:tc>
          <w:tcPr/>
          <w:p>
            <w:pPr>
              <w:pStyle w:val="Compact"/>
            </w:pPr>
            <w:r>
              <w:t xml:space="preserve">ERP</w:t>
            </w:r>
          </w:p>
        </w:tc>
        <w:tc>
          <w:tcPr/>
          <w:p>
            <w:pPr>
              <w:pStyle w:val="Compact"/>
            </w:pPr>
            <w:r>
              <w:t xml:space="preserve">732</w:t>
            </w:r>
          </w:p>
        </w:tc>
        <w:tc>
          <w:tcPr/>
          <w:p>
            <w:pPr>
              <w:pStyle w:val="Compact"/>
            </w:pPr>
            <w:r>
              <w:rPr>
                <w:rFonts w:hint="eastAsia"/>
              </w:rPr>
              <w:t xml:space="preserve">企业管理</w:t>
            </w:r>
          </w:p>
        </w:tc>
      </w:tr>
      <w:tr>
        <w:tc>
          <w:tcPr/>
          <w:p>
            <w:pPr>
              <w:pStyle w:val="Compact"/>
            </w:pPr>
            <w:r>
              <w:t xml:space="preserve">3</w:t>
            </w:r>
          </w:p>
        </w:tc>
        <w:tc>
          <w:tcPr/>
          <w:p>
            <w:pPr>
              <w:pStyle w:val="Compact"/>
            </w:pPr>
            <w:r>
              <w:t xml:space="preserve">Excel</w:t>
            </w:r>
          </w:p>
        </w:tc>
        <w:tc>
          <w:tcPr/>
          <w:p>
            <w:pPr>
              <w:pStyle w:val="Compact"/>
            </w:pPr>
            <w:r>
              <w:t xml:space="preserve">718</w:t>
            </w:r>
          </w:p>
        </w:tc>
        <w:tc>
          <w:tcPr/>
          <w:p>
            <w:pPr>
              <w:pStyle w:val="Compact"/>
            </w:pPr>
            <w:r>
              <w:rPr>
                <w:rFonts w:hint="eastAsia"/>
              </w:rPr>
              <w:t xml:space="preserve">办公工具</w:t>
            </w:r>
          </w:p>
        </w:tc>
      </w:tr>
      <w:tr>
        <w:tc>
          <w:tcPr/>
          <w:p>
            <w:pPr>
              <w:pStyle w:val="Compact"/>
            </w:pPr>
            <w:r>
              <w:t xml:space="preserve">4</w:t>
            </w:r>
          </w:p>
        </w:tc>
        <w:tc>
          <w:tcPr/>
          <w:p>
            <w:pPr>
              <w:pStyle w:val="Compact"/>
            </w:pPr>
            <w:r>
              <w:t xml:space="preserve">Office</w:t>
            </w:r>
          </w:p>
        </w:tc>
        <w:tc>
          <w:tcPr/>
          <w:p>
            <w:pPr>
              <w:pStyle w:val="Compact"/>
            </w:pPr>
            <w:r>
              <w:t xml:space="preserve">608</w:t>
            </w:r>
          </w:p>
        </w:tc>
        <w:tc>
          <w:tcPr/>
          <w:p>
            <w:pPr>
              <w:pStyle w:val="Compact"/>
            </w:pPr>
            <w:r>
              <w:rPr>
                <w:rFonts w:hint="eastAsia"/>
              </w:rPr>
              <w:t xml:space="preserve">办公工具</w:t>
            </w:r>
          </w:p>
        </w:tc>
      </w:tr>
      <w:tr>
        <w:tc>
          <w:tcPr/>
          <w:p>
            <w:pPr>
              <w:pStyle w:val="Compact"/>
            </w:pPr>
            <w:r>
              <w:t xml:space="preserve">5</w:t>
            </w:r>
          </w:p>
        </w:tc>
        <w:tc>
          <w:tcPr/>
          <w:p>
            <w:pPr>
              <w:pStyle w:val="Compact"/>
            </w:pPr>
            <w:r>
              <w:t xml:space="preserve">C++</w:t>
            </w:r>
          </w:p>
        </w:tc>
        <w:tc>
          <w:tcPr/>
          <w:p>
            <w:pPr>
              <w:pStyle w:val="Compact"/>
            </w:pPr>
            <w:r>
              <w:t xml:space="preserve">574</w:t>
            </w:r>
          </w:p>
        </w:tc>
        <w:tc>
          <w:tcPr/>
          <w:p>
            <w:pPr>
              <w:pStyle w:val="Compact"/>
            </w:pPr>
            <w:r>
              <w:rPr>
                <w:rFonts w:hint="eastAsia"/>
              </w:rPr>
              <w:t xml:space="preserve">编程语言</w:t>
            </w:r>
          </w:p>
        </w:tc>
      </w:tr>
      <w:tr>
        <w:tc>
          <w:tcPr/>
          <w:p>
            <w:pPr>
              <w:pStyle w:val="Compact"/>
            </w:pPr>
            <w:r>
              <w:t xml:space="preserve">6</w:t>
            </w:r>
          </w:p>
        </w:tc>
        <w:tc>
          <w:tcPr/>
          <w:p>
            <w:pPr>
              <w:pStyle w:val="Compact"/>
            </w:pPr>
            <w:r>
              <w:t xml:space="preserve">Word</w:t>
            </w:r>
          </w:p>
        </w:tc>
        <w:tc>
          <w:tcPr/>
          <w:p>
            <w:pPr>
              <w:pStyle w:val="Compact"/>
            </w:pPr>
            <w:r>
              <w:t xml:space="preserve">441</w:t>
            </w:r>
          </w:p>
        </w:tc>
        <w:tc>
          <w:tcPr/>
          <w:p>
            <w:pPr>
              <w:pStyle w:val="Compact"/>
            </w:pPr>
            <w:r>
              <w:rPr>
                <w:rFonts w:hint="eastAsia"/>
              </w:rPr>
              <w:t xml:space="preserve">办公工具</w:t>
            </w:r>
          </w:p>
        </w:tc>
      </w:tr>
      <w:tr>
        <w:tc>
          <w:tcPr/>
          <w:p>
            <w:pPr>
              <w:pStyle w:val="Compact"/>
            </w:pPr>
            <w:r>
              <w:t xml:space="preserve">7</w:t>
            </w:r>
          </w:p>
        </w:tc>
        <w:tc>
          <w:tcPr/>
          <w:p>
            <w:pPr>
              <w:pStyle w:val="Compact"/>
            </w:pPr>
            <w:r>
              <w:t xml:space="preserve">C</w:t>
            </w:r>
          </w:p>
        </w:tc>
        <w:tc>
          <w:tcPr/>
          <w:p>
            <w:pPr>
              <w:pStyle w:val="Compact"/>
            </w:pPr>
            <w:r>
              <w:t xml:space="preserve">433</w:t>
            </w:r>
          </w:p>
        </w:tc>
        <w:tc>
          <w:tcPr/>
          <w:p>
            <w:pPr>
              <w:pStyle w:val="Compact"/>
            </w:pPr>
            <w:r>
              <w:rPr>
                <w:rFonts w:hint="eastAsia"/>
              </w:rPr>
              <w:t xml:space="preserve">编程语言</w:t>
            </w:r>
          </w:p>
        </w:tc>
      </w:tr>
      <w:tr>
        <w:tc>
          <w:tcPr/>
          <w:p>
            <w:pPr>
              <w:pStyle w:val="Compact"/>
            </w:pPr>
            <w:r>
              <w:t xml:space="preserve">8</w:t>
            </w:r>
          </w:p>
        </w:tc>
        <w:tc>
          <w:tcPr/>
          <w:p>
            <w:pPr>
              <w:pStyle w:val="Compact"/>
            </w:pPr>
            <w:r>
              <w:t xml:space="preserve">Linux</w:t>
            </w:r>
          </w:p>
        </w:tc>
        <w:tc>
          <w:tcPr/>
          <w:p>
            <w:pPr>
              <w:pStyle w:val="Compact"/>
            </w:pPr>
            <w:r>
              <w:t xml:space="preserve">418</w:t>
            </w:r>
          </w:p>
        </w:tc>
        <w:tc>
          <w:tcPr/>
          <w:p>
            <w:pPr>
              <w:pStyle w:val="Compact"/>
            </w:pPr>
            <w:r>
              <w:rPr>
                <w:rFonts w:hint="eastAsia"/>
              </w:rPr>
              <w:t xml:space="preserve">操作系统</w:t>
            </w:r>
          </w:p>
        </w:tc>
      </w:tr>
      <w:tr>
        <w:tc>
          <w:tcPr/>
          <w:p>
            <w:pPr>
              <w:pStyle w:val="Compact"/>
            </w:pPr>
            <w:r>
              <w:t xml:space="preserve">9</w:t>
            </w:r>
          </w:p>
        </w:tc>
        <w:tc>
          <w:tcPr/>
          <w:p>
            <w:pPr>
              <w:pStyle w:val="Compact"/>
            </w:pPr>
            <w:r>
              <w:t xml:space="preserve">SolidWorks</w:t>
            </w:r>
          </w:p>
        </w:tc>
        <w:tc>
          <w:tcPr/>
          <w:p>
            <w:pPr>
              <w:pStyle w:val="Compact"/>
            </w:pPr>
            <w:r>
              <w:t xml:space="preserve">392</w:t>
            </w:r>
          </w:p>
        </w:tc>
        <w:tc>
          <w:tcPr/>
          <w:p>
            <w:pPr>
              <w:pStyle w:val="Compact"/>
            </w:pPr>
            <w:r>
              <w:rPr>
                <w:rFonts w:hint="eastAsia"/>
              </w:rPr>
              <w:t xml:space="preserve">工程设计</w:t>
            </w:r>
          </w:p>
        </w:tc>
      </w:tr>
      <w:tr>
        <w:tc>
          <w:tcPr/>
          <w:p>
            <w:pPr>
              <w:pStyle w:val="Compact"/>
            </w:pPr>
            <w:r>
              <w:t xml:space="preserve">10</w:t>
            </w:r>
          </w:p>
        </w:tc>
        <w:tc>
          <w:tcPr/>
          <w:p>
            <w:pPr>
              <w:pStyle w:val="Compact"/>
            </w:pPr>
            <w:r>
              <w:t xml:space="preserve">PPT</w:t>
            </w:r>
          </w:p>
        </w:tc>
        <w:tc>
          <w:tcPr/>
          <w:p>
            <w:pPr>
              <w:pStyle w:val="Compact"/>
            </w:pPr>
            <w:r>
              <w:t xml:space="preserve">343</w:t>
            </w:r>
          </w:p>
        </w:tc>
        <w:tc>
          <w:tcPr/>
          <w:p>
            <w:pPr>
              <w:pStyle w:val="Compact"/>
            </w:pPr>
            <w:r>
              <w:rPr>
                <w:rFonts w:hint="eastAsia"/>
              </w:rPr>
              <w:t xml:space="preserve">办公工具</w:t>
            </w:r>
          </w:p>
        </w:tc>
      </w:tr>
      <w:tr>
        <w:tc>
          <w:tcPr/>
          <w:p>
            <w:pPr>
              <w:pStyle w:val="Compact"/>
            </w:pPr>
            <w:r>
              <w:t xml:space="preserve">11</w:t>
            </w:r>
          </w:p>
        </w:tc>
        <w:tc>
          <w:tcPr/>
          <w:p>
            <w:pPr>
              <w:pStyle w:val="Compact"/>
            </w:pPr>
            <w:r>
              <w:t xml:space="preserve">AutoCAD</w:t>
            </w:r>
          </w:p>
        </w:tc>
        <w:tc>
          <w:tcPr/>
          <w:p>
            <w:pPr>
              <w:pStyle w:val="Compact"/>
            </w:pPr>
            <w:r>
              <w:t xml:space="preserve">331</w:t>
            </w:r>
          </w:p>
        </w:tc>
        <w:tc>
          <w:tcPr/>
          <w:p>
            <w:pPr>
              <w:pStyle w:val="Compact"/>
            </w:pPr>
            <w:r>
              <w:rPr>
                <w:rFonts w:hint="eastAsia"/>
              </w:rPr>
              <w:t xml:space="preserve">工程设计</w:t>
            </w:r>
          </w:p>
        </w:tc>
      </w:tr>
      <w:tr>
        <w:tc>
          <w:tcPr/>
          <w:p>
            <w:pPr>
              <w:pStyle w:val="Compact"/>
            </w:pPr>
            <w:r>
              <w:t xml:space="preserve">12</w:t>
            </w:r>
          </w:p>
        </w:tc>
        <w:tc>
          <w:tcPr/>
          <w:p>
            <w:pPr>
              <w:pStyle w:val="Compact"/>
            </w:pPr>
            <w:r>
              <w:t xml:space="preserve">PLC</w:t>
            </w:r>
          </w:p>
        </w:tc>
        <w:tc>
          <w:tcPr/>
          <w:p>
            <w:pPr>
              <w:pStyle w:val="Compact"/>
            </w:pPr>
            <w:r>
              <w:t xml:space="preserve">291</w:t>
            </w:r>
          </w:p>
        </w:tc>
        <w:tc>
          <w:tcPr/>
          <w:p>
            <w:pPr>
              <w:pStyle w:val="Compact"/>
            </w:pPr>
            <w:r>
              <w:rPr>
                <w:rFonts w:hint="eastAsia"/>
              </w:rPr>
              <w:t xml:space="preserve">工业控制</w:t>
            </w:r>
          </w:p>
        </w:tc>
      </w:tr>
      <w:tr>
        <w:tc>
          <w:tcPr/>
          <w:p>
            <w:pPr>
              <w:pStyle w:val="Compact"/>
            </w:pPr>
            <w:r>
              <w:t xml:space="preserve">13</w:t>
            </w:r>
          </w:p>
        </w:tc>
        <w:tc>
          <w:tcPr/>
          <w:p>
            <w:pPr>
              <w:pStyle w:val="Compact"/>
            </w:pPr>
            <w:r>
              <w:t xml:space="preserve">C#</w:t>
            </w:r>
          </w:p>
        </w:tc>
        <w:tc>
          <w:tcPr/>
          <w:p>
            <w:pPr>
              <w:pStyle w:val="Compact"/>
            </w:pPr>
            <w:r>
              <w:t xml:space="preserve">258</w:t>
            </w:r>
          </w:p>
        </w:tc>
        <w:tc>
          <w:tcPr/>
          <w:p>
            <w:pPr>
              <w:pStyle w:val="Compact"/>
            </w:pPr>
            <w:r>
              <w:rPr>
                <w:rFonts w:hint="eastAsia"/>
              </w:rPr>
              <w:t xml:space="preserve">编程语言</w:t>
            </w:r>
          </w:p>
        </w:tc>
      </w:tr>
      <w:tr>
        <w:tc>
          <w:tcPr/>
          <w:p>
            <w:pPr>
              <w:pStyle w:val="Compact"/>
            </w:pPr>
            <w:r>
              <w:t xml:space="preserve">14</w:t>
            </w:r>
          </w:p>
        </w:tc>
        <w:tc>
          <w:tcPr/>
          <w:p>
            <w:pPr>
              <w:pStyle w:val="Compact"/>
            </w:pPr>
            <w:r>
              <w:t xml:space="preserve">Java</w:t>
            </w:r>
          </w:p>
        </w:tc>
        <w:tc>
          <w:tcPr/>
          <w:p>
            <w:pPr>
              <w:pStyle w:val="Compact"/>
            </w:pPr>
            <w:r>
              <w:t xml:space="preserve">249</w:t>
            </w:r>
          </w:p>
        </w:tc>
        <w:tc>
          <w:tcPr/>
          <w:p>
            <w:pPr>
              <w:pStyle w:val="Compact"/>
            </w:pPr>
            <w:r>
              <w:rPr>
                <w:rFonts w:hint="eastAsia"/>
              </w:rPr>
              <w:t xml:space="preserve">编程语言</w:t>
            </w:r>
          </w:p>
        </w:tc>
      </w:tr>
      <w:tr>
        <w:tc>
          <w:tcPr/>
          <w:p>
            <w:pPr>
              <w:pStyle w:val="Compact"/>
            </w:pPr>
            <w:r>
              <w:t xml:space="preserve">15</w:t>
            </w:r>
          </w:p>
        </w:tc>
        <w:tc>
          <w:tcPr/>
          <w:p>
            <w:pPr>
              <w:pStyle w:val="Compact"/>
            </w:pPr>
            <w:r>
              <w:rPr>
                <w:rFonts w:hint="eastAsia"/>
              </w:rPr>
              <w:t xml:space="preserve">万用表</w:t>
            </w:r>
          </w:p>
        </w:tc>
        <w:tc>
          <w:tcPr/>
          <w:p>
            <w:pPr>
              <w:pStyle w:val="Compact"/>
            </w:pPr>
            <w:r>
              <w:t xml:space="preserve">227</w:t>
            </w:r>
          </w:p>
        </w:tc>
        <w:tc>
          <w:tcPr/>
          <w:p>
            <w:pPr>
              <w:pStyle w:val="Compact"/>
            </w:pPr>
            <w:r>
              <w:rPr>
                <w:rFonts w:hint="eastAsia"/>
              </w:rPr>
              <w:t xml:space="preserve">电子仪器</w:t>
            </w:r>
          </w:p>
        </w:tc>
      </w:tr>
    </w:tbl>
    <w:p>
      <w:pPr>
        <w:pStyle w:val="BodyText"/>
      </w:pPr>
      <w:r>
        <w:rPr>
          <w:rFonts w:hint="eastAsia"/>
        </w:rPr>
        <w:t xml:space="preserve">（见Figures/fig37_tech_tools_top30.png）</w:t>
      </w:r>
    </w:p>
    <w:bookmarkEnd w:id="28"/>
    <w:bookmarkStart w:id="29" w:name="三类工具并行主导"/>
    <w:p>
      <w:pPr>
        <w:pStyle w:val="Heading3"/>
      </w:pPr>
      <w:r>
        <w:t xml:space="preserve">2. </w:t>
      </w:r>
      <w:r>
        <w:rPr>
          <w:rFonts w:hint="eastAsia"/>
        </w:rPr>
        <w:t xml:space="preserve">三类工具并行主导</w:t>
      </w:r>
    </w:p>
    <w:p>
      <w:pPr>
        <w:pStyle w:val="FirstParagraph"/>
      </w:pPr>
      <w:r>
        <w:rPr>
          <w:rFonts w:hint="eastAsia"/>
        </w:rPr>
        <w:t xml:space="preserve">工具分布揭示了三类工具的并行主导：</w:t>
      </w:r>
    </w:p>
    <w:p>
      <w:pPr>
        <w:pStyle w:val="BodyText"/>
      </w:pPr>
      <w:r>
        <w:rPr>
          <w:rFonts w:hint="eastAsia"/>
          <w:b/>
          <w:bCs/>
        </w:rPr>
        <w:t xml:space="preserve">第一类：工程设计工具（CAD</w:t>
      </w:r>
      <w:r>
        <w:rPr>
          <w:b/>
          <w:bCs/>
        </w:rPr>
        <w:t xml:space="preserve"> 803、SolidWorks 392、AutoCAD 331、UG/NX 145、MATLAB </w:t>
      </w:r>
      <w:r>
        <w:rPr>
          <w:rFonts w:hint="eastAsia"/>
          <w:b/>
          <w:bCs/>
        </w:rPr>
        <w:t xml:space="preserve">134）</w:t>
      </w:r>
      <w:r>
        <w:t xml:space="preserve"> </w:t>
      </w:r>
      <w:r>
        <w:rPr>
          <w:rFonts w:hint="eastAsia"/>
        </w:rPr>
        <w:t xml:space="preserve">反映了专精特新企业的制造业主体属性（V1研究发现制造业占64%）。这类工具对深信大的ICT专业几乎没有直接关联，但印证了深信大应向”制造业数字化”方向拓展的必要性。</w:t>
      </w:r>
    </w:p>
    <w:p>
      <w:pPr>
        <w:pStyle w:val="BodyText"/>
      </w:pPr>
      <w:r>
        <w:rPr>
          <w:rFonts w:hint="eastAsia"/>
          <w:b/>
          <w:bCs/>
        </w:rPr>
        <w:t xml:space="preserve">第二类：基础编程与系统工具（C++</w:t>
      </w:r>
      <w:r>
        <w:rPr>
          <w:b/>
          <w:bCs/>
        </w:rPr>
        <w:t xml:space="preserve"> 574、C 433、Linux 418、Java 249、Python </w:t>
      </w:r>
      <w:r>
        <w:rPr>
          <w:rFonts w:hint="eastAsia"/>
          <w:b/>
          <w:bCs/>
        </w:rPr>
        <w:t xml:space="preserve">201）</w:t>
      </w:r>
      <w:r>
        <w:t xml:space="preserve"> </w:t>
      </w:r>
      <w:r>
        <w:rPr>
          <w:rFonts w:hint="eastAsia"/>
        </w:rPr>
        <w:t xml:space="preserve">这是深信大软件开发类专业的直接对接区域。值得关注的是：C/C++（结合Linux/ARM/嵌入式）的出现频率远超Python（201），说明在专精特新这类硬件密集型制造企业中，嵌入式/系统层编程比数据科学类Python更主流。</w:t>
      </w:r>
    </w:p>
    <w:p>
      <w:pPr>
        <w:pStyle w:val="BodyText"/>
      </w:pPr>
      <w:r>
        <w:rPr>
          <w:rFonts w:hint="eastAsia"/>
          <w:b/>
          <w:bCs/>
        </w:rPr>
        <w:t xml:space="preserve">第三类：企业管理与办公工具（ERP</w:t>
      </w:r>
      <w:r>
        <w:rPr>
          <w:b/>
          <w:bCs/>
        </w:rPr>
        <w:t xml:space="preserve"> 732、Excel 718、Office 608、SAP </w:t>
      </w:r>
      <w:r>
        <w:rPr>
          <w:rFonts w:hint="eastAsia"/>
          <w:b/>
          <w:bCs/>
        </w:rPr>
        <w:t xml:space="preserve">148）</w:t>
      </w:r>
      <w:r>
        <w:t xml:space="preserve"> </w:t>
      </w:r>
      <w:r>
        <w:rPr>
          <w:rFonts w:hint="eastAsia"/>
        </w:rPr>
        <w:t xml:space="preserve">ERP位居工具频率第二，折射出专精特新企业数字化管理的迫切需求。这对高职院校的启示是：ERP操作能力（尤其是SAP、金蝶、用友等国内ERP）是大专生提高可雇性的实用技能。</w:t>
      </w:r>
    </w:p>
    <w:bookmarkEnd w:id="29"/>
    <w:bookmarkStart w:id="30" w:name="aiml工具尚未进入主流招聘需求"/>
    <w:p>
      <w:pPr>
        <w:pStyle w:val="Heading3"/>
      </w:pPr>
      <w:r>
        <w:t xml:space="preserve">3. </w:t>
      </w:r>
      <w:r>
        <w:rPr>
          <w:rFonts w:hint="eastAsia"/>
        </w:rPr>
        <w:t xml:space="preserve">AI/ML工具尚未进入主流招聘需求</w:t>
      </w:r>
    </w:p>
    <w:p>
      <w:pPr>
        <w:pStyle w:val="FirstParagraph"/>
      </w:pPr>
      <w:r>
        <w:rPr>
          <w:rFonts w:hint="eastAsia"/>
        </w:rPr>
        <w:t xml:space="preserve">值得特别关注的是，TensorFlow、PyTorch、LangChain等AI/ML框架在工具频次上远低于Top20范围，与”数字化程度”分析中AI相关性仅8.6分的发现高度一致。这为深信大谨慎推进AI专业的建议（V1研究建议五）提供了更直接的工具层面证据：招聘职位描述中的具体工具清单尚未出现AI框架的主流化迹象。</w:t>
      </w:r>
    </w:p>
    <w:p>
      <w:r>
        <w:pict>
          <v:rect style="width:0;height:1.5pt" o:hralign="center" o:hrstd="t" o:hr="t"/>
        </w:pict>
      </w:r>
    </w:p>
    <w:bookmarkEnd w:id="30"/>
    <w:bookmarkEnd w:id="31"/>
    <w:bookmarkEnd w:id="32"/>
    <w:bookmarkStart w:id="36" w:name="四讨论"/>
    <w:p>
      <w:pPr>
        <w:pStyle w:val="Heading1"/>
      </w:pPr>
      <w:r>
        <w:rPr>
          <w:rFonts w:hint="eastAsia"/>
        </w:rPr>
        <w:t xml:space="preserve">四、讨论</w:t>
      </w:r>
    </w:p>
    <w:bookmarkStart w:id="33" w:name="一软技能培养的课程化路径"/>
    <w:p>
      <w:pPr>
        <w:pStyle w:val="Heading2"/>
      </w:pPr>
      <w:r>
        <w:rPr>
          <w:rFonts w:hint="eastAsia"/>
        </w:rPr>
        <w:t xml:space="preserve">（一）软技能培养的课程化路径</w:t>
      </w:r>
    </w:p>
    <w:p>
      <w:pPr>
        <w:pStyle w:val="FirstParagraph"/>
      </w:pPr>
      <w:r>
        <w:rPr>
          <w:rFonts w:hint="eastAsia"/>
        </w:rPr>
        <w:t xml:space="preserve">本研究揭示的软技能结构（沟通协调高度主导，责任心、抗压、学习能力并列）对高职院校的课程设计具有直接含义：这些软技能无法通过单一课程传授，必须通过情境化学习（项目制、实习、跨团队协作）加以培养。高职院校的软技能培养应当系统嵌入专业课程，而非单独开设”职业素养”选修课。</w:t>
      </w:r>
    </w:p>
    <w:p>
      <w:pPr>
        <w:pStyle w:val="BodyText"/>
      </w:pPr>
      <w:r>
        <w:rPr>
          <w:rFonts w:hint="eastAsia"/>
        </w:rPr>
        <w:t xml:space="preserve">特别值得关注的是信息技术类岗位中”学习能力”的高频需求（每千条167次，显著高于其他类别）。这对深信大的启示是：ICT专业的培养方案应将”自主学习能力”作为显性培养目标，通过快速迭代的技术环境模拟（如要求学生在限定时间内自学一门新框架并完成任务），而非只关注特定知识点的传授。</w:t>
      </w:r>
    </w:p>
    <w:bookmarkEnd w:id="33"/>
    <w:bookmarkStart w:id="34" w:name="二大专执行者定位的突破路径"/>
    <w:p>
      <w:pPr>
        <w:pStyle w:val="Heading2"/>
      </w:pPr>
      <w:r>
        <w:rPr>
          <w:rFonts w:hint="eastAsia"/>
        </w:rPr>
        <w:t xml:space="preserve">（二）大专”执行者定位”的突破路径</w:t>
      </w:r>
    </w:p>
    <w:p>
      <w:pPr>
        <w:pStyle w:val="FirstParagraph"/>
      </w:pPr>
      <w:r>
        <w:rPr>
          <w:rFonts w:hint="eastAsia"/>
        </w:rPr>
        <w:t xml:space="preserve">本研究中”设计者vs执行者”的文本分层揭示了大专生面临的结构性挑战，但也指示了突破路径：在特定工具或工艺上建立超越本科的专业深度，使执行能力进化为”专家级执行”而非”通用执行”。</w:t>
      </w:r>
    </w:p>
    <w:p>
      <w:pPr>
        <w:pStyle w:val="BodyText"/>
      </w:pPr>
      <w:r>
        <w:rPr>
          <w:rFonts w:hint="eastAsia"/>
        </w:rPr>
        <w:t xml:space="preserve">以IT基础设施方向为例：大专生在网络安全运维、云计算平台操作上若能达到认证级（如华为HCIA、阿里云ACP），其”执行”层级实际上超越了未获认证的本科生——企业的实际用人决策更看重操作能力的可验证性，而非学历。高职院校可以通过产教融合认证体系将这一优势系统化。</w:t>
      </w:r>
    </w:p>
    <w:bookmarkEnd w:id="34"/>
    <w:bookmarkStart w:id="35" w:name="三工具图谱对课程选材的启示"/>
    <w:p>
      <w:pPr>
        <w:pStyle w:val="Heading2"/>
      </w:pPr>
      <w:r>
        <w:rPr>
          <w:rFonts w:hint="eastAsia"/>
        </w:rPr>
        <w:t xml:space="preserve">（三）工具图谱对课程选材的启示</w:t>
      </w:r>
    </w:p>
    <w:p>
      <w:pPr>
        <w:pStyle w:val="FirstParagraph"/>
      </w:pPr>
      <w:r>
        <w:rPr>
          <w:rFonts w:hint="eastAsia"/>
        </w:rPr>
        <w:t xml:space="preserve">技术工具排名中C/C++（1,007次，合并计算）远超Python（201次）的发现，应对深信大软件开发专业课程的工具选择产生影响。在专精特新这类制造业企业就业为目标的专业培养方案中，嵌入式C语言、单片机编程、Linux系统操作应当占据比Python数据分析更核心的位置，后者更适合目标就业于互联网或数据科学领域的专业。</w:t>
      </w:r>
    </w:p>
    <w:p>
      <w:r>
        <w:pict>
          <v:rect style="width:0;height:1.5pt" o:hralign="center" o:hrstd="t" o:hr="t"/>
        </w:pict>
      </w:r>
    </w:p>
    <w:bookmarkEnd w:id="35"/>
    <w:bookmarkEnd w:id="36"/>
    <w:bookmarkStart w:id="39" w:name="五结论与建议"/>
    <w:p>
      <w:pPr>
        <w:pStyle w:val="Heading1"/>
      </w:pPr>
      <w:r>
        <w:rPr>
          <w:rFonts w:hint="eastAsia"/>
        </w:rPr>
        <w:t xml:space="preserve">五、结论与建议</w:t>
      </w:r>
    </w:p>
    <w:bookmarkStart w:id="37" w:name="一主要结论"/>
    <w:p>
      <w:pPr>
        <w:pStyle w:val="Heading2"/>
      </w:pPr>
      <w:r>
        <w:rPr>
          <w:rFonts w:hint="eastAsia"/>
        </w:rPr>
        <w:t xml:space="preserve">（一）主要结论</w:t>
      </w:r>
    </w:p>
    <w:p>
      <w:pPr>
        <w:pStyle w:val="FirstParagraph"/>
      </w:pPr>
      <w:r>
        <w:rPr>
          <w:rFonts w:hint="eastAsia"/>
        </w:rPr>
        <w:t xml:space="preserve">本研究基于LLM职位描述文本分析，得出四项主要结论：</w:t>
      </w:r>
    </w:p>
    <w:p>
      <w:pPr>
        <w:pStyle w:val="BodyText"/>
      </w:pPr>
      <w:r>
        <w:rPr>
          <w:rFonts w:hint="eastAsia"/>
          <w:b/>
          <w:bCs/>
        </w:rPr>
        <w:t xml:space="preserve">结论一：</w:t>
      </w:r>
      <w:r>
        <w:t xml:space="preserve"> </w:t>
      </w:r>
      <w:r>
        <w:rPr>
          <w:rFonts w:hint="eastAsia"/>
        </w:rPr>
        <w:t xml:space="preserve">沟通协调是专精特新企业招聘中压倒性的软技能需求（每千条433次），且历年保持稳定，是可持续聚焦的课程培养目标。</w:t>
      </w:r>
    </w:p>
    <w:p>
      <w:pPr>
        <w:pStyle w:val="BodyText"/>
      </w:pPr>
      <w:r>
        <w:rPr>
          <w:rFonts w:hint="eastAsia"/>
          <w:b/>
          <w:bCs/>
        </w:rPr>
        <w:t xml:space="preserve">结论二：</w:t>
      </w:r>
      <w:r>
        <w:t xml:space="preserve"> </w:t>
      </w:r>
      <w:r>
        <w:rPr>
          <w:rFonts w:hint="eastAsia"/>
        </w:rPr>
        <w:t xml:space="preserve">专精特新企业整体数字化程度偏低（均值36.0/100），AI相关性更低（8.6/100），AI需求集中于少数IT类岗位，多数岗位的数字化仍停留在工具应用层。</w:t>
      </w:r>
    </w:p>
    <w:p>
      <w:pPr>
        <w:pStyle w:val="BodyText"/>
      </w:pPr>
      <w:r>
        <w:rPr>
          <w:rFonts w:hint="eastAsia"/>
          <w:b/>
          <w:bCs/>
        </w:rPr>
        <w:t xml:space="preserve">结论三：</w:t>
      </w:r>
      <w:r>
        <w:t xml:space="preserve"> </w:t>
      </w:r>
      <w:r>
        <w:rPr>
          <w:rFonts w:hint="eastAsia"/>
        </w:rPr>
        <w:t xml:space="preserve">本科与大专岗位的职位描述在全部10个类别中均呈现系统性文本分层，</w:t>
      </w:r>
      <w:r>
        <w:rPr>
          <w:rFonts w:hint="eastAsia"/>
        </w:rPr>
        <w:t xml:space="preserve">“本科=设计者与管理者，大专=执行者与操作者”</w:t>
      </w:r>
      <w:r>
        <w:rPr>
          <w:rFonts w:hint="eastAsia"/>
        </w:rPr>
        <w:t xml:space="preserve">是贯穿全行业的普遍模式。</w:t>
      </w:r>
    </w:p>
    <w:p>
      <w:pPr>
        <w:pStyle w:val="BodyText"/>
      </w:pPr>
      <w:r>
        <w:rPr>
          <w:rFonts w:hint="eastAsia"/>
          <w:b/>
          <w:bCs/>
        </w:rPr>
        <w:t xml:space="preserve">结论四：</w:t>
      </w:r>
      <w:r>
        <w:t xml:space="preserve"> </w:t>
      </w:r>
      <w:r>
        <w:rPr>
          <w:rFonts w:hint="eastAsia"/>
        </w:rPr>
        <w:t xml:space="preserve">具体工具图谱显示，工程设计工具（CAD系列）、企业管理工具（ERP）、C/C++嵌入式编程并列主流，AI/ML框架尚未进入主流招聘需求。</w:t>
      </w:r>
    </w:p>
    <w:bookmarkEnd w:id="37"/>
    <w:bookmarkStart w:id="38" w:name="二对深信大专业改革的补充建议"/>
    <w:p>
      <w:pPr>
        <w:pStyle w:val="Heading2"/>
      </w:pPr>
      <w:r>
        <w:rPr>
          <w:rFonts w:hint="eastAsia"/>
        </w:rPr>
        <w:t xml:space="preserve">（二）对深信大专业改革的补充建议</w:t>
      </w:r>
    </w:p>
    <w:p>
      <w:pPr>
        <w:pStyle w:val="FirstParagraph"/>
      </w:pPr>
      <w:r>
        <w:rPr>
          <w:rFonts w:hint="eastAsia"/>
        </w:rPr>
        <w:t xml:space="preserve">在V1研究六条建议基础上，本研究提出四条补充建议：</w:t>
      </w:r>
    </w:p>
    <w:p>
      <w:pPr>
        <w:pStyle w:val="BodyText"/>
      </w:pPr>
      <w:r>
        <w:rPr>
          <w:rFonts w:hint="eastAsia"/>
          <w:b/>
          <w:bCs/>
        </w:rPr>
        <w:t xml:space="preserve">补充建议一：将软技能培养系统嵌入专业课程，重点培养沟通协调与学习能力。</w:t>
      </w:r>
      <w:r>
        <w:t xml:space="preserve"> </w:t>
      </w:r>
      <w:r>
        <w:rPr>
          <w:rFonts w:hint="eastAsia"/>
        </w:rPr>
        <w:t xml:space="preserve">以项目制教学、跨专业协作为主要载体，在每门专业核心课中设置明确的软技能培养目标（尤其是沟通汇报与团队协作），纳入课程评价体系。</w:t>
      </w:r>
    </w:p>
    <w:p>
      <w:pPr>
        <w:pStyle w:val="BodyText"/>
      </w:pPr>
      <w:r>
        <w:rPr>
          <w:rFonts w:hint="eastAsia"/>
          <w:b/>
          <w:bCs/>
        </w:rPr>
        <w:t xml:space="preserve">补充建议二：在软件开发专业中调整工具重心，强化C/C++嵌入式与Linux系统方向。</w:t>
      </w:r>
      <w:r>
        <w:t xml:space="preserve"> </w:t>
      </w:r>
      <w:r>
        <w:rPr>
          <w:rFonts w:hint="eastAsia"/>
        </w:rPr>
        <w:t xml:space="preserve">工具频次数据显示，面向制造业就业的深信大学生在C/C+++Linux+ARM技术栈上的投入，比Python数据科学具有更高的实际对口率；应在课程选修模块设计中体现这一差异。</w:t>
      </w:r>
    </w:p>
    <w:p>
      <w:pPr>
        <w:pStyle w:val="BodyText"/>
      </w:pPr>
      <w:r>
        <w:rPr>
          <w:rFonts w:hint="eastAsia"/>
          <w:b/>
          <w:bCs/>
        </w:rPr>
        <w:t xml:space="preserve">补充建议三：推动ERP操作能力培养，将企业级软件技能纳入大专差异化竞争策略。</w:t>
      </w:r>
      <w:r>
        <w:t xml:space="preserve"> </w:t>
      </w:r>
      <w:r>
        <w:rPr>
          <w:rFonts w:hint="eastAsia"/>
        </w:rPr>
        <w:t xml:space="preserve">ERP（732次）位居工具频次第二，高于CAD以外的所有工具，是大专生快速提升可雇性的实用路径；建议深信大与金蝶、用友等国内ERP厂商建立认证培训合作。</w:t>
      </w:r>
    </w:p>
    <w:p>
      <w:pPr>
        <w:pStyle w:val="BodyText"/>
      </w:pPr>
      <w:r>
        <w:rPr>
          <w:rFonts w:hint="eastAsia"/>
          <w:b/>
          <w:bCs/>
        </w:rPr>
        <w:t xml:space="preserve">补充建议四：以”专家级执行”定位突破大专天花板，通过产业认证体系将执行深度可视化。</w:t>
      </w:r>
      <w:r>
        <w:t xml:space="preserve"> </w:t>
      </w:r>
      <w:r>
        <w:rPr>
          <w:rFonts w:hint="eastAsia"/>
        </w:rPr>
        <w:t xml:space="preserve">鼓励学生在特定方向（云运维、网络安全、嵌入式）获取行业认证，使”执行能力”具备可核查的专业背书，从而在招聘市场中部分绕开学历筛选逻辑。</w:t>
      </w:r>
    </w:p>
    <w:p>
      <w:r>
        <w:pict>
          <v:rect style="width:0;height:1.5pt" o:hralign="center" o:hrstd="t" o:hr="t"/>
        </w:pict>
      </w:r>
    </w:p>
    <w:bookmarkEnd w:id="38"/>
    <w:bookmarkEnd w:id="39"/>
    <w:bookmarkStart w:id="40" w:name="参考文献"/>
    <w:p>
      <w:pPr>
        <w:pStyle w:val="Heading1"/>
      </w:pPr>
      <w:r>
        <w:rPr>
          <w:rFonts w:hint="eastAsia"/>
        </w:rPr>
        <w:t xml:space="preserve">参考文献</w:t>
      </w:r>
    </w:p>
    <w:p>
      <w:pPr>
        <w:numPr>
          <w:ilvl w:val="0"/>
          <w:numId w:val="1002"/>
        </w:numPr>
      </w:pPr>
      <w:r>
        <w:t xml:space="preserve">Asirvatham, H., Mokski, E., &amp; Shleifer, A. (2026).</w:t>
      </w:r>
      <w:r>
        <w:t xml:space="preserve"> </w:t>
      </w:r>
      <w:r>
        <w:rPr>
          <w:i/>
          <w:iCs/>
        </w:rPr>
        <w:t xml:space="preserve">GPT as a Measurement Tool</w:t>
      </w:r>
      <w:r>
        <w:t xml:space="preserve">. NBER Working Paper No. 34834.</w:t>
      </w:r>
    </w:p>
    <w:p>
      <w:pPr>
        <w:numPr>
          <w:ilvl w:val="0"/>
          <w:numId w:val="1002"/>
        </w:numPr>
      </w:pPr>
      <w:r>
        <w:rPr>
          <w:rFonts w:hint="eastAsia"/>
        </w:rPr>
        <w:t xml:space="preserve">工业和信息化部.</w:t>
      </w:r>
      <w:r>
        <w:t xml:space="preserve"> (2022).</w:t>
      </w:r>
      <w:r>
        <w:t xml:space="preserve"> </w:t>
      </w:r>
      <w:r>
        <w:rPr>
          <w:rFonts w:hint="eastAsia"/>
          <w:i/>
          <w:iCs/>
        </w:rPr>
        <w:t xml:space="preserve">关于开展2022年度专精特新”小巨人”企业申报工作的通知</w:t>
      </w:r>
      <w:r>
        <w:t xml:space="preserve">. </w:t>
      </w:r>
      <w:r>
        <w:rPr>
          <w:rFonts w:hint="eastAsia"/>
        </w:rPr>
        <w:t xml:space="preserve">工信厅企业函〔2022〕65号.</w:t>
      </w:r>
    </w:p>
    <w:p>
      <w:pPr>
        <w:numPr>
          <w:ilvl w:val="0"/>
          <w:numId w:val="1002"/>
        </w:numPr>
      </w:pPr>
      <w:r>
        <w:rPr>
          <w:rFonts w:hint="eastAsia"/>
        </w:rPr>
        <w:t xml:space="preserve">国务院.</w:t>
      </w:r>
      <w:r>
        <w:t xml:space="preserve"> (2021).</w:t>
      </w:r>
      <w:r>
        <w:t xml:space="preserve"> </w:t>
      </w:r>
      <w:r>
        <w:rPr>
          <w:rFonts w:hint="eastAsia"/>
          <w:i/>
          <w:iCs/>
        </w:rPr>
        <w:t xml:space="preserve">关于推动现代职业教育高质量发展的意见</w:t>
      </w:r>
      <w:r>
        <w:t xml:space="preserve">. </w:t>
      </w:r>
      <w:r>
        <w:rPr>
          <w:rFonts w:hint="eastAsia"/>
        </w:rPr>
        <w:t xml:space="preserve">国发〔2021〕12号.</w:t>
      </w:r>
    </w:p>
    <w:p>
      <w:pPr>
        <w:numPr>
          <w:ilvl w:val="0"/>
          <w:numId w:val="1002"/>
        </w:numPr>
      </w:pPr>
      <w:r>
        <w:rPr>
          <w:rFonts w:hint="eastAsia"/>
        </w:rPr>
        <w:t xml:space="preserve">国务院.</w:t>
      </w:r>
      <w:r>
        <w:t xml:space="preserve"> (2019).</w:t>
      </w:r>
      <w:r>
        <w:t xml:space="preserve"> </w:t>
      </w:r>
      <w:r>
        <w:rPr>
          <w:rFonts w:hint="eastAsia"/>
          <w:i/>
          <w:iCs/>
        </w:rPr>
        <w:t xml:space="preserve">国家职业教育改革实施方案</w:t>
      </w:r>
      <w:r>
        <w:t xml:space="preserve">. </w:t>
      </w:r>
      <w:r>
        <w:rPr>
          <w:rFonts w:hint="eastAsia"/>
        </w:rPr>
        <w:t xml:space="preserve">国发〔2019〕4号.</w:t>
      </w:r>
    </w:p>
    <w:p>
      <w:pPr>
        <w:numPr>
          <w:ilvl w:val="0"/>
          <w:numId w:val="1002"/>
        </w:numPr>
      </w:pPr>
      <w:r>
        <w:rPr>
          <w:rFonts w:hint="eastAsia"/>
        </w:rPr>
        <w:t xml:space="preserve">李艳荣,</w:t>
      </w:r>
      <w:r>
        <w:t xml:space="preserve"> </w:t>
      </w:r>
      <w:r>
        <w:rPr>
          <w:rFonts w:hint="eastAsia"/>
        </w:rPr>
        <w:t xml:space="preserve">陈昌宏,</w:t>
      </w:r>
      <w:r>
        <w:t xml:space="preserve"> </w:t>
      </w:r>
      <w:r>
        <w:rPr>
          <w:rFonts w:hint="eastAsia"/>
        </w:rPr>
        <w:t xml:space="preserve">钱秀梅.</w:t>
      </w:r>
      <w:r>
        <w:t xml:space="preserve"> (2021). </w:t>
      </w:r>
      <w:r>
        <w:rPr>
          <w:rFonts w:hint="eastAsia"/>
        </w:rPr>
        <w:t xml:space="preserve">数字经济下制造业技能需求变化研究——基于招聘大数据的实证分析.</w:t>
      </w:r>
      <w:r>
        <w:t xml:space="preserve"> </w:t>
      </w:r>
      <w:r>
        <w:rPr>
          <w:rFonts w:hint="eastAsia"/>
          <w:i/>
          <w:iCs/>
        </w:rPr>
        <w:t xml:space="preserve">职业技术教育</w:t>
      </w:r>
      <w:r>
        <w:t xml:space="preserve">, 42(25), 12–18.</w:t>
      </w:r>
    </w:p>
    <w:p>
      <w:pPr>
        <w:numPr>
          <w:ilvl w:val="0"/>
          <w:numId w:val="1002"/>
        </w:numPr>
      </w:pPr>
      <w:r>
        <w:rPr>
          <w:rFonts w:hint="eastAsia"/>
        </w:rPr>
        <w:t xml:space="preserve">刘志文.</w:t>
      </w:r>
      <w:r>
        <w:t xml:space="preserve"> (2020). </w:t>
      </w:r>
      <w:r>
        <w:rPr>
          <w:rFonts w:hint="eastAsia"/>
        </w:rPr>
        <w:t xml:space="preserve">产教融合的内涵逻辑与路径选择.</w:t>
      </w:r>
      <w:r>
        <w:t xml:space="preserve"> </w:t>
      </w:r>
      <w:r>
        <w:rPr>
          <w:rFonts w:hint="eastAsia"/>
          <w:i/>
          <w:iCs/>
        </w:rPr>
        <w:t xml:space="preserve">高等工程教育研究</w:t>
      </w:r>
      <w:r>
        <w:t xml:space="preserve">, (3), 45–51.</w:t>
      </w:r>
    </w:p>
    <w:p>
      <w:pPr>
        <w:numPr>
          <w:ilvl w:val="0"/>
          <w:numId w:val="1002"/>
        </w:numPr>
      </w:pPr>
      <w:r>
        <w:rPr>
          <w:rFonts w:hint="eastAsia"/>
        </w:rPr>
        <w:t xml:space="preserve">谢晨.</w:t>
      </w:r>
      <w:r>
        <w:t xml:space="preserve"> (2019). </w:t>
      </w:r>
      <w:r>
        <w:rPr>
          <w:rFonts w:hint="eastAsia"/>
        </w:rPr>
        <w:t xml:space="preserve">高技术制造业岗位需求特征及人才培养对策研究.</w:t>
      </w:r>
      <w:r>
        <w:t xml:space="preserve"> </w:t>
      </w:r>
      <w:r>
        <w:rPr>
          <w:rFonts w:hint="eastAsia"/>
          <w:i/>
          <w:iCs/>
        </w:rPr>
        <w:t xml:space="preserve">中国职业技术教育</w:t>
      </w:r>
      <w:r>
        <w:t xml:space="preserve">, (27), 33–38.</w:t>
      </w:r>
    </w:p>
    <w:p>
      <w:pPr>
        <w:numPr>
          <w:ilvl w:val="0"/>
          <w:numId w:val="1002"/>
        </w:numPr>
      </w:pPr>
      <w:r>
        <w:rPr>
          <w:rFonts w:hint="eastAsia"/>
        </w:rPr>
        <w:t xml:space="preserve">王建梁,</w:t>
      </w:r>
      <w:r>
        <w:t xml:space="preserve"> </w:t>
      </w:r>
      <w:r>
        <w:rPr>
          <w:rFonts w:hint="eastAsia"/>
        </w:rPr>
        <w:t xml:space="preserve">张璐.</w:t>
      </w:r>
      <w:r>
        <w:t xml:space="preserve"> (2022). </w:t>
      </w:r>
      <w:r>
        <w:rPr>
          <w:rFonts w:hint="eastAsia"/>
        </w:rPr>
        <w:t xml:space="preserve">职业教育专业结构与产业结构匹配度研究——基于招聘数据的实证.</w:t>
      </w:r>
      <w:r>
        <w:t xml:space="preserve"> </w:t>
      </w:r>
      <w:r>
        <w:rPr>
          <w:rFonts w:hint="eastAsia"/>
          <w:i/>
          <w:iCs/>
        </w:rPr>
        <w:t xml:space="preserve">高等教育研究</w:t>
      </w:r>
      <w:r>
        <w:t xml:space="preserve">, 43(8), 78–87.</w:t>
      </w:r>
    </w:p>
    <w:p>
      <w:pPr>
        <w:numPr>
          <w:ilvl w:val="0"/>
          <w:numId w:val="1002"/>
        </w:numPr>
      </w:pPr>
      <w:r>
        <w:t xml:space="preserve">Hershbein, B., &amp; Kahn, L. B. (2018). Do recessions accelerate routine-biased technological change? Evidence from vacancy postings.</w:t>
      </w:r>
      <w:r>
        <w:t xml:space="preserve"> </w:t>
      </w:r>
      <w:r>
        <w:rPr>
          <w:i/>
          <w:iCs/>
        </w:rPr>
        <w:t xml:space="preserve">American Economic Review</w:t>
      </w:r>
      <w:r>
        <w:t xml:space="preserve">, 108(7), 1737–1772.</w:t>
      </w:r>
    </w:p>
    <w:p>
      <w:pPr>
        <w:numPr>
          <w:ilvl w:val="0"/>
          <w:numId w:val="1002"/>
        </w:numPr>
      </w:pPr>
      <w:r>
        <w:rPr>
          <w:rFonts w:hint="eastAsia"/>
        </w:rPr>
        <w:t xml:space="preserve">广东省教育厅.</w:t>
      </w:r>
      <w:r>
        <w:t xml:space="preserve"> (2023).</w:t>
      </w:r>
      <w:r>
        <w:t xml:space="preserve"> </w:t>
      </w:r>
      <w:r>
        <w:rPr>
          <w:rFonts w:hint="eastAsia"/>
          <w:i/>
          <w:iCs/>
        </w:rPr>
        <w:t xml:space="preserve">广东省职业教育高质量发展三年行动计划（2023—2025年）</w:t>
      </w:r>
      <w:r>
        <w:t xml:space="preserve">.</w:t>
      </w:r>
    </w:p>
    <w:p>
      <w:pPr>
        <w:numPr>
          <w:ilvl w:val="0"/>
          <w:numId w:val="1002"/>
        </w:numPr>
      </w:pPr>
      <w:r>
        <w:rPr>
          <w:rFonts w:hint="eastAsia"/>
        </w:rPr>
        <w:t xml:space="preserve">深圳市人民政府.</w:t>
      </w:r>
      <w:r>
        <w:t xml:space="preserve"> (2022).</w:t>
      </w:r>
      <w:r>
        <w:t xml:space="preserve"> </w:t>
      </w:r>
      <w:r>
        <w:rPr>
          <w:rFonts w:hint="eastAsia"/>
          <w:i/>
          <w:iCs/>
        </w:rPr>
        <w:t xml:space="preserve">深圳市专精特新中小企业培育行动计划（2022—2025年）</w:t>
      </w:r>
      <w:r>
        <w:t xml:space="preserve">.</w:t>
      </w:r>
    </w:p>
    <w:p>
      <w:pPr>
        <w:numPr>
          <w:ilvl w:val="0"/>
          <w:numId w:val="1002"/>
        </w:numPr>
      </w:pPr>
      <w:r>
        <w:rPr>
          <w:rFonts w:hint="eastAsia"/>
        </w:rPr>
        <w:t xml:space="preserve">庄西真.</w:t>
      </w:r>
      <w:r>
        <w:t xml:space="preserve"> (2021). </w:t>
      </w:r>
      <w:r>
        <w:rPr>
          <w:rFonts w:hint="eastAsia"/>
        </w:rPr>
        <w:t xml:space="preserve">高职院校专业设置的逻辑与路径.</w:t>
      </w:r>
      <w:r>
        <w:t xml:space="preserve"> </w:t>
      </w:r>
      <w:r>
        <w:rPr>
          <w:rFonts w:hint="eastAsia"/>
          <w:i/>
          <w:iCs/>
        </w:rPr>
        <w:t xml:space="preserve">中国高教研究</w:t>
      </w:r>
      <w:r>
        <w:t xml:space="preserve">, (11), 90–95.</w:t>
      </w:r>
    </w:p>
    <w:p>
      <w:pPr>
        <w:numPr>
          <w:ilvl w:val="0"/>
          <w:numId w:val="1002"/>
        </w:numPr>
      </w:pPr>
      <w:r>
        <w:rPr>
          <w:rFonts w:hint="eastAsia"/>
        </w:rPr>
        <w:t xml:space="preserve">翟帆.</w:t>
      </w:r>
      <w:r>
        <w:t xml:space="preserve"> (2022). </w:t>
      </w:r>
      <w:r>
        <w:rPr>
          <w:rFonts w:hint="eastAsia"/>
        </w:rPr>
        <w:t xml:space="preserve">大数据时代职业教育课程改革的方向与策略.</w:t>
      </w:r>
      <w:r>
        <w:t xml:space="preserve"> </w:t>
      </w:r>
      <w:r>
        <w:rPr>
          <w:rFonts w:hint="eastAsia"/>
          <w:i/>
          <w:iCs/>
        </w:rPr>
        <w:t xml:space="preserve">职教论坛</w:t>
      </w:r>
      <w:r>
        <w:t xml:space="preserve">, (4), 5–11.</w:t>
      </w:r>
    </w:p>
    <w:p>
      <w:pPr>
        <w:numPr>
          <w:ilvl w:val="0"/>
          <w:numId w:val="1002"/>
        </w:numPr>
      </w:pPr>
      <w:r>
        <w:rPr>
          <w:rFonts w:hint="eastAsia"/>
        </w:rPr>
        <w:t xml:space="preserve">教育部.</w:t>
      </w:r>
      <w:r>
        <w:t xml:space="preserve"> (2021).</w:t>
      </w:r>
      <w:r>
        <w:t xml:space="preserve"> </w:t>
      </w:r>
      <w:r>
        <w:rPr>
          <w:rFonts w:hint="eastAsia"/>
          <w:i/>
          <w:iCs/>
        </w:rPr>
        <w:t xml:space="preserve">“双高计划”</w:t>
      </w:r>
      <w:r>
        <w:rPr>
          <w:rFonts w:hint="eastAsia"/>
          <w:i/>
          <w:iCs/>
        </w:rPr>
        <w:t xml:space="preserve">建设单位验收评价和绩效管理工作方案</w:t>
      </w:r>
      <w:r>
        <w:t xml:space="preserve">.</w:t>
      </w:r>
    </w:p>
    <w:p>
      <w:pPr>
        <w:numPr>
          <w:ilvl w:val="0"/>
          <w:numId w:val="1002"/>
        </w:numPr>
      </w:pPr>
      <w:r>
        <w:rPr>
          <w:rFonts w:hint="eastAsia"/>
        </w:rPr>
        <w:t xml:space="preserve">深圳信息职业技术大学.</w:t>
      </w:r>
      <w:r>
        <w:t xml:space="preserve"> (2024).</w:t>
      </w:r>
      <w:r>
        <w:t xml:space="preserve"> </w:t>
      </w:r>
      <w:r>
        <w:rPr>
          <w:rFonts w:hint="eastAsia"/>
          <w:i/>
          <w:iCs/>
        </w:rPr>
        <w:t xml:space="preserve">深圳信息职业技术大学2024年人才培养质量年度报告</w:t>
      </w:r>
      <w:r>
        <w:t xml:space="preserv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专精特新”小巨人”企业人才需求深层结构——基于职位描述文本的LLM量化分析</dc:title>
  <dc:creator>深圳信息职业技术大学</dc:creator>
  <cp:keywords/>
  <dcterms:created xsi:type="dcterms:W3CDTF">2026-03-22T23:28:08Z</dcterms:created>
  <dcterms:modified xsi:type="dcterms:W3CDTF">2026-03-22T23:28:08Z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2026年3月</vt:lpwstr>
  </property>
</Properties>
</file>