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专精特新”小巨人”企业人才需求图谱——基于深圳市2016—2024年招聘大数据的结构分析与文本挖掘</w:t>
      </w:r>
    </w:p>
    <w:p>
      <w:pPr>
        <w:pStyle w:val="Author"/>
      </w:pPr>
      <w:r>
        <w:rPr>
          <w:rFonts w:hint="eastAsia"/>
        </w:rPr>
        <w:t xml:space="preserve">深圳信息职业技术大学</w:t>
      </w:r>
    </w:p>
    <w:p>
      <w:pPr>
        <w:pStyle w:val="Date"/>
      </w:pPr>
      <w:r>
        <w:rPr>
          <w:rFonts w:hint="eastAsia"/>
        </w:rPr>
        <w:t xml:space="preserve">2026年3月</w:t>
      </w:r>
    </w:p>
    <w:bookmarkStart w:id="9" w:name="摘要"/>
    <w:p>
      <w:pPr>
        <w:pStyle w:val="Heading1"/>
      </w:pPr>
      <w:r>
        <w:rPr>
          <w:rFonts w:hint="eastAsia"/>
        </w:rPr>
        <w:t xml:space="preserve">摘要</w:t>
      </w:r>
    </w:p>
    <w:p>
      <w:pPr>
        <w:pStyle w:val="FirstParagraph"/>
      </w:pPr>
      <w:r>
        <w:rPr>
          <w:rFonts w:hint="eastAsia"/>
        </w:rPr>
        <w:t xml:space="preserve">本研究以深圳市757家国家级专精特新”小巨人”企业2016—2024年22,022条招聘记录为样本，采用”结构化分析＋LLM文本挖掘”双阶段方法，系统构建该群体的人才需求全景图谱。结构化分析基于关键词优先级匹配法建立九类岗位功能分类体系，揭示招聘规模变迁、岗位结构与学历演变；LLM文本分析参照GABRIEL框架，对22,022条职位描述进行软技能提取、数字化程度评分、本科/大专文本差异发现和技术工具识别。主要发现：（1）深圳专精特新企业以研发技术（27.1%）和销售市场（17.9%）为主导，2016—2024年招聘规模增长约358%，制造业属性高度集中（64%）；（2）大专学历要求占比从42.3%降至34.6%，本科首次超越大专成为最主要学历层次；（3）软技能需求以沟通协调（每千条433次）高度主导，历年保持稳定，是可持续聚焦的培养目标；（4）职位描述数字化评分均值36.0分（满分100），AI相关性仅8.6分，表明多数岗位数字化停留于工具应用层，AI需求尚未真正主流化；（5）职位描述文本在全部10个岗位类别中均呈现”本科＝设计者与管理者、大专＝执行者与操作者”的系统性分层；（6）具体工具图谱中C/C++嵌入式编程（合计1,007次）与ERP（732次）主导，AI/ML框架尚未进入前列。研究从政府政策、职业院校与产教融合三个维度，提出以数据为基础的十条政策建议。</w:t>
      </w:r>
    </w:p>
    <w:p>
      <w:pPr>
        <w:pStyle w:val="BodyText"/>
      </w:pPr>
      <w:r>
        <w:rPr>
          <w:rFonts w:hint="eastAsia"/>
          <w:b/>
          <w:bCs/>
        </w:rPr>
        <w:t xml:space="preserve">关键词：</w:t>
      </w:r>
      <w:r>
        <w:t xml:space="preserve"> </w:t>
      </w:r>
      <w:r>
        <w:rPr>
          <w:rFonts w:hint="eastAsia"/>
        </w:rPr>
        <w:t xml:space="preserve">专精特新”小巨人”；招聘大数据；LLM文本分析；产教融合；职业教育改革</w:t>
      </w:r>
    </w:p>
    <w:p>
      <w:r>
        <w:pict>
          <v:rect style="width:0;height:1.5pt" o:hralign="center" o:hrstd="t" o:hr="t"/>
        </w:pict>
      </w:r>
    </w:p>
    <w:bookmarkEnd w:id="9"/>
    <w:bookmarkStart w:id="13" w:name="一引言"/>
    <w:p>
      <w:pPr>
        <w:pStyle w:val="Heading1"/>
      </w:pPr>
      <w:r>
        <w:rPr>
          <w:rFonts w:hint="eastAsia"/>
        </w:rPr>
        <w:t xml:space="preserve">一、引言</w:t>
      </w:r>
    </w:p>
    <w:bookmarkStart w:id="10" w:name="一研究背景"/>
    <w:p>
      <w:pPr>
        <w:pStyle w:val="Heading2"/>
      </w:pPr>
      <w:r>
        <w:rPr>
          <w:rFonts w:hint="eastAsia"/>
        </w:rPr>
        <w:t xml:space="preserve">（一）研究背景</w:t>
      </w:r>
    </w:p>
    <w:p>
      <w:pPr>
        <w:pStyle w:val="FirstParagraph"/>
      </w:pPr>
      <w:r>
        <w:rPr>
          <w:rFonts w:hint="eastAsia"/>
        </w:rPr>
        <w:t xml:space="preserve">专精特新”小巨人”企业是我国制造业创新发展的核心力量。自工业和信息化部2018年启动专精特新”小巨人”企业培育工作以来，截至2024年，全国已累计培育超过14,000家国家级专精特新”小巨人”企业，深圳作为国家制造业创新中心，入选总量位居全国前列。这批企业具有专注细分市场、创新能力强、市场占有率高等显著特征，是连接科技创新与实体经济的关键节点，也是高等职业院校人才培养的重要对接对象。</w:t>
      </w:r>
    </w:p>
    <w:p>
      <w:pPr>
        <w:pStyle w:val="BodyText"/>
      </w:pPr>
      <w:r>
        <w:rPr>
          <w:rFonts w:hint="eastAsia"/>
        </w:rPr>
        <w:t xml:space="preserve">与此同时，高等职业院校正面临前所未有的转型压力。《国家职业教育改革实施方案》（2019年）和《关于推动现代职业教育高质量发展的意见》（2021年）均明确要求职业院校紧密对接产业需求，调整和优化专业设置。然而，专业调整滞后于产业变化、课程内容与岗位需求脱节等问题依然普遍。专精特新”小巨人”企业的人才需求，是技能密集型制造业与新一代信息技术深度融合的集中体现，是职业教育专业改革不可忽视的重要参照系，目前缺乏系统性的大数据量化研究。</w:t>
      </w:r>
    </w:p>
    <w:bookmarkEnd w:id="10"/>
    <w:bookmarkStart w:id="11" w:name="二研究问题"/>
    <w:p>
      <w:pPr>
        <w:pStyle w:val="Heading2"/>
      </w:pPr>
      <w:r>
        <w:rPr>
          <w:rFonts w:hint="eastAsia"/>
        </w:rPr>
        <w:t xml:space="preserve">（二）研究问题</w:t>
      </w:r>
    </w:p>
    <w:p>
      <w:pPr>
        <w:pStyle w:val="FirstParagraph"/>
      </w:pPr>
      <w:r>
        <w:rPr>
          <w:rFonts w:hint="eastAsia"/>
        </w:rPr>
        <w:t xml:space="preserve">本研究提出以下六个核心研究问题：</w:t>
      </w:r>
    </w:p>
    <w:p>
      <w:pPr>
        <w:pStyle w:val="Compact"/>
        <w:numPr>
          <w:ilvl w:val="0"/>
          <w:numId w:val="1001"/>
        </w:numPr>
      </w:pPr>
      <w:r>
        <w:rPr>
          <w:b/>
          <w:bCs/>
        </w:rPr>
        <w:t xml:space="preserve">RQ1</w:t>
      </w:r>
      <w:r>
        <w:rPr>
          <w:rFonts w:hint="eastAsia"/>
        </w:rPr>
        <w:t xml:space="preserve">：深圳专精特新企业的招聘规模与岗位结构呈现怎样的变迁趋势？</w:t>
      </w:r>
    </w:p>
    <w:p>
      <w:pPr>
        <w:pStyle w:val="Compact"/>
        <w:numPr>
          <w:ilvl w:val="0"/>
          <w:numId w:val="1001"/>
        </w:numPr>
      </w:pPr>
      <w:r>
        <w:rPr>
          <w:b/>
          <w:bCs/>
        </w:rPr>
        <w:t xml:space="preserve">RQ2</w:t>
      </w:r>
      <w:r>
        <w:rPr>
          <w:rFonts w:hint="eastAsia"/>
        </w:rPr>
        <w:t xml:space="preserve">：各岗位类别的学历要求如何演变？大专层次的岗位空间在哪里？</w:t>
      </w:r>
    </w:p>
    <w:p>
      <w:pPr>
        <w:pStyle w:val="Compact"/>
        <w:numPr>
          <w:ilvl w:val="0"/>
          <w:numId w:val="1001"/>
        </w:numPr>
      </w:pPr>
      <w:r>
        <w:rPr>
          <w:b/>
          <w:bCs/>
        </w:rPr>
        <w:t xml:space="preserve">RQ3</w:t>
      </w:r>
      <w:r>
        <w:rPr>
          <w:rFonts w:hint="eastAsia"/>
        </w:rPr>
        <w:t xml:space="preserve">：技术技能需求的主要方向是什么？结构化关键词与职位描述工具数据之间是否存在信息落差？</w:t>
      </w:r>
    </w:p>
    <w:p>
      <w:pPr>
        <w:pStyle w:val="Compact"/>
        <w:numPr>
          <w:ilvl w:val="0"/>
          <w:numId w:val="1001"/>
        </w:numPr>
      </w:pPr>
      <w:r>
        <w:rPr>
          <w:b/>
          <w:bCs/>
        </w:rPr>
        <w:t xml:space="preserve">RQ4</w:t>
      </w:r>
      <w:r>
        <w:rPr>
          <w:rFonts w:hint="eastAsia"/>
        </w:rPr>
        <w:t xml:space="preserve">：职位描述文本中体现的软技能需求结构是怎样的？</w:t>
      </w:r>
    </w:p>
    <w:p>
      <w:pPr>
        <w:pStyle w:val="Compact"/>
        <w:numPr>
          <w:ilvl w:val="0"/>
          <w:numId w:val="1001"/>
        </w:numPr>
      </w:pPr>
      <w:r>
        <w:rPr>
          <w:b/>
          <w:bCs/>
        </w:rPr>
        <w:t xml:space="preserve">RQ5</w:t>
      </w:r>
      <w:r>
        <w:rPr>
          <w:rFonts w:hint="eastAsia"/>
        </w:rPr>
        <w:t xml:space="preserve">：各岗位的数字化程度与AI相关性处于什么水平？历年如何演变？</w:t>
      </w:r>
    </w:p>
    <w:p>
      <w:pPr>
        <w:pStyle w:val="Compact"/>
        <w:numPr>
          <w:ilvl w:val="0"/>
          <w:numId w:val="1001"/>
        </w:numPr>
      </w:pPr>
      <w:r>
        <w:rPr>
          <w:b/>
          <w:bCs/>
        </w:rPr>
        <w:t xml:space="preserve">RQ6</w:t>
      </w:r>
      <w:r>
        <w:rPr>
          <w:rFonts w:hint="eastAsia"/>
        </w:rPr>
        <w:t xml:space="preserve">：本科与大专岗位的职位描述在文本层面存在哪些系统性差异？</w:t>
      </w:r>
    </w:p>
    <w:bookmarkEnd w:id="11"/>
    <w:bookmarkStart w:id="12" w:name="三研究贡献"/>
    <w:p>
      <w:pPr>
        <w:pStyle w:val="Heading2"/>
      </w:pPr>
      <w:r>
        <w:rPr>
          <w:rFonts w:hint="eastAsia"/>
        </w:rPr>
        <w:t xml:space="preserve">（三）研究贡献</w:t>
      </w:r>
    </w:p>
    <w:p>
      <w:pPr>
        <w:pStyle w:val="FirstParagraph"/>
      </w:pPr>
      <w:r>
        <w:rPr>
          <w:rFonts w:hint="eastAsia"/>
        </w:rPr>
        <w:t xml:space="preserve">本研究的增量贡献包括：（1）构建了针对专精特新企业人才需求的”结构化分析＋LLM文本挖掘”双阶段研究范式，兼顾宏观规律的统计刻画与微观需求的语义挖掘；（2）首次对深圳专精特新”小巨人”企业群体进行了时间跨度长达8年的纵向岗位分析；（3）揭示了结构化字段无法捕捉的软技能需求、数字化程度量化评分与本科/大专岗位文本分层，为政府政策、职业院校专业改革与产教融合机制设计提供了新的证据维度。</w:t>
      </w:r>
    </w:p>
    <w:p>
      <w:r>
        <w:pict>
          <v:rect style="width:0;height:1.5pt" o:hralign="center" o:hrstd="t" o:hr="t"/>
        </w:pict>
      </w:r>
    </w:p>
    <w:bookmarkEnd w:id="12"/>
    <w:bookmarkEnd w:id="13"/>
    <w:bookmarkStart w:id="17" w:name="二文献综述与理论框架"/>
    <w:p>
      <w:pPr>
        <w:pStyle w:val="Heading1"/>
      </w:pPr>
      <w:r>
        <w:rPr>
          <w:rFonts w:hint="eastAsia"/>
        </w:rPr>
        <w:t xml:space="preserve">二、文献综述与理论框架</w:t>
      </w:r>
    </w:p>
    <w:bookmarkStart w:id="14" w:name="一招聘大数据在教育政策研究中的应用"/>
    <w:p>
      <w:pPr>
        <w:pStyle w:val="Heading2"/>
      </w:pPr>
      <w:r>
        <w:rPr>
          <w:rFonts w:hint="eastAsia"/>
        </w:rPr>
        <w:t xml:space="preserve">（一）招聘大数据在教育政策研究中的应用</w:t>
      </w:r>
    </w:p>
    <w:p>
      <w:pPr>
        <w:pStyle w:val="FirstParagraph"/>
      </w:pPr>
      <w:r>
        <w:rPr>
          <w:rFonts w:hint="eastAsia"/>
        </w:rPr>
        <w:t xml:space="preserve">近年来，以网络招聘数据为基础的劳动力市场研究迅速兴起。招聘数据能够实时反映用人单位的岗位需求、技能要求和薪资水平，相较于传统调查具有样本量大、时效性强、覆盖面广的优势（Hershbein</w:t>
      </w:r>
      <w:r>
        <w:t xml:space="preserve"> &amp; </w:t>
      </w:r>
      <w:r>
        <w:rPr>
          <w:rFonts w:hint="eastAsia"/>
        </w:rPr>
        <w:t xml:space="preserve">Kahn，2018）。在职业教育领域，已有研究将招聘数据用于识别专业对口率（谢晨，2019）、分析数字技能需求（李艳荣等，2021）以及评估产教匹配程度（王建梁、张璐，2022）。</w:t>
      </w:r>
    </w:p>
    <w:p>
      <w:pPr>
        <w:pStyle w:val="BodyText"/>
      </w:pPr>
      <w:r>
        <w:rPr>
          <w:rFonts w:hint="eastAsia"/>
        </w:rPr>
        <w:t xml:space="preserve">然而，现有研究主要依赖招聘信息的结构化字段（岗位名称、学历、薪资），鲜少深入分析职位描述文本中的隐性信息。职位描述包含企业招聘意图的最完整表达，是结构化字段无法替代的信息来源。Asirvatham等（2026）提出的GABRIEL框架，将大语言模型（LLM）作为批量测量工具应用于大规模文本特征提取，为本研究的文本分析阶段提供了方法论基础。</w:t>
      </w:r>
    </w:p>
    <w:bookmarkEnd w:id="14"/>
    <w:bookmarkStart w:id="15" w:name="二人力资本匹配理论"/>
    <w:p>
      <w:pPr>
        <w:pStyle w:val="Heading2"/>
      </w:pPr>
      <w:r>
        <w:rPr>
          <w:rFonts w:hint="eastAsia"/>
        </w:rPr>
        <w:t xml:space="preserve">（二）人力资本匹配理论</w:t>
      </w:r>
    </w:p>
    <w:p>
      <w:pPr>
        <w:pStyle w:val="FirstParagraph"/>
      </w:pPr>
      <w:r>
        <w:rPr>
          <w:rFonts w:hint="eastAsia"/>
        </w:rPr>
        <w:t xml:space="preserve">人力资本匹配理论（Jovanovic，1979）认为劳动力市场效率在很大程度上取决于劳动者技能与岗位要求的匹配程度。学历层次、技术能力与岗位需求之间的系统性错位，不仅导致个体劳动力的低效配置，也制约企业创新能力的释放（Sattinger，1993）。近年来，软技能（soft</w:t>
      </w:r>
      <w:r>
        <w:t xml:space="preserve"> </w:t>
      </w:r>
      <w:r>
        <w:rPr>
          <w:rFonts w:hint="eastAsia"/>
        </w:rPr>
        <w:t xml:space="preserve">skills）在人力资本研究中受到日益重视——Deming（2017）发现，在认知技能可替代性提升的背景下，社会互动技能（即软技能）的劳动力市场溢价持续上升，这为本研究的软技能分析维度提供了理论支撑。</w:t>
      </w:r>
    </w:p>
    <w:bookmarkEnd w:id="15"/>
    <w:bookmarkStart w:id="16" w:name="三产教融合理论框架"/>
    <w:p>
      <w:pPr>
        <w:pStyle w:val="Heading2"/>
      </w:pPr>
      <w:r>
        <w:rPr>
          <w:rFonts w:hint="eastAsia"/>
        </w:rPr>
        <w:t xml:space="preserve">（三）产教融合理论框架</w:t>
      </w:r>
    </w:p>
    <w:p>
      <w:pPr>
        <w:pStyle w:val="FirstParagraph"/>
      </w:pPr>
      <w:r>
        <w:rPr>
          <w:rFonts w:hint="eastAsia"/>
        </w:rPr>
        <w:t xml:space="preserve">产教融合是我国职业教育政策的核心命题。学界普遍认为，有效的产教融合需要以动态的产业需求数据为基础，构建实时反馈机制，而非依赖静态的行业协会调研（刘志文，2020）。本研究将招聘大数据作为产业需求的代理变量，从岗位结构、技能要求（技术技能与软技能）、学历门槛三个维度构建分析框架，以期实现数据驱动的专业适配性评估，为职业教育政策制定和院校专业改革提供实证基础。</w:t>
      </w:r>
    </w:p>
    <w:p>
      <w:r>
        <w:pict>
          <v:rect style="width:0;height:1.5pt" o:hralign="center" o:hrstd="t" o:hr="t"/>
        </w:pict>
      </w:r>
    </w:p>
    <w:bookmarkEnd w:id="16"/>
    <w:bookmarkEnd w:id="17"/>
    <w:bookmarkStart w:id="22" w:name="三数据与研究方法"/>
    <w:p>
      <w:pPr>
        <w:pStyle w:val="Heading1"/>
      </w:pPr>
      <w:r>
        <w:rPr>
          <w:rFonts w:hint="eastAsia"/>
        </w:rPr>
        <w:t xml:space="preserve">三、数据与研究方法</w:t>
      </w:r>
    </w:p>
    <w:bookmarkStart w:id="18" w:name="一数据来源与处理"/>
    <w:p>
      <w:pPr>
        <w:pStyle w:val="Heading2"/>
      </w:pPr>
      <w:r>
        <w:rPr>
          <w:rFonts w:hint="eastAsia"/>
        </w:rPr>
        <w:t xml:space="preserve">（一）数据来源与处理</w:t>
      </w:r>
    </w:p>
    <w:p>
      <w:pPr>
        <w:pStyle w:val="FirstParagraph"/>
      </w:pPr>
      <w:r>
        <w:rPr>
          <w:rFonts w:hint="eastAsia"/>
        </w:rPr>
        <w:t xml:space="preserve">本研究使用的原始数据来自智联招聘数据库，涵盖2016年1月至2025年7月期间深圳市专精特新”小巨人”企业在智联招聘平台发布的招聘信息，同时附有企业画像信息（行业、规模、入选批次等）。</w:t>
      </w:r>
    </w:p>
    <w:p>
      <w:pPr>
        <w:pStyle w:val="BodyText"/>
      </w:pPr>
      <w:r>
        <w:rPr>
          <w:rFonts w:hint="eastAsia"/>
        </w:rPr>
        <w:t xml:space="preserve">数据处理严格执行以下过滤条件：（1）仅保留”目前所属城市”字段为”深圳市”的企业；（2）剔除”复核结果”字段为”未见信息”的记录。经上述处理，最终获得</w:t>
      </w:r>
      <w:r>
        <w:rPr>
          <w:rFonts w:hint="eastAsia"/>
          <w:b/>
          <w:bCs/>
        </w:rPr>
        <w:t xml:space="preserve">22,022条</w:t>
      </w:r>
      <w:r>
        <w:rPr>
          <w:rFonts w:hint="eastAsia"/>
        </w:rPr>
        <w:t xml:space="preserve">有效招聘记录，涉及</w:t>
      </w:r>
      <w:r>
        <w:rPr>
          <w:rFonts w:hint="eastAsia"/>
          <w:b/>
          <w:bCs/>
        </w:rPr>
        <w:t xml:space="preserve">757家</w:t>
      </w:r>
      <w:r>
        <w:rPr>
          <w:rFonts w:hint="eastAsia"/>
        </w:rPr>
        <w:t xml:space="preserve">企业，时间跨度2016—2025年（其中2019年样本完全缺失，2020年仅2条，分析时予以注明；2025年数据仅截至7月，不作完整年份分析）。</w:t>
      </w:r>
    </w:p>
    <w:p>
      <w:pPr>
        <w:pStyle w:val="BodyText"/>
      </w:pPr>
      <w:r>
        <w:rPr>
          <w:rFonts w:hint="eastAsia"/>
        </w:rPr>
        <w:t xml:space="preserve">职位描述（</w:t>
      </w:r>
      <w:r>
        <w:rPr>
          <w:rStyle w:val="VerbatimChar"/>
          <w:rFonts w:hint="eastAsia"/>
        </w:rPr>
        <w:t xml:space="preserve">职位描述</w:t>
      </w:r>
      <w:r>
        <w:rPr>
          <w:rFonts w:hint="eastAsia"/>
        </w:rPr>
        <w:t xml:space="preserve">）字段在全部22,022条记录中</w:t>
      </w:r>
      <w:r>
        <w:rPr>
          <w:rFonts w:hint="eastAsia"/>
          <w:b/>
          <w:bCs/>
        </w:rPr>
        <w:t xml:space="preserve">0缺失</w:t>
      </w:r>
      <w:r>
        <w:rPr>
          <w:rFonts w:hint="eastAsia"/>
        </w:rPr>
        <w:t xml:space="preserve">，均值345字符，构成本研究文本分析阶段的完整语料。</w:t>
      </w:r>
    </w:p>
    <w:p>
      <w:pPr>
        <w:pStyle w:val="BodyText"/>
      </w:pPr>
      <w:r>
        <w:rPr>
          <w:rFonts w:hint="eastAsia"/>
        </w:rPr>
        <w:t xml:space="preserve">智联招聘数据存在已知系统性偏差：覆盖范围偏向中高端白领岗位，对制造业一线操作工和非正式就业人员覆盖不足；招聘条数反映招聘意愿而非实际录用结果。上述局限性在结果解读中需加以考量。</w:t>
      </w:r>
    </w:p>
    <w:bookmarkEnd w:id="18"/>
    <w:bookmarkStart w:id="21" w:name="二研究方法"/>
    <w:p>
      <w:pPr>
        <w:pStyle w:val="Heading2"/>
      </w:pPr>
      <w:r>
        <w:rPr>
          <w:rFonts w:hint="eastAsia"/>
        </w:rPr>
        <w:t xml:space="preserve">（二）研究方法</w:t>
      </w:r>
    </w:p>
    <w:p>
      <w:pPr>
        <w:pStyle w:val="FirstParagraph"/>
      </w:pPr>
      <w:r>
        <w:rPr>
          <w:rFonts w:hint="eastAsia"/>
        </w:rPr>
        <w:t xml:space="preserve">本研究采用两阶段方法，第一阶段对结构化字段进行统计分析，第二阶段对职位描述文本进行LLM批量分析。</w:t>
      </w:r>
    </w:p>
    <w:bookmarkStart w:id="19" w:name="第一阶段结构化分析"/>
    <w:p>
      <w:pPr>
        <w:pStyle w:val="Heading3"/>
      </w:pPr>
      <w:r>
        <w:rPr>
          <w:rFonts w:hint="eastAsia"/>
        </w:rPr>
        <w:t xml:space="preserve">第一阶段：结构化分析</w:t>
      </w:r>
    </w:p>
    <w:p>
      <w:pPr>
        <w:pStyle w:val="FirstParagraph"/>
      </w:pPr>
      <w:r>
        <w:rPr>
          <w:rFonts w:hint="eastAsia"/>
          <w:b/>
          <w:bCs/>
        </w:rPr>
        <w:t xml:space="preserve">岗位功能分类</w:t>
      </w:r>
      <w:r>
        <w:rPr>
          <w:rFonts w:hint="eastAsia"/>
        </w:rPr>
        <w:t xml:space="preserve">：现有数据中岗位行业分类字段缺失率高达75.9%，本研究采用关键词优先级匹配法，基于招聘岗位名称字段构建九类岗位功能分类体系（见表1），匹配优先级顺序为：销售市场→质量检验→供应链采购→财务会计→行政人力→信息技术→生产制造→研发技术→管理运营。最终分类覆盖率84.9%（超过预设阈值80%）。</w:t>
      </w:r>
    </w:p>
    <w:p>
      <w:pPr>
        <w:pStyle w:val="BodyText"/>
      </w:pPr>
      <w:r>
        <w:rPr>
          <w:rFonts w:hint="eastAsia"/>
          <w:b/>
          <w:bCs/>
        </w:rPr>
        <w:t xml:space="preserve">表1</w:t>
      </w:r>
      <w:r>
        <w:rPr>
          <w:b/>
          <w:bCs/>
        </w:rPr>
        <w:t xml:space="preserve"> </w:t>
      </w:r>
      <w:r>
        <w:rPr>
          <w:rFonts w:hint="eastAsia"/>
          <w:b/>
          <w:bCs/>
        </w:rPr>
        <w:t xml:space="preserve">岗位功能分类体系</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类别</w:t>
            </w:r>
          </w:p>
        </w:tc>
        <w:tc>
          <w:tcPr/>
          <w:p>
            <w:pPr>
              <w:pStyle w:val="Compact"/>
            </w:pPr>
            <w:r>
              <w:rPr>
                <w:rFonts w:hint="eastAsia"/>
              </w:rPr>
              <w:t xml:space="preserve">代表性岗位</w:t>
            </w:r>
          </w:p>
        </w:tc>
        <w:tc>
          <w:tcPr/>
          <w:p>
            <w:pPr>
              <w:pStyle w:val="Compact"/>
            </w:pPr>
            <w:r>
              <w:rPr>
                <w:rFonts w:hint="eastAsia"/>
              </w:rPr>
              <w:t xml:space="preserve">招聘量</w:t>
            </w:r>
          </w:p>
        </w:tc>
        <w:tc>
          <w:tcPr/>
          <w:p>
            <w:pPr>
              <w:pStyle w:val="Compact"/>
            </w:pPr>
            <w:r>
              <w:rPr>
                <w:rFonts w:hint="eastAsia"/>
              </w:rPr>
              <w:t xml:space="preserve">占比</w:t>
            </w:r>
          </w:p>
        </w:tc>
      </w:tr>
      <w:tr>
        <w:tc>
          <w:tcPr/>
          <w:p>
            <w:pPr>
              <w:pStyle w:val="Compact"/>
            </w:pPr>
            <w:r>
              <w:rPr>
                <w:rFonts w:hint="eastAsia"/>
              </w:rPr>
              <w:t xml:space="preserve">研发技术</w:t>
            </w:r>
          </w:p>
        </w:tc>
        <w:tc>
          <w:tcPr/>
          <w:p>
            <w:pPr>
              <w:pStyle w:val="Compact"/>
            </w:pPr>
            <w:r>
              <w:rPr>
                <w:rFonts w:hint="eastAsia"/>
              </w:rPr>
              <w:t xml:space="preserve">硬件工程师、电气工程师、机械工程师</w:t>
            </w:r>
          </w:p>
        </w:tc>
        <w:tc>
          <w:tcPr/>
          <w:p>
            <w:pPr>
              <w:pStyle w:val="Compact"/>
            </w:pPr>
            <w:r>
              <w:t xml:space="preserve">5,976</w:t>
            </w:r>
          </w:p>
        </w:tc>
        <w:tc>
          <w:tcPr/>
          <w:p>
            <w:pPr>
              <w:pStyle w:val="Compact"/>
            </w:pPr>
            <w:r>
              <w:t xml:space="preserve">27.1%</w:t>
            </w:r>
          </w:p>
        </w:tc>
      </w:tr>
      <w:tr>
        <w:tc>
          <w:tcPr/>
          <w:p>
            <w:pPr>
              <w:pStyle w:val="Compact"/>
            </w:pPr>
            <w:r>
              <w:rPr>
                <w:rFonts w:hint="eastAsia"/>
              </w:rPr>
              <w:t xml:space="preserve">销售市场</w:t>
            </w:r>
          </w:p>
        </w:tc>
        <w:tc>
          <w:tcPr/>
          <w:p>
            <w:pPr>
              <w:pStyle w:val="Compact"/>
            </w:pPr>
            <w:r>
              <w:rPr>
                <w:rFonts w:hint="eastAsia"/>
              </w:rPr>
              <w:t xml:space="preserve">销售工程师、销售经理、外贸业务员</w:t>
            </w:r>
          </w:p>
        </w:tc>
        <w:tc>
          <w:tcPr/>
          <w:p>
            <w:pPr>
              <w:pStyle w:val="Compact"/>
            </w:pPr>
            <w:r>
              <w:t xml:space="preserve">3,943</w:t>
            </w:r>
          </w:p>
        </w:tc>
        <w:tc>
          <w:tcPr/>
          <w:p>
            <w:pPr>
              <w:pStyle w:val="Compact"/>
            </w:pPr>
            <w:r>
              <w:t xml:space="preserve">17.9%</w:t>
            </w:r>
          </w:p>
        </w:tc>
      </w:tr>
      <w:tr>
        <w:tc>
          <w:tcPr/>
          <w:p>
            <w:pPr>
              <w:pStyle w:val="Compact"/>
            </w:pPr>
            <w:r>
              <w:rPr>
                <w:rFonts w:hint="eastAsia"/>
              </w:rPr>
              <w:t xml:space="preserve">信息技术</w:t>
            </w:r>
          </w:p>
        </w:tc>
        <w:tc>
          <w:tcPr/>
          <w:p>
            <w:pPr>
              <w:pStyle w:val="Compact"/>
            </w:pPr>
            <w:r>
              <w:rPr>
                <w:rFonts w:hint="eastAsia"/>
              </w:rPr>
              <w:t xml:space="preserve">软件工程师、数据分析师、产品经理</w:t>
            </w:r>
          </w:p>
        </w:tc>
        <w:tc>
          <w:tcPr/>
          <w:p>
            <w:pPr>
              <w:pStyle w:val="Compact"/>
            </w:pPr>
            <w:r>
              <w:t xml:space="preserve">1,794</w:t>
            </w:r>
          </w:p>
        </w:tc>
        <w:tc>
          <w:tcPr/>
          <w:p>
            <w:pPr>
              <w:pStyle w:val="Compact"/>
            </w:pPr>
            <w:r>
              <w:t xml:space="preserve">8.1%</w:t>
            </w:r>
          </w:p>
        </w:tc>
      </w:tr>
      <w:tr>
        <w:tc>
          <w:tcPr/>
          <w:p>
            <w:pPr>
              <w:pStyle w:val="Compact"/>
            </w:pPr>
            <w:r>
              <w:rPr>
                <w:rFonts w:hint="eastAsia"/>
              </w:rPr>
              <w:t xml:space="preserve">生产制造</w:t>
            </w:r>
          </w:p>
        </w:tc>
        <w:tc>
          <w:tcPr/>
          <w:p>
            <w:pPr>
              <w:pStyle w:val="Compact"/>
            </w:pPr>
            <w:r>
              <w:rPr>
                <w:rFonts w:hint="eastAsia"/>
              </w:rPr>
              <w:t xml:space="preserve">工艺工程师、生产管理、装配工</w:t>
            </w:r>
          </w:p>
        </w:tc>
        <w:tc>
          <w:tcPr/>
          <w:p>
            <w:pPr>
              <w:pStyle w:val="Compact"/>
            </w:pPr>
            <w:r>
              <w:t xml:space="preserve">1,593</w:t>
            </w:r>
          </w:p>
        </w:tc>
        <w:tc>
          <w:tcPr/>
          <w:p>
            <w:pPr>
              <w:pStyle w:val="Compact"/>
            </w:pPr>
            <w:r>
              <w:t xml:space="preserve">7.2%</w:t>
            </w:r>
          </w:p>
        </w:tc>
      </w:tr>
      <w:tr>
        <w:tc>
          <w:tcPr/>
          <w:p>
            <w:pPr>
              <w:pStyle w:val="Compact"/>
            </w:pPr>
            <w:r>
              <w:rPr>
                <w:rFonts w:hint="eastAsia"/>
              </w:rPr>
              <w:t xml:space="preserve">行政人力</w:t>
            </w:r>
          </w:p>
        </w:tc>
        <w:tc>
          <w:tcPr/>
          <w:p>
            <w:pPr>
              <w:pStyle w:val="Compact"/>
            </w:pPr>
            <w:r>
              <w:rPr>
                <w:rFonts w:hint="eastAsia"/>
              </w:rPr>
              <w:t xml:space="preserve">行政专员、人力资源经理、招聘专员</w:t>
            </w:r>
          </w:p>
        </w:tc>
        <w:tc>
          <w:tcPr/>
          <w:p>
            <w:pPr>
              <w:pStyle w:val="Compact"/>
            </w:pPr>
            <w:r>
              <w:t xml:space="preserve">1,294</w:t>
            </w:r>
          </w:p>
        </w:tc>
        <w:tc>
          <w:tcPr/>
          <w:p>
            <w:pPr>
              <w:pStyle w:val="Compact"/>
            </w:pPr>
            <w:r>
              <w:t xml:space="preserve">5.9%</w:t>
            </w:r>
          </w:p>
        </w:tc>
      </w:tr>
      <w:tr>
        <w:tc>
          <w:tcPr/>
          <w:p>
            <w:pPr>
              <w:pStyle w:val="Compact"/>
            </w:pPr>
            <w:r>
              <w:rPr>
                <w:rFonts w:hint="eastAsia"/>
              </w:rPr>
              <w:t xml:space="preserve">供应链采购</w:t>
            </w:r>
          </w:p>
        </w:tc>
        <w:tc>
          <w:tcPr/>
          <w:p>
            <w:pPr>
              <w:pStyle w:val="Compact"/>
            </w:pPr>
            <w:r>
              <w:rPr>
                <w:rFonts w:hint="eastAsia"/>
              </w:rPr>
              <w:t xml:space="preserve">采购工程师、仓库主管、物流专员</w:t>
            </w:r>
          </w:p>
        </w:tc>
        <w:tc>
          <w:tcPr/>
          <w:p>
            <w:pPr>
              <w:pStyle w:val="Compact"/>
            </w:pPr>
            <w:r>
              <w:t xml:space="preserve">1,272</w:t>
            </w:r>
          </w:p>
        </w:tc>
        <w:tc>
          <w:tcPr/>
          <w:p>
            <w:pPr>
              <w:pStyle w:val="Compact"/>
            </w:pPr>
            <w:r>
              <w:t xml:space="preserve">5.8%</w:t>
            </w:r>
          </w:p>
        </w:tc>
      </w:tr>
      <w:tr>
        <w:tc>
          <w:tcPr/>
          <w:p>
            <w:pPr>
              <w:pStyle w:val="Compact"/>
            </w:pPr>
            <w:r>
              <w:rPr>
                <w:rFonts w:hint="eastAsia"/>
              </w:rPr>
              <w:t xml:space="preserve">质量检验</w:t>
            </w:r>
          </w:p>
        </w:tc>
        <w:tc>
          <w:tcPr/>
          <w:p>
            <w:pPr>
              <w:pStyle w:val="Compact"/>
            </w:pPr>
            <w:r>
              <w:rPr>
                <w:rFonts w:hint="eastAsia"/>
              </w:rPr>
              <w:t xml:space="preserve">质量工程师、QA/QC工程师、检验员</w:t>
            </w:r>
          </w:p>
        </w:tc>
        <w:tc>
          <w:tcPr/>
          <w:p>
            <w:pPr>
              <w:pStyle w:val="Compact"/>
            </w:pPr>
            <w:r>
              <w:t xml:space="preserve">1,092</w:t>
            </w:r>
          </w:p>
        </w:tc>
        <w:tc>
          <w:tcPr/>
          <w:p>
            <w:pPr>
              <w:pStyle w:val="Compact"/>
            </w:pPr>
            <w:r>
              <w:t xml:space="preserve">5.0%</w:t>
            </w:r>
          </w:p>
        </w:tc>
      </w:tr>
      <w:tr>
        <w:tc>
          <w:tcPr/>
          <w:p>
            <w:pPr>
              <w:pStyle w:val="Compact"/>
            </w:pPr>
            <w:r>
              <w:rPr>
                <w:rFonts w:hint="eastAsia"/>
              </w:rPr>
              <w:t xml:space="preserve">管理运营</w:t>
            </w:r>
          </w:p>
        </w:tc>
        <w:tc>
          <w:tcPr/>
          <w:p>
            <w:pPr>
              <w:pStyle w:val="Compact"/>
            </w:pPr>
            <w:r>
              <w:rPr>
                <w:rFonts w:hint="eastAsia"/>
              </w:rPr>
              <w:t xml:space="preserve">项目经理、运营总监、部门主管</w:t>
            </w:r>
          </w:p>
        </w:tc>
        <w:tc>
          <w:tcPr/>
          <w:p>
            <w:pPr>
              <w:pStyle w:val="Compact"/>
            </w:pPr>
            <w:r>
              <w:t xml:space="preserve">970</w:t>
            </w:r>
          </w:p>
        </w:tc>
        <w:tc>
          <w:tcPr/>
          <w:p>
            <w:pPr>
              <w:pStyle w:val="Compact"/>
            </w:pPr>
            <w:r>
              <w:t xml:space="preserve">4.4%</w:t>
            </w:r>
          </w:p>
        </w:tc>
      </w:tr>
      <w:tr>
        <w:tc>
          <w:tcPr/>
          <w:p>
            <w:pPr>
              <w:pStyle w:val="Compact"/>
            </w:pPr>
            <w:r>
              <w:rPr>
                <w:rFonts w:hint="eastAsia"/>
              </w:rPr>
              <w:t xml:space="preserve">财务会计</w:t>
            </w:r>
          </w:p>
        </w:tc>
        <w:tc>
          <w:tcPr/>
          <w:p>
            <w:pPr>
              <w:pStyle w:val="Compact"/>
            </w:pPr>
            <w:r>
              <w:rPr>
                <w:rFonts w:hint="eastAsia"/>
              </w:rPr>
              <w:t xml:space="preserve">成本会计、财务专员、出纳</w:t>
            </w:r>
          </w:p>
        </w:tc>
        <w:tc>
          <w:tcPr/>
          <w:p>
            <w:pPr>
              <w:pStyle w:val="Compact"/>
            </w:pPr>
            <w:r>
              <w:t xml:space="preserve">763</w:t>
            </w:r>
          </w:p>
        </w:tc>
        <w:tc>
          <w:tcPr/>
          <w:p>
            <w:pPr>
              <w:pStyle w:val="Compact"/>
            </w:pPr>
            <w:r>
              <w:t xml:space="preserve">3.5%</w:t>
            </w:r>
          </w:p>
        </w:tc>
      </w:tr>
      <w:tr>
        <w:tc>
          <w:tcPr/>
          <w:p>
            <w:pPr>
              <w:pStyle w:val="Compact"/>
            </w:pPr>
            <w:r>
              <w:rPr>
                <w:rFonts w:hint="eastAsia"/>
              </w:rPr>
              <w:t xml:space="preserve">其他</w:t>
            </w:r>
          </w:p>
        </w:tc>
        <w:tc>
          <w:tcPr/>
          <w:p>
            <w:pPr>
              <w:pStyle w:val="Compact"/>
            </w:pPr>
            <w:r>
              <w:t xml:space="preserve">—</w:t>
            </w:r>
          </w:p>
        </w:tc>
        <w:tc>
          <w:tcPr/>
          <w:p>
            <w:pPr>
              <w:pStyle w:val="Compact"/>
            </w:pPr>
            <w:r>
              <w:t xml:space="preserve">3,325</w:t>
            </w:r>
          </w:p>
        </w:tc>
        <w:tc>
          <w:tcPr/>
          <w:p>
            <w:pPr>
              <w:pStyle w:val="Compact"/>
            </w:pPr>
            <w:r>
              <w:t xml:space="preserve">15.1%</w:t>
            </w:r>
          </w:p>
        </w:tc>
      </w:tr>
    </w:tbl>
    <w:p>
      <w:pPr>
        <w:pStyle w:val="BodyText"/>
      </w:pPr>
      <w:r>
        <w:rPr>
          <w:rFonts w:hint="eastAsia"/>
          <w:b/>
          <w:bCs/>
        </w:rPr>
        <w:t xml:space="preserve">统计方法</w:t>
      </w:r>
      <w:r>
        <w:rPr>
          <w:rFonts w:hint="eastAsia"/>
        </w:rPr>
        <w:t xml:space="preserve">：描述性统计、纵向趋势分析（各类别历年招聘量变化）、技术关键词词频分析、学历要求分布统计。</w:t>
      </w:r>
    </w:p>
    <w:bookmarkEnd w:id="19"/>
    <w:bookmarkStart w:id="20" w:name="第二阶段llm文本分析"/>
    <w:p>
      <w:pPr>
        <w:pStyle w:val="Heading3"/>
      </w:pPr>
      <w:r>
        <w:rPr>
          <w:rFonts w:hint="eastAsia"/>
        </w:rPr>
        <w:t xml:space="preserve">第二阶段：LLM文本分析</w:t>
      </w:r>
    </w:p>
    <w:p>
      <w:pPr>
        <w:pStyle w:val="FirstParagraph"/>
      </w:pPr>
      <w:r>
        <w:rPr>
          <w:rFonts w:hint="eastAsia"/>
        </w:rPr>
        <w:t xml:space="preserve">参照GABRIEL框架（Asirvatham</w:t>
      </w:r>
      <w:r>
        <w:t xml:space="preserve"> et al., </w:t>
      </w:r>
      <w:r>
        <w:rPr>
          <w:rFonts w:hint="eastAsia"/>
        </w:rPr>
        <w:t xml:space="preserve">2026）设计理念，本研究自主构建GABRIEL风格的批量文本分析基础设施，使用MiniMax-M2.7-highspeed模型通过OpenAI兼容接口调用。基础设施特性：批处理（每批10—20条）、断点续传、JSON输出格式验证（解析失败自动重试最多3次）、指数退避限速处理。</w:t>
      </w:r>
    </w:p>
    <w:p>
      <w:pPr>
        <w:pStyle w:val="BodyText"/>
      </w:pPr>
      <w:r>
        <w:rPr>
          <w:rFonts w:hint="eastAsia"/>
        </w:rPr>
        <w:t xml:space="preserve">四项文本分析任务的方法如下（见表2）：</w:t>
      </w:r>
    </w:p>
    <w:p>
      <w:pPr>
        <w:pStyle w:val="BodyText"/>
      </w:pPr>
      <w:r>
        <w:rPr>
          <w:rFonts w:hint="eastAsia"/>
          <w:b/>
          <w:bCs/>
        </w:rPr>
        <w:t xml:space="preserve">表2</w:t>
      </w:r>
      <w:r>
        <w:rPr>
          <w:b/>
          <w:bCs/>
        </w:rPr>
        <w:t xml:space="preserve"> </w:t>
      </w:r>
      <w:r>
        <w:rPr>
          <w:rFonts w:hint="eastAsia"/>
          <w:b/>
          <w:bCs/>
        </w:rPr>
        <w:t xml:space="preserve">LLM文本分析任务概览</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分析任务</w:t>
            </w:r>
          </w:p>
        </w:tc>
        <w:tc>
          <w:tcPr/>
          <w:p>
            <w:pPr>
              <w:pStyle w:val="Compact"/>
            </w:pPr>
            <w:r>
              <w:rPr>
                <w:rFonts w:hint="eastAsia"/>
              </w:rPr>
              <w:t xml:space="preserve">方法</w:t>
            </w:r>
          </w:p>
        </w:tc>
        <w:tc>
          <w:tcPr/>
          <w:p>
            <w:pPr>
              <w:pStyle w:val="Compact"/>
            </w:pPr>
            <w:r>
              <w:rPr>
                <w:rFonts w:hint="eastAsia"/>
              </w:rPr>
              <w:t xml:space="preserve">批大小</w:t>
            </w:r>
          </w:p>
        </w:tc>
        <w:tc>
          <w:tcPr/>
          <w:p>
            <w:pPr>
              <w:pStyle w:val="Compact"/>
            </w:pPr>
            <w:r>
              <w:rPr>
                <w:rFonts w:hint="eastAsia"/>
              </w:rPr>
              <w:t xml:space="preserve">样本量</w:t>
            </w:r>
          </w:p>
        </w:tc>
      </w:tr>
      <w:tr>
        <w:tc>
          <w:tcPr/>
          <w:p>
            <w:pPr>
              <w:pStyle w:val="Compact"/>
            </w:pPr>
            <w:r>
              <w:rPr>
                <w:rFonts w:hint="eastAsia"/>
              </w:rPr>
              <w:t xml:space="preserve">软技能提取</w:t>
            </w:r>
          </w:p>
        </w:tc>
        <w:tc>
          <w:tcPr/>
          <w:p>
            <w:pPr>
              <w:pStyle w:val="Compact"/>
            </w:pPr>
            <w:r>
              <w:rPr>
                <w:rFonts w:hint="eastAsia"/>
              </w:rPr>
              <w:t xml:space="preserve">提取每条职位描述的软技能列表</w:t>
            </w:r>
          </w:p>
        </w:tc>
        <w:tc>
          <w:tcPr/>
          <w:p>
            <w:pPr>
              <w:pStyle w:val="Compact"/>
            </w:pPr>
            <w:r>
              <w:rPr>
                <w:rFonts w:hint="eastAsia"/>
              </w:rPr>
              <w:t xml:space="preserve">20条/批</w:t>
            </w:r>
          </w:p>
        </w:tc>
        <w:tc>
          <w:tcPr/>
          <w:p>
            <w:pPr>
              <w:pStyle w:val="Compact"/>
            </w:pPr>
            <w:r>
              <w:rPr>
                <w:rFonts w:hint="eastAsia"/>
              </w:rPr>
              <w:t xml:space="preserve">22,022条</w:t>
            </w:r>
          </w:p>
        </w:tc>
      </w:tr>
      <w:tr>
        <w:tc>
          <w:tcPr/>
          <w:p>
            <w:pPr>
              <w:pStyle w:val="Compact"/>
            </w:pPr>
            <w:r>
              <w:rPr>
                <w:rFonts w:hint="eastAsia"/>
              </w:rPr>
              <w:t xml:space="preserve">数字化程度评分</w:t>
            </w:r>
          </w:p>
        </w:tc>
        <w:tc>
          <w:tcPr/>
          <w:p>
            <w:pPr>
              <w:pStyle w:val="Compact"/>
            </w:pPr>
            <w:r>
              <w:rPr>
                <w:rFonts w:hint="eastAsia"/>
              </w:rPr>
              <w:t xml:space="preserve">三维0—100分评分（附理由）</w:t>
            </w:r>
          </w:p>
        </w:tc>
        <w:tc>
          <w:tcPr/>
          <w:p>
            <w:pPr>
              <w:pStyle w:val="Compact"/>
            </w:pPr>
            <w:r>
              <w:rPr>
                <w:rFonts w:hint="eastAsia"/>
              </w:rPr>
              <w:t xml:space="preserve">10条/批</w:t>
            </w:r>
          </w:p>
        </w:tc>
        <w:tc>
          <w:tcPr/>
          <w:p>
            <w:pPr>
              <w:pStyle w:val="Compact"/>
            </w:pPr>
            <w:r>
              <w:rPr>
                <w:rFonts w:hint="eastAsia"/>
              </w:rPr>
              <w:t xml:space="preserve">22,022条</w:t>
            </w:r>
          </w:p>
        </w:tc>
      </w:tr>
      <w:tr>
        <w:tc>
          <w:tcPr/>
          <w:p>
            <w:pPr>
              <w:pStyle w:val="Compact"/>
            </w:pPr>
            <w:r>
              <w:rPr>
                <w:rFonts w:hint="eastAsia"/>
              </w:rPr>
              <w:t xml:space="preserve">本科vs大专文本差异</w:t>
            </w:r>
          </w:p>
        </w:tc>
        <w:tc>
          <w:tcPr/>
          <w:p>
            <w:pPr>
              <w:pStyle w:val="Compact"/>
            </w:pPr>
            <w:r>
              <w:rPr>
                <w:rFonts w:hint="eastAsia"/>
              </w:rPr>
              <w:t xml:space="preserve">分层抽样各60条对比分析</w:t>
            </w:r>
          </w:p>
        </w:tc>
        <w:tc>
          <w:tcPr/>
          <w:p>
            <w:pPr>
              <w:pStyle w:val="Compact"/>
            </w:pPr>
            <w:r>
              <w:rPr>
                <w:rFonts w:hint="eastAsia"/>
              </w:rPr>
              <w:t xml:space="preserve">类别级</w:t>
            </w:r>
          </w:p>
        </w:tc>
        <w:tc>
          <w:tcPr/>
          <w:p>
            <w:pPr>
              <w:pStyle w:val="Compact"/>
            </w:pPr>
            <w:r>
              <w:rPr>
                <w:rFonts w:hint="eastAsia"/>
              </w:rPr>
              <w:t xml:space="preserve">10类×2组</w:t>
            </w:r>
          </w:p>
        </w:tc>
      </w:tr>
      <w:tr>
        <w:tc>
          <w:tcPr/>
          <w:p>
            <w:pPr>
              <w:pStyle w:val="Compact"/>
            </w:pPr>
            <w:r>
              <w:rPr>
                <w:rFonts w:hint="eastAsia"/>
              </w:rPr>
              <w:t xml:space="preserve">技术工具提取</w:t>
            </w:r>
          </w:p>
        </w:tc>
        <w:tc>
          <w:tcPr/>
          <w:p>
            <w:pPr>
              <w:pStyle w:val="Compact"/>
            </w:pPr>
            <w:r>
              <w:rPr>
                <w:rFonts w:hint="eastAsia"/>
              </w:rPr>
              <w:t xml:space="preserve">提取具体工具/软件/框架名称</w:t>
            </w:r>
          </w:p>
        </w:tc>
        <w:tc>
          <w:tcPr/>
          <w:p>
            <w:pPr>
              <w:pStyle w:val="Compact"/>
            </w:pPr>
            <w:r>
              <w:rPr>
                <w:rFonts w:hint="eastAsia"/>
              </w:rPr>
              <w:t xml:space="preserve">20条/批</w:t>
            </w:r>
          </w:p>
        </w:tc>
        <w:tc>
          <w:tcPr/>
          <w:p>
            <w:pPr>
              <w:pStyle w:val="Compact"/>
            </w:pPr>
            <w:r>
              <w:rPr>
                <w:rFonts w:hint="eastAsia"/>
              </w:rPr>
              <w:t xml:space="preserve">22,022条</w:t>
            </w:r>
          </w:p>
        </w:tc>
      </w:tr>
    </w:tbl>
    <w:p>
      <w:pPr>
        <w:pStyle w:val="BodyText"/>
      </w:pPr>
      <w:r>
        <w:rPr>
          <w:rFonts w:hint="eastAsia"/>
        </w:rPr>
        <w:t xml:space="preserve">软技能提取结果经人工规则标准化，共覆盖2,447种原始表达；技术工具提取结果经规则标准化，共识别4,877种工具。</w:t>
      </w:r>
    </w:p>
    <w:p>
      <w:r>
        <w:pict>
          <v:rect style="width:0;height:1.5pt" o:hralign="center" o:hrstd="t" o:hr="t"/>
        </w:pict>
      </w:r>
    </w:p>
    <w:bookmarkEnd w:id="20"/>
    <w:bookmarkEnd w:id="21"/>
    <w:bookmarkEnd w:id="22"/>
    <w:bookmarkStart w:id="32" w:name="四研究结果"/>
    <w:p>
      <w:pPr>
        <w:pStyle w:val="Heading1"/>
      </w:pPr>
      <w:r>
        <w:rPr>
          <w:rFonts w:hint="eastAsia"/>
        </w:rPr>
        <w:t xml:space="preserve">四、研究结果</w:t>
      </w:r>
    </w:p>
    <w:bookmarkStart w:id="23" w:name="一企业画像制造业集中中小企业为主"/>
    <w:p>
      <w:pPr>
        <w:pStyle w:val="Heading2"/>
      </w:pPr>
      <w:r>
        <w:rPr>
          <w:rFonts w:hint="eastAsia"/>
        </w:rPr>
        <w:t xml:space="preserve">（一）企业画像：制造业集中，中小企业为主</w:t>
      </w:r>
    </w:p>
    <w:p>
      <w:pPr>
        <w:pStyle w:val="FirstParagraph"/>
      </w:pPr>
      <w:r>
        <w:rPr>
          <w:rFonts w:hint="eastAsia"/>
        </w:rPr>
        <w:t xml:space="preserve">深圳757家国家级专精特新”小巨人”企业中，制造业企业贡献了64.0%的招聘条数，批发和零售业（14.0%）、科学研究和技术服务业（10.3%）、信息传输软件和信息技术服务业（9.5%）合计约34%（见Figures/v3/fig11_industry_bar.png）。在企业规模方面，中型企业（100—999人）占57.6%，小型企业（＜100人）占25.9%，大型企业（≥1,000人）占16.5%。第四至第七批企业贡献了超过80%的招聘量，反映近年新入选企业的扩张势头更为强劲（见Figures/v3/fig07_batch_bar.png</w:t>
      </w:r>
      <w:r>
        <w:t xml:space="preserve"> / </w:t>
      </w:r>
      <w:r>
        <w:rPr>
          <w:rFonts w:hint="eastAsia"/>
        </w:rPr>
        <w:t xml:space="preserve">Figures/v3/fig08_batch_trend.png）。</w:t>
      </w:r>
    </w:p>
    <w:bookmarkEnd w:id="23"/>
    <w:bookmarkStart w:id="24" w:name="二招聘规模变迁波动上升近三年稳定在高位"/>
    <w:p>
      <w:pPr>
        <w:pStyle w:val="Heading2"/>
      </w:pPr>
      <w:r>
        <w:rPr>
          <w:rFonts w:hint="eastAsia"/>
        </w:rPr>
        <w:t xml:space="preserve">（二）招聘规模变迁：波动上升，近三年稳定在高位</w:t>
      </w:r>
    </w:p>
    <w:p>
      <w:pPr>
        <w:pStyle w:val="FirstParagraph"/>
      </w:pPr>
      <w:r>
        <w:rPr>
          <w:rFonts w:hint="eastAsia"/>
        </w:rPr>
        <w:t xml:space="preserve">2016—2024年，深圳专精特新企业在智联平台的年度招聘条数从1,127条增长至5,158条，增幅</w:t>
      </w:r>
      <w:r>
        <w:rPr>
          <w:b/>
          <w:bCs/>
        </w:rPr>
        <w:t xml:space="preserve">358%</w:t>
      </w:r>
      <w:r>
        <w:rPr>
          <w:rFonts w:hint="eastAsia"/>
        </w:rPr>
        <w:t xml:space="preserve">（见Figures/v3/fig03_annual_job_postings.png）。整体呈波动上升趋势，其中2022年达历史峰值（5,389条），2024年回升至5,158条，近三年稳定在3,000条以上。值得注意的是，2018年出现大幅回落（仅244条），2019年样本完全缺失，2020年仅2条记录，这与新冠疫情冲击及数据采集局限性密切相关，分析时予以审慎处理。</w:t>
      </w:r>
    </w:p>
    <w:bookmarkEnd w:id="24"/>
    <w:bookmarkStart w:id="25" w:name="三岗位功能结构研发主导ict类合计超三分之一"/>
    <w:p>
      <w:pPr>
        <w:pStyle w:val="Heading2"/>
      </w:pPr>
      <w:r>
        <w:rPr>
          <w:rFonts w:hint="eastAsia"/>
        </w:rPr>
        <w:t xml:space="preserve">（三）岗位功能结构：研发主导，ICT类合计超三分之一</w:t>
      </w:r>
    </w:p>
    <w:p>
      <w:pPr>
        <w:pStyle w:val="FirstParagraph"/>
      </w:pPr>
      <w:r>
        <w:rPr>
          <w:rFonts w:hint="eastAsia"/>
        </w:rPr>
        <w:t xml:space="preserve">深圳专精特新企业呈现以研发技术为核心、多功能类别并行的岗位结构（见Figures/v3/fig15_classification_coverage.png）。研发技术类以27.1%居首，涵盖硬件工程师（136条）、电气工程师（135条）、机械工程师（119条）等高技术密集型职位。销售市场类（17.9%）居第二，反映专精特新企业在细分市场竞争中的销售需求。研发技术与信息技术合计35.2%，是ICT方向职业院校的核心对接区域。</w:t>
      </w:r>
    </w:p>
    <w:p>
      <w:pPr>
        <w:pStyle w:val="BodyText"/>
      </w:pPr>
      <w:r>
        <w:rPr>
          <w:rFonts w:hint="eastAsia"/>
        </w:rPr>
        <w:t xml:space="preserve">值得注意的是，招聘岗位名称极度碎片化（</w:t>
      </w:r>
      <w:r>
        <w:rPr>
          <w:rFonts w:hint="eastAsia"/>
          <w:b/>
          <w:bCs/>
        </w:rPr>
        <w:t xml:space="preserve">11,740个唯一岗位名称</w:t>
      </w:r>
      <w:r>
        <w:rPr>
          <w:rFonts w:hint="eastAsia"/>
        </w:rPr>
        <w:t xml:space="preserve">，22,022条记录），折射出专精特新企业岗位设置的高度定制化特征，对职业教育课程体系的通用性设计构成挑战。</w:t>
      </w:r>
    </w:p>
    <w:bookmarkEnd w:id="25"/>
    <w:bookmarkStart w:id="26" w:name="四招聘结构纵向变迁全面增长生产制造涨幅最大"/>
    <w:p>
      <w:pPr>
        <w:pStyle w:val="Heading2"/>
      </w:pPr>
      <w:r>
        <w:rPr>
          <w:rFonts w:hint="eastAsia"/>
        </w:rPr>
        <w:t xml:space="preserve">（四）招聘结构纵向变迁：全面增长，生产制造涨幅最大</w:t>
      </w:r>
    </w:p>
    <w:p>
      <w:pPr>
        <w:pStyle w:val="FirstParagraph"/>
      </w:pPr>
      <w:r>
        <w:rPr>
          <w:rFonts w:hint="eastAsia"/>
        </w:rPr>
        <w:t xml:space="preserve">以2016年为基准，2024年各主要岗位类别均呈显著增长（见Figures/v3/fig17_category_stacked_area.png</w:t>
      </w:r>
      <w:r>
        <w:t xml:space="preserve"> / </w:t>
      </w:r>
      <w:r>
        <w:rPr>
          <w:rFonts w:hint="eastAsia"/>
        </w:rPr>
        <w:t xml:space="preserve">Figures/v3/fig19_top_categories_trend.png）。生产制造类增幅最大（+629%，54条→400条），研发技术类（+433%）、销售市场类（+403%）次之，信息技术类（+179%）增速相对较低但体量可观。在IT子类别中，数据/AI/算法子方向增速最快（+457%），IT基础设施增速+257%。</w:t>
      </w:r>
    </w:p>
    <w:p>
      <w:pPr>
        <w:pStyle w:val="BodyText"/>
      </w:pPr>
      <w:r>
        <w:rPr>
          <w:rFonts w:hint="eastAsia"/>
        </w:rPr>
        <w:t xml:space="preserve">这一发现表明，专精特新企业的扩张具有全面性，并非单一岗位类别的结构性替代，而是整体规模扩大在各功能维度的同步体现（见Figures/v3/fig18_category_heatmap_year.png）。</w:t>
      </w:r>
    </w:p>
    <w:bookmarkEnd w:id="26"/>
    <w:bookmarkStart w:id="27" w:name="五技术技能需求新一代信息技术主导嵌入式是制造业主流"/>
    <w:p>
      <w:pPr>
        <w:pStyle w:val="Heading2"/>
      </w:pPr>
      <w:r>
        <w:rPr>
          <w:rFonts w:hint="eastAsia"/>
        </w:rPr>
        <w:t xml:space="preserve">（五）技术技能需求：新一代信息技术主导，嵌入式是制造业主流</w:t>
      </w:r>
    </w:p>
    <w:p>
      <w:pPr>
        <w:pStyle w:val="FirstParagraph"/>
      </w:pPr>
      <w:r>
        <w:rPr>
          <w:rFonts w:hint="eastAsia"/>
        </w:rPr>
        <w:t xml:space="preserve">对</w:t>
      </w:r>
      <w:r>
        <w:rPr>
          <w:rStyle w:val="VerbatimChar"/>
          <w:rFonts w:hint="eastAsia"/>
        </w:rPr>
        <w:t xml:space="preserve">技术关键词</w:t>
      </w:r>
      <w:r>
        <w:rPr>
          <w:rFonts w:hint="eastAsia"/>
        </w:rPr>
        <w:t xml:space="preserve">字段的分析显示，出现频次最高的依次为物联网、自动化、人工智能、智能制造、大数据（见Figures/v3/fig21_top_tech_keywords.png）。这五个词均属新一代信息技术与先进制造技术的交叉领域，与《</w:t>
      </w:r>
      <w:r>
        <w:rPr>
          <w:rFonts w:hint="eastAsia"/>
        </w:rPr>
        <w:t xml:space="preserve">“十四五”</w:t>
      </w:r>
      <w:r>
        <w:rPr>
          <w:rFonts w:hint="eastAsia"/>
        </w:rPr>
        <w:t xml:space="preserve">数字经济发展规划》的重点方向高度吻合。</w:t>
      </w:r>
    </w:p>
    <w:p>
      <w:pPr>
        <w:pStyle w:val="BodyText"/>
      </w:pPr>
      <w:r>
        <w:rPr>
          <w:rFonts w:hint="eastAsia"/>
        </w:rPr>
        <w:t xml:space="preserve">LLM文本分析进一步揭示了</w:t>
      </w:r>
      <w:r>
        <w:rPr>
          <w:rFonts w:hint="eastAsia"/>
          <w:b/>
          <w:bCs/>
        </w:rPr>
        <w:t xml:space="preserve">具体工具层面</w:t>
      </w:r>
      <w:r>
        <w:rPr>
          <w:rFonts w:hint="eastAsia"/>
        </w:rPr>
        <w:t xml:space="preserve">的真实格局（见Figures/v3/fig37_tech_tools_top30.png）：</w:t>
      </w:r>
    </w:p>
    <w:p>
      <w:pPr>
        <w:pStyle w:val="BodyText"/>
      </w:pPr>
      <w:r>
        <w:rPr>
          <w:rFonts w:hint="eastAsia"/>
          <w:b/>
          <w:bCs/>
        </w:rPr>
        <w:t xml:space="preserve">表3</w:t>
      </w:r>
      <w:r>
        <w:rPr>
          <w:b/>
          <w:bCs/>
        </w:rPr>
        <w:t xml:space="preserve"> </w:t>
      </w:r>
      <w:r>
        <w:rPr>
          <w:rFonts w:hint="eastAsia"/>
          <w:b/>
          <w:bCs/>
        </w:rPr>
        <w:t xml:space="preserve">职位描述中工具频次Top15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排名</w:t>
            </w:r>
          </w:p>
        </w:tc>
        <w:tc>
          <w:tcPr/>
          <w:p>
            <w:pPr>
              <w:pStyle w:val="Compact"/>
            </w:pPr>
            <w:r>
              <w:rPr>
                <w:rFonts w:hint="eastAsia"/>
              </w:rPr>
              <w:t xml:space="preserve">工具</w:t>
            </w:r>
          </w:p>
        </w:tc>
        <w:tc>
          <w:tcPr/>
          <w:p>
            <w:pPr>
              <w:pStyle w:val="Compact"/>
            </w:pPr>
            <w:r>
              <w:rPr>
                <w:rFonts w:hint="eastAsia"/>
              </w:rPr>
              <w:t xml:space="preserve">频次</w:t>
            </w:r>
          </w:p>
        </w:tc>
        <w:tc>
          <w:tcPr/>
          <w:p>
            <w:pPr>
              <w:pStyle w:val="Compact"/>
            </w:pPr>
            <w:r>
              <w:rPr>
                <w:rFonts w:hint="eastAsia"/>
              </w:rPr>
              <w:t xml:space="preserve">类型</w:t>
            </w:r>
          </w:p>
        </w:tc>
      </w:tr>
      <w:tr>
        <w:tc>
          <w:tcPr/>
          <w:p>
            <w:pPr>
              <w:pStyle w:val="Compact"/>
            </w:pPr>
            <w:r>
              <w:t xml:space="preserve">1</w:t>
            </w:r>
          </w:p>
        </w:tc>
        <w:tc>
          <w:tcPr/>
          <w:p>
            <w:pPr>
              <w:pStyle w:val="Compact"/>
            </w:pPr>
            <w:r>
              <w:t xml:space="preserve">CAD</w:t>
            </w:r>
          </w:p>
        </w:tc>
        <w:tc>
          <w:tcPr/>
          <w:p>
            <w:pPr>
              <w:pStyle w:val="Compact"/>
            </w:pPr>
            <w:r>
              <w:t xml:space="preserve">803</w:t>
            </w:r>
          </w:p>
        </w:tc>
        <w:tc>
          <w:tcPr/>
          <w:p>
            <w:pPr>
              <w:pStyle w:val="Compact"/>
            </w:pPr>
            <w:r>
              <w:rPr>
                <w:rFonts w:hint="eastAsia"/>
              </w:rPr>
              <w:t xml:space="preserve">工程设计</w:t>
            </w:r>
          </w:p>
        </w:tc>
      </w:tr>
      <w:tr>
        <w:tc>
          <w:tcPr/>
          <w:p>
            <w:pPr>
              <w:pStyle w:val="Compact"/>
            </w:pPr>
            <w:r>
              <w:t xml:space="preserve">2</w:t>
            </w:r>
          </w:p>
        </w:tc>
        <w:tc>
          <w:tcPr/>
          <w:p>
            <w:pPr>
              <w:pStyle w:val="Compact"/>
            </w:pPr>
            <w:r>
              <w:t xml:space="preserve">ERP</w:t>
            </w:r>
          </w:p>
        </w:tc>
        <w:tc>
          <w:tcPr/>
          <w:p>
            <w:pPr>
              <w:pStyle w:val="Compact"/>
            </w:pPr>
            <w:r>
              <w:t xml:space="preserve">732</w:t>
            </w:r>
          </w:p>
        </w:tc>
        <w:tc>
          <w:tcPr/>
          <w:p>
            <w:pPr>
              <w:pStyle w:val="Compact"/>
            </w:pPr>
            <w:r>
              <w:rPr>
                <w:rFonts w:hint="eastAsia"/>
              </w:rPr>
              <w:t xml:space="preserve">企业管理</w:t>
            </w:r>
          </w:p>
        </w:tc>
      </w:tr>
      <w:tr>
        <w:tc>
          <w:tcPr/>
          <w:p>
            <w:pPr>
              <w:pStyle w:val="Compact"/>
            </w:pPr>
            <w:r>
              <w:t xml:space="preserve">3</w:t>
            </w:r>
          </w:p>
        </w:tc>
        <w:tc>
          <w:tcPr/>
          <w:p>
            <w:pPr>
              <w:pStyle w:val="Compact"/>
            </w:pPr>
            <w:r>
              <w:t xml:space="preserve">Excel</w:t>
            </w:r>
          </w:p>
        </w:tc>
        <w:tc>
          <w:tcPr/>
          <w:p>
            <w:pPr>
              <w:pStyle w:val="Compact"/>
            </w:pPr>
            <w:r>
              <w:t xml:space="preserve">718</w:t>
            </w:r>
          </w:p>
        </w:tc>
        <w:tc>
          <w:tcPr/>
          <w:p>
            <w:pPr>
              <w:pStyle w:val="Compact"/>
            </w:pPr>
            <w:r>
              <w:rPr>
                <w:rFonts w:hint="eastAsia"/>
              </w:rPr>
              <w:t xml:space="preserve">办公工具</w:t>
            </w:r>
          </w:p>
        </w:tc>
      </w:tr>
      <w:tr>
        <w:tc>
          <w:tcPr/>
          <w:p>
            <w:pPr>
              <w:pStyle w:val="Compact"/>
            </w:pPr>
            <w:r>
              <w:t xml:space="preserve">4</w:t>
            </w:r>
          </w:p>
        </w:tc>
        <w:tc>
          <w:tcPr/>
          <w:p>
            <w:pPr>
              <w:pStyle w:val="Compact"/>
            </w:pPr>
            <w:r>
              <w:t xml:space="preserve">Office</w:t>
            </w:r>
          </w:p>
        </w:tc>
        <w:tc>
          <w:tcPr/>
          <w:p>
            <w:pPr>
              <w:pStyle w:val="Compact"/>
            </w:pPr>
            <w:r>
              <w:t xml:space="preserve">608</w:t>
            </w:r>
          </w:p>
        </w:tc>
        <w:tc>
          <w:tcPr/>
          <w:p>
            <w:pPr>
              <w:pStyle w:val="Compact"/>
            </w:pPr>
            <w:r>
              <w:rPr>
                <w:rFonts w:hint="eastAsia"/>
              </w:rPr>
              <w:t xml:space="preserve">办公工具</w:t>
            </w:r>
          </w:p>
        </w:tc>
      </w:tr>
      <w:tr>
        <w:tc>
          <w:tcPr/>
          <w:p>
            <w:pPr>
              <w:pStyle w:val="Compact"/>
            </w:pPr>
            <w:r>
              <w:t xml:space="preserve">5</w:t>
            </w:r>
          </w:p>
        </w:tc>
        <w:tc>
          <w:tcPr/>
          <w:p>
            <w:pPr>
              <w:pStyle w:val="Compact"/>
            </w:pPr>
            <w:r>
              <w:t xml:space="preserve">C++</w:t>
            </w:r>
          </w:p>
        </w:tc>
        <w:tc>
          <w:tcPr/>
          <w:p>
            <w:pPr>
              <w:pStyle w:val="Compact"/>
            </w:pPr>
            <w:r>
              <w:t xml:space="preserve">574</w:t>
            </w:r>
          </w:p>
        </w:tc>
        <w:tc>
          <w:tcPr/>
          <w:p>
            <w:pPr>
              <w:pStyle w:val="Compact"/>
            </w:pPr>
            <w:r>
              <w:rPr>
                <w:rFonts w:hint="eastAsia"/>
              </w:rPr>
              <w:t xml:space="preserve">编程语言</w:t>
            </w:r>
          </w:p>
        </w:tc>
      </w:tr>
      <w:tr>
        <w:tc>
          <w:tcPr/>
          <w:p>
            <w:pPr>
              <w:pStyle w:val="Compact"/>
            </w:pPr>
            <w:r>
              <w:t xml:space="preserve">6</w:t>
            </w:r>
          </w:p>
        </w:tc>
        <w:tc>
          <w:tcPr/>
          <w:p>
            <w:pPr>
              <w:pStyle w:val="Compact"/>
            </w:pPr>
            <w:r>
              <w:t xml:space="preserve">Word</w:t>
            </w:r>
          </w:p>
        </w:tc>
        <w:tc>
          <w:tcPr/>
          <w:p>
            <w:pPr>
              <w:pStyle w:val="Compact"/>
            </w:pPr>
            <w:r>
              <w:t xml:space="preserve">441</w:t>
            </w:r>
          </w:p>
        </w:tc>
        <w:tc>
          <w:tcPr/>
          <w:p>
            <w:pPr>
              <w:pStyle w:val="Compact"/>
            </w:pPr>
            <w:r>
              <w:rPr>
                <w:rFonts w:hint="eastAsia"/>
              </w:rPr>
              <w:t xml:space="preserve">办公工具</w:t>
            </w:r>
          </w:p>
        </w:tc>
      </w:tr>
      <w:tr>
        <w:tc>
          <w:tcPr/>
          <w:p>
            <w:pPr>
              <w:pStyle w:val="Compact"/>
            </w:pPr>
            <w:r>
              <w:t xml:space="preserve">7</w:t>
            </w:r>
          </w:p>
        </w:tc>
        <w:tc>
          <w:tcPr/>
          <w:p>
            <w:pPr>
              <w:pStyle w:val="Compact"/>
            </w:pPr>
            <w:r>
              <w:t xml:space="preserve">C</w:t>
            </w:r>
          </w:p>
        </w:tc>
        <w:tc>
          <w:tcPr/>
          <w:p>
            <w:pPr>
              <w:pStyle w:val="Compact"/>
            </w:pPr>
            <w:r>
              <w:t xml:space="preserve">433</w:t>
            </w:r>
          </w:p>
        </w:tc>
        <w:tc>
          <w:tcPr/>
          <w:p>
            <w:pPr>
              <w:pStyle w:val="Compact"/>
            </w:pPr>
            <w:r>
              <w:rPr>
                <w:rFonts w:hint="eastAsia"/>
              </w:rPr>
              <w:t xml:space="preserve">编程语言</w:t>
            </w:r>
          </w:p>
        </w:tc>
      </w:tr>
      <w:tr>
        <w:tc>
          <w:tcPr/>
          <w:p>
            <w:pPr>
              <w:pStyle w:val="Compact"/>
            </w:pPr>
            <w:r>
              <w:t xml:space="preserve">8</w:t>
            </w:r>
          </w:p>
        </w:tc>
        <w:tc>
          <w:tcPr/>
          <w:p>
            <w:pPr>
              <w:pStyle w:val="Compact"/>
            </w:pPr>
            <w:r>
              <w:t xml:space="preserve">Linux</w:t>
            </w:r>
          </w:p>
        </w:tc>
        <w:tc>
          <w:tcPr/>
          <w:p>
            <w:pPr>
              <w:pStyle w:val="Compact"/>
            </w:pPr>
            <w:r>
              <w:t xml:space="preserve">418</w:t>
            </w:r>
          </w:p>
        </w:tc>
        <w:tc>
          <w:tcPr/>
          <w:p>
            <w:pPr>
              <w:pStyle w:val="Compact"/>
            </w:pPr>
            <w:r>
              <w:rPr>
                <w:rFonts w:hint="eastAsia"/>
              </w:rPr>
              <w:t xml:space="preserve">操作系统</w:t>
            </w:r>
          </w:p>
        </w:tc>
      </w:tr>
      <w:tr>
        <w:tc>
          <w:tcPr/>
          <w:p>
            <w:pPr>
              <w:pStyle w:val="Compact"/>
            </w:pPr>
            <w:r>
              <w:t xml:space="preserve">9</w:t>
            </w:r>
          </w:p>
        </w:tc>
        <w:tc>
          <w:tcPr/>
          <w:p>
            <w:pPr>
              <w:pStyle w:val="Compact"/>
            </w:pPr>
            <w:r>
              <w:t xml:space="preserve">SolidWorks</w:t>
            </w:r>
          </w:p>
        </w:tc>
        <w:tc>
          <w:tcPr/>
          <w:p>
            <w:pPr>
              <w:pStyle w:val="Compact"/>
            </w:pPr>
            <w:r>
              <w:t xml:space="preserve">392</w:t>
            </w:r>
          </w:p>
        </w:tc>
        <w:tc>
          <w:tcPr/>
          <w:p>
            <w:pPr>
              <w:pStyle w:val="Compact"/>
            </w:pPr>
            <w:r>
              <w:rPr>
                <w:rFonts w:hint="eastAsia"/>
              </w:rPr>
              <w:t xml:space="preserve">工程设计</w:t>
            </w:r>
          </w:p>
        </w:tc>
      </w:tr>
      <w:tr>
        <w:tc>
          <w:tcPr/>
          <w:p>
            <w:pPr>
              <w:pStyle w:val="Compact"/>
            </w:pPr>
            <w:r>
              <w:t xml:space="preserve">10</w:t>
            </w:r>
          </w:p>
        </w:tc>
        <w:tc>
          <w:tcPr/>
          <w:p>
            <w:pPr>
              <w:pStyle w:val="Compact"/>
            </w:pPr>
            <w:r>
              <w:t xml:space="preserve">PPT</w:t>
            </w:r>
          </w:p>
        </w:tc>
        <w:tc>
          <w:tcPr/>
          <w:p>
            <w:pPr>
              <w:pStyle w:val="Compact"/>
            </w:pPr>
            <w:r>
              <w:t xml:space="preserve">343</w:t>
            </w:r>
          </w:p>
        </w:tc>
        <w:tc>
          <w:tcPr/>
          <w:p>
            <w:pPr>
              <w:pStyle w:val="Compact"/>
            </w:pPr>
            <w:r>
              <w:rPr>
                <w:rFonts w:hint="eastAsia"/>
              </w:rPr>
              <w:t xml:space="preserve">办公工具</w:t>
            </w:r>
          </w:p>
        </w:tc>
      </w:tr>
      <w:tr>
        <w:tc>
          <w:tcPr/>
          <w:p>
            <w:pPr>
              <w:pStyle w:val="Compact"/>
            </w:pPr>
            <w:r>
              <w:t xml:space="preserve">11</w:t>
            </w:r>
          </w:p>
        </w:tc>
        <w:tc>
          <w:tcPr/>
          <w:p>
            <w:pPr>
              <w:pStyle w:val="Compact"/>
            </w:pPr>
            <w:r>
              <w:t xml:space="preserve">PLC</w:t>
            </w:r>
          </w:p>
        </w:tc>
        <w:tc>
          <w:tcPr/>
          <w:p>
            <w:pPr>
              <w:pStyle w:val="Compact"/>
            </w:pPr>
            <w:r>
              <w:t xml:space="preserve">291</w:t>
            </w:r>
          </w:p>
        </w:tc>
        <w:tc>
          <w:tcPr/>
          <w:p>
            <w:pPr>
              <w:pStyle w:val="Compact"/>
            </w:pPr>
            <w:r>
              <w:rPr>
                <w:rFonts w:hint="eastAsia"/>
              </w:rPr>
              <w:t xml:space="preserve">工业控制</w:t>
            </w:r>
          </w:p>
        </w:tc>
      </w:tr>
      <w:tr>
        <w:tc>
          <w:tcPr/>
          <w:p>
            <w:pPr>
              <w:pStyle w:val="Compact"/>
            </w:pPr>
            <w:r>
              <w:t xml:space="preserve">12</w:t>
            </w:r>
          </w:p>
        </w:tc>
        <w:tc>
          <w:tcPr/>
          <w:p>
            <w:pPr>
              <w:pStyle w:val="Compact"/>
            </w:pPr>
            <w:r>
              <w:t xml:space="preserve">AutoCAD</w:t>
            </w:r>
          </w:p>
        </w:tc>
        <w:tc>
          <w:tcPr/>
          <w:p>
            <w:pPr>
              <w:pStyle w:val="Compact"/>
            </w:pPr>
            <w:r>
              <w:t xml:space="preserve">331</w:t>
            </w:r>
          </w:p>
        </w:tc>
        <w:tc>
          <w:tcPr/>
          <w:p>
            <w:pPr>
              <w:pStyle w:val="Compact"/>
            </w:pPr>
            <w:r>
              <w:rPr>
                <w:rFonts w:hint="eastAsia"/>
              </w:rPr>
              <w:t xml:space="preserve">工程设计</w:t>
            </w:r>
          </w:p>
        </w:tc>
      </w:tr>
      <w:tr>
        <w:tc>
          <w:tcPr/>
          <w:p>
            <w:pPr>
              <w:pStyle w:val="Compact"/>
            </w:pPr>
            <w:r>
              <w:t xml:space="preserve">13</w:t>
            </w:r>
          </w:p>
        </w:tc>
        <w:tc>
          <w:tcPr/>
          <w:p>
            <w:pPr>
              <w:pStyle w:val="Compact"/>
            </w:pPr>
            <w:r>
              <w:t xml:space="preserve">Java</w:t>
            </w:r>
          </w:p>
        </w:tc>
        <w:tc>
          <w:tcPr/>
          <w:p>
            <w:pPr>
              <w:pStyle w:val="Compact"/>
            </w:pPr>
            <w:r>
              <w:t xml:space="preserve">249</w:t>
            </w:r>
          </w:p>
        </w:tc>
        <w:tc>
          <w:tcPr/>
          <w:p>
            <w:pPr>
              <w:pStyle w:val="Compact"/>
            </w:pPr>
            <w:r>
              <w:rPr>
                <w:rFonts w:hint="eastAsia"/>
              </w:rPr>
              <w:t xml:space="preserve">编程语言</w:t>
            </w:r>
          </w:p>
        </w:tc>
      </w:tr>
      <w:tr>
        <w:tc>
          <w:tcPr/>
          <w:p>
            <w:pPr>
              <w:pStyle w:val="Compact"/>
            </w:pPr>
            <w:r>
              <w:t xml:space="preserve">14</w:t>
            </w:r>
          </w:p>
        </w:tc>
        <w:tc>
          <w:tcPr/>
          <w:p>
            <w:pPr>
              <w:pStyle w:val="Compact"/>
            </w:pPr>
            <w:r>
              <w:rPr>
                <w:rFonts w:hint="eastAsia"/>
              </w:rPr>
              <w:t xml:space="preserve">万用表</w:t>
            </w:r>
          </w:p>
        </w:tc>
        <w:tc>
          <w:tcPr/>
          <w:p>
            <w:pPr>
              <w:pStyle w:val="Compact"/>
            </w:pPr>
            <w:r>
              <w:t xml:space="preserve">227</w:t>
            </w:r>
          </w:p>
        </w:tc>
        <w:tc>
          <w:tcPr/>
          <w:p>
            <w:pPr>
              <w:pStyle w:val="Compact"/>
            </w:pPr>
            <w:r>
              <w:rPr>
                <w:rFonts w:hint="eastAsia"/>
              </w:rPr>
              <w:t xml:space="preserve">电子仪器</w:t>
            </w:r>
          </w:p>
        </w:tc>
      </w:tr>
      <w:tr>
        <w:tc>
          <w:tcPr/>
          <w:p>
            <w:pPr>
              <w:pStyle w:val="Compact"/>
            </w:pPr>
            <w:r>
              <w:t xml:space="preserve">15</w:t>
            </w:r>
          </w:p>
        </w:tc>
        <w:tc>
          <w:tcPr/>
          <w:p>
            <w:pPr>
              <w:pStyle w:val="Compact"/>
            </w:pPr>
            <w:r>
              <w:t xml:space="preserve">Python</w:t>
            </w:r>
          </w:p>
        </w:tc>
        <w:tc>
          <w:tcPr/>
          <w:p>
            <w:pPr>
              <w:pStyle w:val="Compact"/>
            </w:pPr>
            <w:r>
              <w:t xml:space="preserve">201</w:t>
            </w:r>
          </w:p>
        </w:tc>
        <w:tc>
          <w:tcPr/>
          <w:p>
            <w:pPr>
              <w:pStyle w:val="Compact"/>
            </w:pPr>
            <w:r>
              <w:rPr>
                <w:rFonts w:hint="eastAsia"/>
              </w:rPr>
              <w:t xml:space="preserve">编程语言</w:t>
            </w:r>
          </w:p>
        </w:tc>
      </w:tr>
    </w:tbl>
    <w:p>
      <w:pPr>
        <w:pStyle w:val="BodyText"/>
      </w:pPr>
      <w:r>
        <w:rPr>
          <w:rFonts w:hint="eastAsia"/>
        </w:rPr>
        <w:t xml:space="preserve">三类工具并列主导：（1）</w:t>
      </w:r>
      <w:r>
        <w:rPr>
          <w:rFonts w:hint="eastAsia"/>
          <w:b/>
          <w:bCs/>
        </w:rPr>
        <w:t xml:space="preserve">工程设计工具</w:t>
      </w:r>
      <w:r>
        <w:rPr>
          <w:rFonts w:hint="eastAsia"/>
        </w:rPr>
        <w:t xml:space="preserve">（CAD系列803+392+331次）印证制造业主体属性；（2）</w:t>
      </w:r>
      <w:r>
        <w:rPr>
          <w:rFonts w:hint="eastAsia"/>
          <w:b/>
          <w:bCs/>
        </w:rPr>
        <w:t xml:space="preserve">C/C++嵌入式编程</w:t>
      </w:r>
      <w:r>
        <w:rPr>
          <w:rFonts w:hint="eastAsia"/>
        </w:rPr>
        <w:t xml:space="preserve">（合计1,007次）是专精特新企业最高频编程方向，远超Python（201次）；（3）</w:t>
      </w:r>
      <w:r>
        <w:rPr>
          <w:rFonts w:hint="eastAsia"/>
          <w:b/>
          <w:bCs/>
        </w:rPr>
        <w:t xml:space="preserve">企业管理工具ERP</w:t>
      </w:r>
      <w:r>
        <w:rPr>
          <w:rFonts w:hint="eastAsia"/>
        </w:rPr>
        <w:t xml:space="preserve">（732次）位居第二，是被系统性低估的大专可及技能。值得关注的是，TensorFlow、PyTorch等AI/ML框架尚未进入前20名，与数字化评分中AI相关性仅8.6分的发现高度一致（见Figures/v3/fig38_tools_category_heatmap.png</w:t>
      </w:r>
      <w:r>
        <w:t xml:space="preserve"> / </w:t>
      </w:r>
      <w:r>
        <w:rPr>
          <w:rFonts w:hint="eastAsia"/>
        </w:rPr>
        <w:t xml:space="preserve">Figures/v3/fig39_tools_trend.png）。</w:t>
      </w:r>
    </w:p>
    <w:bookmarkEnd w:id="27"/>
    <w:bookmarkStart w:id="28" w:name="六学历要求演变结构性倒置大专空间持续收窄"/>
    <w:p>
      <w:pPr>
        <w:pStyle w:val="Heading2"/>
      </w:pPr>
      <w:r>
        <w:rPr>
          <w:rFonts w:hint="eastAsia"/>
        </w:rPr>
        <w:t xml:space="preserve">（六）学历要求演变：结构性倒置，大专空间持续收窄</w:t>
      </w:r>
    </w:p>
    <w:p>
      <w:pPr>
        <w:pStyle w:val="FirstParagraph"/>
      </w:pPr>
      <w:r>
        <w:rPr>
          <w:rFonts w:hint="eastAsia"/>
        </w:rPr>
        <w:t xml:space="preserve">在学历要求方面，本研究观察到对职业教育政策具有重要含义的结构性变化（见Figures/v3/fig24_edu_trend_area.png）：本科学历要求占比由2016年的35.6%持续上升至2024年的</w:t>
      </w:r>
      <w:r>
        <w:rPr>
          <w:b/>
          <w:bCs/>
        </w:rPr>
        <w:t xml:space="preserve">47.4%</w:t>
      </w:r>
      <w:r>
        <w:rPr>
          <w:rFonts w:hint="eastAsia"/>
        </w:rPr>
        <w:t xml:space="preserve">，累计上升11.8个百分点；大专占比由42.3%下降至</w:t>
      </w:r>
      <w:r>
        <w:rPr>
          <w:b/>
          <w:bCs/>
        </w:rPr>
        <w:t xml:space="preserve">34.6%</w:t>
      </w:r>
      <w:r>
        <w:rPr>
          <w:rFonts w:hint="eastAsia"/>
        </w:rPr>
        <w:t xml:space="preserve">，累计下降7.7个百分点。2016年大专是占比最高的学历层次；到2024年，本科首次超越大专成为最主要的学历要求。</w:t>
      </w:r>
    </w:p>
    <w:p>
      <w:pPr>
        <w:pStyle w:val="BodyText"/>
      </w:pPr>
      <w:r>
        <w:rPr>
          <w:rFonts w:hint="eastAsia"/>
        </w:rPr>
        <w:t xml:space="preserve">大专友好性因类别而异。IT基础设施子方向大专占比40%，增速+257%；数据/AI/算法子方向大专仅占5%，中位薪资22,500元（见Figures/v3/fig28_it_subcategory_edu.png）。这一分化意味着：不同岗位方向对职业院校毕业生的可及性差异显著，精准对接比粗放竞争更具战略价值。</w:t>
      </w:r>
    </w:p>
    <w:bookmarkEnd w:id="28"/>
    <w:bookmarkStart w:id="29" w:name="七软技能需求沟通协调绝对主导历年稳定"/>
    <w:p>
      <w:pPr>
        <w:pStyle w:val="Heading2"/>
      </w:pPr>
      <w:r>
        <w:rPr>
          <w:rFonts w:hint="eastAsia"/>
        </w:rPr>
        <w:t xml:space="preserve">（七）软技能需求：沟通协调绝对主导，历年稳定</w:t>
      </w:r>
    </w:p>
    <w:p>
      <w:pPr>
        <w:pStyle w:val="FirstParagraph"/>
      </w:pPr>
      <w:r>
        <w:rPr>
          <w:rFonts w:hint="eastAsia"/>
        </w:rPr>
        <w:t xml:space="preserve">在22,022条职位描述中，共提取58,519条次软技能记录，覆盖率75.9%（16,714条记录含至少1项软技能）。软技能种类达2,447种，体现企业需求表达的高度个性化。经标准化后，Top10软技能如下（见Figures/v3/fig29_soft_skills_top20.png）：</w:t>
      </w:r>
    </w:p>
    <w:p>
      <w:pPr>
        <w:pStyle w:val="BodyText"/>
      </w:pPr>
      <w:r>
        <w:rPr>
          <w:rFonts w:hint="eastAsia"/>
          <w:b/>
          <w:bCs/>
        </w:rPr>
        <w:t xml:space="preserve">表4</w:t>
      </w:r>
      <w:r>
        <w:rPr>
          <w:b/>
          <w:bCs/>
        </w:rPr>
        <w:t xml:space="preserve"> </w:t>
      </w:r>
      <w:r>
        <w:rPr>
          <w:rFonts w:hint="eastAsia"/>
          <w:b/>
          <w:bCs/>
        </w:rPr>
        <w:t xml:space="preserve">软技能需求Top10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排名</w:t>
            </w:r>
          </w:p>
        </w:tc>
        <w:tc>
          <w:tcPr/>
          <w:p>
            <w:pPr>
              <w:pStyle w:val="Compact"/>
            </w:pPr>
            <w:r>
              <w:rPr>
                <w:rFonts w:hint="eastAsia"/>
              </w:rPr>
              <w:t xml:space="preserve">软技能</w:t>
            </w:r>
          </w:p>
        </w:tc>
        <w:tc>
          <w:tcPr/>
          <w:p>
            <w:pPr>
              <w:pStyle w:val="Compact"/>
            </w:pPr>
            <w:r>
              <w:rPr>
                <w:rFonts w:hint="eastAsia"/>
              </w:rPr>
              <w:t xml:space="preserve">出现频次</w:t>
            </w:r>
          </w:p>
        </w:tc>
        <w:tc>
          <w:tcPr/>
          <w:p>
            <w:pPr>
              <w:pStyle w:val="Compact"/>
            </w:pPr>
            <w:r>
              <w:rPr>
                <w:rFonts w:hint="eastAsia"/>
              </w:rPr>
              <w:t xml:space="preserve">每千条出现率</w:t>
            </w:r>
          </w:p>
        </w:tc>
      </w:tr>
      <w:tr>
        <w:tc>
          <w:tcPr/>
          <w:p>
            <w:pPr>
              <w:pStyle w:val="Compact"/>
            </w:pPr>
            <w:r>
              <w:t xml:space="preserve">1</w:t>
            </w:r>
          </w:p>
        </w:tc>
        <w:tc>
          <w:tcPr/>
          <w:p>
            <w:pPr>
              <w:pStyle w:val="Compact"/>
            </w:pPr>
            <w:r>
              <w:rPr>
                <w:rFonts w:hint="eastAsia"/>
              </w:rPr>
              <w:t xml:space="preserve">沟通协调</w:t>
            </w:r>
          </w:p>
        </w:tc>
        <w:tc>
          <w:tcPr/>
          <w:p>
            <w:pPr>
              <w:pStyle w:val="Compact"/>
            </w:pPr>
            <w:r>
              <w:t xml:space="preserve">9,537</w:t>
            </w:r>
          </w:p>
        </w:tc>
        <w:tc>
          <w:tcPr/>
          <w:p>
            <w:pPr>
              <w:pStyle w:val="Compact"/>
            </w:pPr>
            <w:r>
              <w:t xml:space="preserve">433</w:t>
            </w:r>
          </w:p>
        </w:tc>
      </w:tr>
      <w:tr>
        <w:tc>
          <w:tcPr/>
          <w:p>
            <w:pPr>
              <w:pStyle w:val="Compact"/>
            </w:pPr>
            <w:r>
              <w:t xml:space="preserve">2</w:t>
            </w:r>
          </w:p>
        </w:tc>
        <w:tc>
          <w:tcPr/>
          <w:p>
            <w:pPr>
              <w:pStyle w:val="Compact"/>
            </w:pPr>
            <w:r>
              <w:rPr>
                <w:rFonts w:hint="eastAsia"/>
              </w:rPr>
              <w:t xml:space="preserve">责任心</w:t>
            </w:r>
          </w:p>
        </w:tc>
        <w:tc>
          <w:tcPr/>
          <w:p>
            <w:pPr>
              <w:pStyle w:val="Compact"/>
            </w:pPr>
            <w:r>
              <w:t xml:space="preserve">4,468</w:t>
            </w:r>
          </w:p>
        </w:tc>
        <w:tc>
          <w:tcPr/>
          <w:p>
            <w:pPr>
              <w:pStyle w:val="Compact"/>
            </w:pPr>
            <w:r>
              <w:t xml:space="preserve">203</w:t>
            </w:r>
          </w:p>
        </w:tc>
      </w:tr>
      <w:tr>
        <w:tc>
          <w:tcPr/>
          <w:p>
            <w:pPr>
              <w:pStyle w:val="Compact"/>
            </w:pPr>
            <w:r>
              <w:t xml:space="preserve">3</w:t>
            </w:r>
          </w:p>
        </w:tc>
        <w:tc>
          <w:tcPr/>
          <w:p>
            <w:pPr>
              <w:pStyle w:val="Compact"/>
            </w:pPr>
            <w:r>
              <w:rPr>
                <w:rFonts w:hint="eastAsia"/>
              </w:rPr>
              <w:t xml:space="preserve">抗压能力</w:t>
            </w:r>
          </w:p>
        </w:tc>
        <w:tc>
          <w:tcPr/>
          <w:p>
            <w:pPr>
              <w:pStyle w:val="Compact"/>
            </w:pPr>
            <w:r>
              <w:t xml:space="preserve">2,896</w:t>
            </w:r>
          </w:p>
        </w:tc>
        <w:tc>
          <w:tcPr/>
          <w:p>
            <w:pPr>
              <w:pStyle w:val="Compact"/>
            </w:pPr>
            <w:r>
              <w:t xml:space="preserve">132</w:t>
            </w:r>
          </w:p>
        </w:tc>
      </w:tr>
      <w:tr>
        <w:tc>
          <w:tcPr/>
          <w:p>
            <w:pPr>
              <w:pStyle w:val="Compact"/>
            </w:pPr>
            <w:r>
              <w:t xml:space="preserve">4</w:t>
            </w:r>
          </w:p>
        </w:tc>
        <w:tc>
          <w:tcPr/>
          <w:p>
            <w:pPr>
              <w:pStyle w:val="Compact"/>
            </w:pPr>
            <w:r>
              <w:rPr>
                <w:rFonts w:hint="eastAsia"/>
              </w:rPr>
              <w:t xml:space="preserve">学习能力</w:t>
            </w:r>
          </w:p>
        </w:tc>
        <w:tc>
          <w:tcPr/>
          <w:p>
            <w:pPr>
              <w:pStyle w:val="Compact"/>
            </w:pPr>
            <w:r>
              <w:t xml:space="preserve">2,675</w:t>
            </w:r>
          </w:p>
        </w:tc>
        <w:tc>
          <w:tcPr/>
          <w:p>
            <w:pPr>
              <w:pStyle w:val="Compact"/>
            </w:pPr>
            <w:r>
              <w:t xml:space="preserve">122</w:t>
            </w:r>
          </w:p>
        </w:tc>
      </w:tr>
      <w:tr>
        <w:tc>
          <w:tcPr/>
          <w:p>
            <w:pPr>
              <w:pStyle w:val="Compact"/>
            </w:pPr>
            <w:r>
              <w:t xml:space="preserve">5</w:t>
            </w:r>
          </w:p>
        </w:tc>
        <w:tc>
          <w:tcPr/>
          <w:p>
            <w:pPr>
              <w:pStyle w:val="Compact"/>
            </w:pPr>
            <w:r>
              <w:rPr>
                <w:rFonts w:hint="eastAsia"/>
              </w:rPr>
              <w:t xml:space="preserve">团队协作</w:t>
            </w:r>
          </w:p>
        </w:tc>
        <w:tc>
          <w:tcPr/>
          <w:p>
            <w:pPr>
              <w:pStyle w:val="Compact"/>
            </w:pPr>
            <w:r>
              <w:t xml:space="preserve">2,037</w:t>
            </w:r>
          </w:p>
        </w:tc>
        <w:tc>
          <w:tcPr/>
          <w:p>
            <w:pPr>
              <w:pStyle w:val="Compact"/>
            </w:pPr>
            <w:r>
              <w:t xml:space="preserve">93</w:t>
            </w:r>
          </w:p>
        </w:tc>
      </w:tr>
      <w:tr>
        <w:tc>
          <w:tcPr/>
          <w:p>
            <w:pPr>
              <w:pStyle w:val="Compact"/>
            </w:pPr>
            <w:r>
              <w:t xml:space="preserve">6</w:t>
            </w:r>
          </w:p>
        </w:tc>
        <w:tc>
          <w:tcPr/>
          <w:p>
            <w:pPr>
              <w:pStyle w:val="Compact"/>
            </w:pPr>
            <w:r>
              <w:rPr>
                <w:rFonts w:hint="eastAsia"/>
              </w:rPr>
              <w:t xml:space="preserve">执行力</w:t>
            </w:r>
          </w:p>
        </w:tc>
        <w:tc>
          <w:tcPr/>
          <w:p>
            <w:pPr>
              <w:pStyle w:val="Compact"/>
            </w:pPr>
            <w:r>
              <w:t xml:space="preserve">1,664</w:t>
            </w:r>
          </w:p>
        </w:tc>
        <w:tc>
          <w:tcPr/>
          <w:p>
            <w:pPr>
              <w:pStyle w:val="Compact"/>
            </w:pPr>
            <w:r>
              <w:t xml:space="preserve">76</w:t>
            </w:r>
          </w:p>
        </w:tc>
      </w:tr>
      <w:tr>
        <w:tc>
          <w:tcPr/>
          <w:p>
            <w:pPr>
              <w:pStyle w:val="Compact"/>
            </w:pPr>
            <w:r>
              <w:t xml:space="preserve">7</w:t>
            </w:r>
          </w:p>
        </w:tc>
        <w:tc>
          <w:tcPr/>
          <w:p>
            <w:pPr>
              <w:pStyle w:val="Compact"/>
            </w:pPr>
            <w:r>
              <w:rPr>
                <w:rFonts w:hint="eastAsia"/>
              </w:rPr>
              <w:t xml:space="preserve">问题解决</w:t>
            </w:r>
          </w:p>
        </w:tc>
        <w:tc>
          <w:tcPr/>
          <w:p>
            <w:pPr>
              <w:pStyle w:val="Compact"/>
            </w:pPr>
            <w:r>
              <w:t xml:space="preserve">1,488</w:t>
            </w:r>
          </w:p>
        </w:tc>
        <w:tc>
          <w:tcPr/>
          <w:p>
            <w:pPr>
              <w:pStyle w:val="Compact"/>
            </w:pPr>
            <w:r>
              <w:t xml:space="preserve">68</w:t>
            </w:r>
          </w:p>
        </w:tc>
      </w:tr>
      <w:tr>
        <w:tc>
          <w:tcPr/>
          <w:p>
            <w:pPr>
              <w:pStyle w:val="Compact"/>
            </w:pPr>
            <w:r>
              <w:t xml:space="preserve">8</w:t>
            </w:r>
          </w:p>
        </w:tc>
        <w:tc>
          <w:tcPr/>
          <w:p>
            <w:pPr>
              <w:pStyle w:val="Compact"/>
            </w:pPr>
            <w:r>
              <w:rPr>
                <w:rFonts w:hint="eastAsia"/>
              </w:rPr>
              <w:t xml:space="preserve">细心严谨</w:t>
            </w:r>
          </w:p>
        </w:tc>
        <w:tc>
          <w:tcPr/>
          <w:p>
            <w:pPr>
              <w:pStyle w:val="Compact"/>
            </w:pPr>
            <w:r>
              <w:t xml:space="preserve">1,368</w:t>
            </w:r>
          </w:p>
        </w:tc>
        <w:tc>
          <w:tcPr/>
          <w:p>
            <w:pPr>
              <w:pStyle w:val="Compact"/>
            </w:pPr>
            <w:r>
              <w:t xml:space="preserve">62</w:t>
            </w:r>
          </w:p>
        </w:tc>
      </w:tr>
      <w:tr>
        <w:tc>
          <w:tcPr/>
          <w:p>
            <w:pPr>
              <w:pStyle w:val="Compact"/>
            </w:pPr>
            <w:r>
              <w:t xml:space="preserve">9</w:t>
            </w:r>
          </w:p>
        </w:tc>
        <w:tc>
          <w:tcPr/>
          <w:p>
            <w:pPr>
              <w:pStyle w:val="Compact"/>
            </w:pPr>
            <w:r>
              <w:rPr>
                <w:rFonts w:hint="eastAsia"/>
              </w:rPr>
              <w:t xml:space="preserve">服务意识</w:t>
            </w:r>
          </w:p>
        </w:tc>
        <w:tc>
          <w:tcPr/>
          <w:p>
            <w:pPr>
              <w:pStyle w:val="Compact"/>
            </w:pPr>
            <w:r>
              <w:t xml:space="preserve">1,306</w:t>
            </w:r>
          </w:p>
        </w:tc>
        <w:tc>
          <w:tcPr/>
          <w:p>
            <w:pPr>
              <w:pStyle w:val="Compact"/>
            </w:pPr>
            <w:r>
              <w:t xml:space="preserve">59</w:t>
            </w:r>
          </w:p>
        </w:tc>
      </w:tr>
      <w:tr>
        <w:tc>
          <w:tcPr/>
          <w:p>
            <w:pPr>
              <w:pStyle w:val="Compact"/>
            </w:pPr>
            <w:r>
              <w:t xml:space="preserve">10</w:t>
            </w:r>
          </w:p>
        </w:tc>
        <w:tc>
          <w:tcPr/>
          <w:p>
            <w:pPr>
              <w:pStyle w:val="Compact"/>
            </w:pPr>
            <w:r>
              <w:rPr>
                <w:rFonts w:hint="eastAsia"/>
              </w:rPr>
              <w:t xml:space="preserve">主动性</w:t>
            </w:r>
          </w:p>
        </w:tc>
        <w:tc>
          <w:tcPr/>
          <w:p>
            <w:pPr>
              <w:pStyle w:val="Compact"/>
            </w:pPr>
            <w:r>
              <w:t xml:space="preserve">1,029</w:t>
            </w:r>
          </w:p>
        </w:tc>
        <w:tc>
          <w:tcPr/>
          <w:p>
            <w:pPr>
              <w:pStyle w:val="Compact"/>
            </w:pPr>
            <w:r>
              <w:t xml:space="preserve">47</w:t>
            </w:r>
          </w:p>
        </w:tc>
      </w:tr>
    </w:tbl>
    <w:p>
      <w:pPr>
        <w:pStyle w:val="BodyText"/>
      </w:pPr>
      <w:r>
        <w:rPr>
          <w:rFonts w:hint="eastAsia"/>
        </w:rPr>
        <w:t xml:space="preserve">沟通协调的绝对主导地位（每千条433次，远超责任心的203次）表明其是贯穿所有岗位的基础门槛。类别差异上（见Figures/v3/fig30_soft_skills_category_heatmap.png），信息技术类的学习能力（167/千条）、销售市场类的服务意识（186/千条）、研发技术类的细心严谨（98/千条）均显著高于均值，折射类别特异性软技能需求。历年趋势显示（见Figures/v3/fig31_soft_skills_trend.png），四大核心软技能历年保持高度稳定，是可持续聚焦的课程培养目标。</w:t>
      </w:r>
    </w:p>
    <w:bookmarkEnd w:id="29"/>
    <w:bookmarkStart w:id="30" w:name="八数字化程度评分整体偏低ai渗透仍属少数"/>
    <w:p>
      <w:pPr>
        <w:pStyle w:val="Heading2"/>
      </w:pPr>
      <w:r>
        <w:rPr>
          <w:rFonts w:hint="eastAsia"/>
        </w:rPr>
        <w:t xml:space="preserve">（八）数字化程度评分：整体偏低，AI渗透仍属少数</w:t>
      </w:r>
    </w:p>
    <w:p>
      <w:pPr>
        <w:pStyle w:val="FirstParagraph"/>
      </w:pPr>
      <w:r>
        <w:rPr>
          <w:rFonts w:hint="eastAsia"/>
        </w:rPr>
        <w:t xml:space="preserve">对全部22,022条职位描述的三维LLM评分结果如下（见Figures/v3/fig32_digitalization_trend.png</w:t>
      </w:r>
      <w:r>
        <w:t xml:space="preserve"> / </w:t>
      </w:r>
      <w:r>
        <w:rPr>
          <w:rFonts w:hint="eastAsia"/>
        </w:rPr>
        <w:t xml:space="preserve">Figures/v3/fig33_digitalization_category_boxplot.png）：</w:t>
      </w:r>
    </w:p>
    <w:p>
      <w:pPr>
        <w:pStyle w:val="BodyText"/>
      </w:pPr>
      <w:r>
        <w:rPr>
          <w:rFonts w:hint="eastAsia"/>
          <w:b/>
          <w:bCs/>
        </w:rPr>
        <w:t xml:space="preserve">表5</w:t>
      </w:r>
      <w:r>
        <w:rPr>
          <w:b/>
          <w:bCs/>
        </w:rPr>
        <w:t xml:space="preserve"> </w:t>
      </w:r>
      <w:r>
        <w:rPr>
          <w:rFonts w:hint="eastAsia"/>
          <w:b/>
          <w:bCs/>
        </w:rPr>
        <w:t xml:space="preserve">数字化程度三维评分（全样本）</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维度</w:t>
            </w:r>
          </w:p>
        </w:tc>
        <w:tc>
          <w:tcPr/>
          <w:p>
            <w:pPr>
              <w:pStyle w:val="Compact"/>
            </w:pPr>
            <w:r>
              <w:rPr>
                <w:rFonts w:hint="eastAsia"/>
              </w:rPr>
              <w:t xml:space="preserve">均值</w:t>
            </w:r>
          </w:p>
        </w:tc>
        <w:tc>
          <w:tcPr/>
          <w:p>
            <w:pPr>
              <w:pStyle w:val="Compact"/>
            </w:pPr>
            <w:r>
              <w:rPr>
                <w:rFonts w:hint="eastAsia"/>
              </w:rPr>
              <w:t xml:space="preserve">中位数</w:t>
            </w:r>
          </w:p>
        </w:tc>
        <w:tc>
          <w:tcPr/>
          <w:p>
            <w:pPr>
              <w:pStyle w:val="Compact"/>
            </w:pPr>
            <w:r>
              <w:rPr>
                <w:rFonts w:hint="eastAsia"/>
              </w:rPr>
              <w:t xml:space="preserve">标准差</w:t>
            </w:r>
          </w:p>
        </w:tc>
      </w:tr>
      <w:tr>
        <w:tc>
          <w:tcPr/>
          <w:p>
            <w:pPr>
              <w:pStyle w:val="Compact"/>
            </w:pPr>
            <w:r>
              <w:rPr>
                <w:rFonts w:hint="eastAsia"/>
              </w:rPr>
              <w:t xml:space="preserve">数字化程度</w:t>
            </w:r>
          </w:p>
        </w:tc>
        <w:tc>
          <w:tcPr/>
          <w:p>
            <w:pPr>
              <w:pStyle w:val="Compact"/>
            </w:pPr>
            <w:r>
              <w:t xml:space="preserve">36.0/100</w:t>
            </w:r>
          </w:p>
        </w:tc>
        <w:tc>
          <w:tcPr/>
          <w:p>
            <w:pPr>
              <w:pStyle w:val="Compact"/>
            </w:pPr>
            <w:r>
              <w:t xml:space="preserve">30</w:t>
            </w:r>
          </w:p>
        </w:tc>
        <w:tc>
          <w:tcPr/>
          <w:p>
            <w:pPr>
              <w:pStyle w:val="Compact"/>
            </w:pPr>
            <w:r>
              <w:t xml:space="preserve">26.4</w:t>
            </w:r>
          </w:p>
        </w:tc>
      </w:tr>
      <w:tr>
        <w:tc>
          <w:tcPr/>
          <w:p>
            <w:pPr>
              <w:pStyle w:val="Compact"/>
            </w:pPr>
            <w:r>
              <w:rPr>
                <w:rFonts w:hint="eastAsia"/>
              </w:rPr>
              <w:t xml:space="preserve">AI相关性</w:t>
            </w:r>
          </w:p>
        </w:tc>
        <w:tc>
          <w:tcPr/>
          <w:p>
            <w:pPr>
              <w:pStyle w:val="Compact"/>
            </w:pPr>
            <w:r>
              <w:t xml:space="preserve">8.6/100</w:t>
            </w:r>
          </w:p>
        </w:tc>
        <w:tc>
          <w:tcPr/>
          <w:p>
            <w:pPr>
              <w:pStyle w:val="Compact"/>
            </w:pPr>
            <w:r>
              <w:t xml:space="preserve">5</w:t>
            </w:r>
          </w:p>
        </w:tc>
        <w:tc>
          <w:tcPr/>
          <w:p>
            <w:pPr>
              <w:pStyle w:val="Compact"/>
            </w:pPr>
            <w:r>
              <w:t xml:space="preserve">13.2</w:t>
            </w:r>
          </w:p>
        </w:tc>
      </w:tr>
      <w:tr>
        <w:tc>
          <w:tcPr/>
          <w:p>
            <w:pPr>
              <w:pStyle w:val="Compact"/>
            </w:pPr>
            <w:r>
              <w:rPr>
                <w:rFonts w:hint="eastAsia"/>
              </w:rPr>
              <w:t xml:space="preserve">技术复杂度</w:t>
            </w:r>
          </w:p>
        </w:tc>
        <w:tc>
          <w:tcPr/>
          <w:p>
            <w:pPr>
              <w:pStyle w:val="Compact"/>
            </w:pPr>
            <w:r>
              <w:t xml:space="preserve">36.7/100</w:t>
            </w:r>
          </w:p>
        </w:tc>
        <w:tc>
          <w:tcPr/>
          <w:p>
            <w:pPr>
              <w:pStyle w:val="Compact"/>
            </w:pPr>
            <w:r>
              <w:t xml:space="preserve">32</w:t>
            </w:r>
          </w:p>
        </w:tc>
        <w:tc>
          <w:tcPr/>
          <w:p>
            <w:pPr>
              <w:pStyle w:val="Compact"/>
            </w:pPr>
            <w:r>
              <w:t xml:space="preserve">25.9</w:t>
            </w:r>
          </w:p>
        </w:tc>
      </w:tr>
    </w:tbl>
    <w:p>
      <w:pPr>
        <w:pStyle w:val="BodyText"/>
      </w:pPr>
      <w:r>
        <w:rPr>
          <w:rFonts w:hint="eastAsia"/>
        </w:rPr>
        <w:t xml:space="preserve">数字化程度均值36.0分，AI相关性均值更低至8.6分，揭示了专精特新企业的重要现实：多数岗位的”数字化”停留于ERP使用、CAD操作、Excel处理等工具应用层，而非算法开发层。信息技术类岗位的数字化程度均值约72分，远高于生产制造类（约22分）和行政人力类（约18分）（见Figures/v3/fig33_digitalization_category_boxplot.png）。2016—2024年三维评分历年保持平稳，与V1分析中”技术词汇向AI方向集聚”的发现形成对照——技术关键词的频次上升，不等于岗位实际数字化程度的普遍提升（见Figures/v3/fig34_digitalization_salary_scatter.png）。</w:t>
      </w:r>
    </w:p>
    <w:bookmarkEnd w:id="30"/>
    <w:bookmarkStart w:id="31" w:name="九本科与大专岗位文本分层设计者vs执行者的系统性差异"/>
    <w:p>
      <w:pPr>
        <w:pStyle w:val="Heading2"/>
      </w:pPr>
      <w:r>
        <w:rPr>
          <w:rFonts w:hint="eastAsia"/>
        </w:rPr>
        <w:t xml:space="preserve">（九）本科与大专岗位文本分层：</w:t>
      </w:r>
      <w:r>
        <w:rPr>
          <w:rFonts w:hint="eastAsia"/>
        </w:rPr>
        <w:t xml:space="preserve">“设计者vs执行者”</w:t>
      </w:r>
      <w:r>
        <w:rPr>
          <w:rFonts w:hint="eastAsia"/>
        </w:rPr>
        <w:t xml:space="preserve">的系统性差异</w:t>
      </w:r>
    </w:p>
    <w:p>
      <w:pPr>
        <w:pStyle w:val="FirstParagraph"/>
      </w:pPr>
      <w:r>
        <w:rPr>
          <w:rFonts w:hint="eastAsia"/>
        </w:rPr>
        <w:t xml:space="preserve">通过对10个岗位类别各自比较本科组与大专组职位描述（各60条抽样），LLM识别出贯穿全部类别的系统性文本分层（见Figures/v3/fig35_edu_diff_bars.png</w:t>
      </w:r>
      <w:r>
        <w:t xml:space="preserve"> / </w:t>
      </w:r>
      <w:r>
        <w:rPr>
          <w:rFonts w:hint="eastAsia"/>
        </w:rPr>
        <w:t xml:space="preserve">Figures/v3/fig36_edu_diff_matrix.png）：</w:t>
      </w:r>
    </w:p>
    <w:p>
      <w:pPr>
        <w:pStyle w:val="BodyText"/>
      </w:pPr>
      <w:r>
        <w:rPr>
          <w:rFonts w:hint="eastAsia"/>
          <w:b/>
          <w:bCs/>
        </w:rPr>
        <w:t xml:space="preserve">表6</w:t>
      </w:r>
      <w:r>
        <w:rPr>
          <w:b/>
          <w:bCs/>
        </w:rPr>
        <w:t xml:space="preserve"> </w:t>
      </w:r>
      <w:r>
        <w:rPr>
          <w:rFonts w:hint="eastAsia"/>
          <w:b/>
          <w:bCs/>
        </w:rPr>
        <w:t xml:space="preserve">本科与大专岗位职位描述文本对比</w:t>
      </w:r>
    </w:p>
    <w:tbl>
      <w:tblPr>
        <w:tblStyle w:val="Table"/>
        <w:tblW w:type="pct" w:w="5000"/>
        <w:tblLayout w:type="fixed"/>
        <w:tblLook w:firstRow="1" w:lastRow="0" w:firstColumn="0" w:lastColumn="0" w:noHBand="0" w:noVBand="0" w:val="0020"/>
      </w:tblPr>
      <w:tblGrid>
        <w:gridCol w:w="2084"/>
        <w:gridCol w:w="2917"/>
        <w:gridCol w:w="2917"/>
      </w:tblGrid>
      <w:tr>
        <w:trPr>
          <w:tblHeader w:val="on"/>
        </w:trPr>
        <w:tc>
          <w:tcPr/>
          <w:p>
            <w:pPr>
              <w:pStyle w:val="Compact"/>
            </w:pPr>
            <w:r>
              <w:rPr>
                <w:rFonts w:hint="eastAsia"/>
              </w:rPr>
              <w:t xml:space="preserve">岗位类别</w:t>
            </w:r>
          </w:p>
        </w:tc>
        <w:tc>
          <w:tcPr/>
          <w:p>
            <w:pPr>
              <w:pStyle w:val="Compact"/>
            </w:pPr>
            <w:r>
              <w:rPr>
                <w:rFonts w:hint="eastAsia"/>
              </w:rPr>
              <w:t xml:space="preserve">本科组核心特征</w:t>
            </w:r>
          </w:p>
        </w:tc>
        <w:tc>
          <w:tcPr/>
          <w:p>
            <w:pPr>
              <w:pStyle w:val="Compact"/>
            </w:pPr>
            <w:r>
              <w:rPr>
                <w:rFonts w:hint="eastAsia"/>
              </w:rPr>
              <w:t xml:space="preserve">大专组核心特征</w:t>
            </w:r>
          </w:p>
        </w:tc>
      </w:tr>
      <w:tr>
        <w:tc>
          <w:tcPr/>
          <w:p>
            <w:pPr>
              <w:pStyle w:val="Compact"/>
            </w:pPr>
            <w:r>
              <w:rPr>
                <w:rFonts w:hint="eastAsia"/>
              </w:rPr>
              <w:t xml:space="preserve">研发技术</w:t>
            </w:r>
          </w:p>
        </w:tc>
        <w:tc>
          <w:tcPr/>
          <w:p>
            <w:pPr>
              <w:pStyle w:val="Compact"/>
            </w:pPr>
            <w:r>
              <w:rPr>
                <w:rFonts w:hint="eastAsia"/>
              </w:rPr>
              <w:t xml:space="preserve">产品全流程研发设计、系统方案、预研规划</w:t>
            </w:r>
          </w:p>
        </w:tc>
        <w:tc>
          <w:tcPr/>
          <w:p>
            <w:pPr>
              <w:pStyle w:val="Compact"/>
            </w:pPr>
            <w:r>
              <w:rPr>
                <w:rFonts w:hint="eastAsia"/>
              </w:rPr>
              <w:t xml:space="preserve">设备维护、测试调试、按标准流程执行</w:t>
            </w:r>
          </w:p>
        </w:tc>
      </w:tr>
      <w:tr>
        <w:tc>
          <w:tcPr/>
          <w:p>
            <w:pPr>
              <w:pStyle w:val="Compact"/>
            </w:pPr>
            <w:r>
              <w:rPr>
                <w:rFonts w:hint="eastAsia"/>
              </w:rPr>
              <w:t xml:space="preserve">信息技术</w:t>
            </w:r>
          </w:p>
        </w:tc>
        <w:tc>
          <w:tcPr/>
          <w:p>
            <w:pPr>
              <w:pStyle w:val="Compact"/>
            </w:pPr>
            <w:r>
              <w:rPr>
                <w:rFonts w:hint="eastAsia"/>
              </w:rPr>
              <w:t xml:space="preserve">系统设计、技术架构、团队领导</w:t>
            </w:r>
          </w:p>
        </w:tc>
        <w:tc>
          <w:tcPr/>
          <w:p>
            <w:pPr>
              <w:pStyle w:val="Compact"/>
            </w:pPr>
            <w:r>
              <w:rPr>
                <w:rFonts w:hint="eastAsia"/>
              </w:rPr>
              <w:t xml:space="preserve">执行维护、基础开发、技术支持</w:t>
            </w:r>
          </w:p>
        </w:tc>
      </w:tr>
      <w:tr>
        <w:tc>
          <w:tcPr/>
          <w:p>
            <w:pPr>
              <w:pStyle w:val="Compact"/>
            </w:pPr>
            <w:r>
              <w:rPr>
                <w:rFonts w:hint="eastAsia"/>
              </w:rPr>
              <w:t xml:space="preserve">生产制造</w:t>
            </w:r>
          </w:p>
        </w:tc>
        <w:tc>
          <w:tcPr/>
          <w:p>
            <w:pPr>
              <w:pStyle w:val="Compact"/>
            </w:pPr>
            <w:r>
              <w:rPr>
                <w:rFonts w:hint="eastAsia"/>
              </w:rPr>
              <w:t xml:space="preserve">工艺研发创新、项目统筹、体系建设</w:t>
            </w:r>
          </w:p>
        </w:tc>
        <w:tc>
          <w:tcPr/>
          <w:p>
            <w:pPr>
              <w:pStyle w:val="Compact"/>
            </w:pPr>
            <w:r>
              <w:rPr>
                <w:rFonts w:hint="eastAsia"/>
              </w:rPr>
              <w:t xml:space="preserve">设备操作、现场问题处理、标准执行</w:t>
            </w:r>
          </w:p>
        </w:tc>
      </w:tr>
      <w:tr>
        <w:tc>
          <w:tcPr/>
          <w:p>
            <w:pPr>
              <w:pStyle w:val="Compact"/>
            </w:pPr>
            <w:r>
              <w:rPr>
                <w:rFonts w:hint="eastAsia"/>
              </w:rPr>
              <w:t xml:space="preserve">销售市场</w:t>
            </w:r>
          </w:p>
        </w:tc>
        <w:tc>
          <w:tcPr/>
          <w:p>
            <w:pPr>
              <w:pStyle w:val="Compact"/>
            </w:pPr>
            <w:r>
              <w:rPr>
                <w:rFonts w:hint="eastAsia"/>
              </w:rPr>
              <w:t xml:space="preserve">战略规划、品牌建设、海外拓展</w:t>
            </w:r>
          </w:p>
        </w:tc>
        <w:tc>
          <w:tcPr/>
          <w:p>
            <w:pPr>
              <w:pStyle w:val="Compact"/>
            </w:pPr>
            <w:r>
              <w:rPr>
                <w:rFonts w:hint="eastAsia"/>
              </w:rPr>
              <w:t xml:space="preserve">客户开发、销售跟单、活动执行</w:t>
            </w:r>
          </w:p>
        </w:tc>
      </w:tr>
      <w:tr>
        <w:tc>
          <w:tcPr/>
          <w:p>
            <w:pPr>
              <w:pStyle w:val="Compact"/>
            </w:pPr>
            <w:r>
              <w:rPr>
                <w:rFonts w:hint="eastAsia"/>
              </w:rPr>
              <w:t xml:space="preserve">财务会计</w:t>
            </w:r>
          </w:p>
        </w:tc>
        <w:tc>
          <w:tcPr/>
          <w:p>
            <w:pPr>
              <w:pStyle w:val="Compact"/>
            </w:pPr>
            <w:r>
              <w:rPr>
                <w:rFonts w:hint="eastAsia"/>
              </w:rPr>
              <w:t xml:space="preserve">IPO筹划、预算管控、税务筹划</w:t>
            </w:r>
          </w:p>
        </w:tc>
        <w:tc>
          <w:tcPr/>
          <w:p>
            <w:pPr>
              <w:pStyle w:val="Compact"/>
            </w:pPr>
            <w:r>
              <w:rPr>
                <w:rFonts w:hint="eastAsia"/>
              </w:rPr>
              <w:t xml:space="preserve">账务处理、基础核算、日常操作</w:t>
            </w:r>
          </w:p>
        </w:tc>
      </w:tr>
      <w:tr>
        <w:tc>
          <w:tcPr/>
          <w:p>
            <w:pPr>
              <w:pStyle w:val="Compact"/>
            </w:pPr>
            <w:r>
              <w:rPr>
                <w:rFonts w:hint="eastAsia"/>
              </w:rPr>
              <w:t xml:space="preserve">供应链采购</w:t>
            </w:r>
          </w:p>
        </w:tc>
        <w:tc>
          <w:tcPr/>
          <w:p>
            <w:pPr>
              <w:pStyle w:val="Compact"/>
            </w:pPr>
            <w:r>
              <w:rPr>
                <w:rFonts w:hint="eastAsia"/>
              </w:rPr>
              <w:t xml:space="preserve">供应商全周期管理、战略规划</w:t>
            </w:r>
          </w:p>
        </w:tc>
        <w:tc>
          <w:tcPr/>
          <w:p>
            <w:pPr>
              <w:pStyle w:val="Compact"/>
            </w:pPr>
            <w:r>
              <w:rPr>
                <w:rFonts w:hint="eastAsia"/>
              </w:rPr>
              <w:t xml:space="preserve">采购跟单、仓库管理、数据录入</w:t>
            </w:r>
          </w:p>
        </w:tc>
      </w:tr>
    </w:tbl>
    <w:p>
      <w:pPr>
        <w:pStyle w:val="BodyText"/>
      </w:pPr>
      <w:r>
        <w:rPr>
          <w:rFonts w:hint="eastAsia"/>
        </w:rPr>
        <w:t xml:space="preserve">最重要的发现是：上述分层在</w:t>
      </w:r>
      <w:r>
        <w:rPr>
          <w:rFonts w:hint="eastAsia"/>
          <w:b/>
          <w:bCs/>
        </w:rPr>
        <w:t xml:space="preserve">全部10个岗位类别</w:t>
      </w:r>
      <w:r>
        <w:rPr>
          <w:rFonts w:hint="eastAsia"/>
        </w:rPr>
        <w:t xml:space="preserve">中均呈现完全一致的方向性——</w:t>
      </w:r>
      <w:r>
        <w:rPr>
          <w:rFonts w:hint="eastAsia"/>
          <w:b/>
          <w:bCs/>
        </w:rPr>
        <w:t xml:space="preserve">本科岗位是”设计者与管理者”，大专岗位是”执行者与操作者”</w:t>
      </w:r>
      <w:r>
        <w:rPr>
          <w:rFonts w:hint="eastAsia"/>
        </w:rPr>
        <w:t xml:space="preserve">。本科岗位关键词：战略规划、体系建设、跨部门协调、方案设计；大专岗位关键词：执行落实、按规范、现场处理、跟单录入。</w:t>
      </w:r>
    </w:p>
    <w:p>
      <w:r>
        <w:pict>
          <v:rect style="width:0;height:1.5pt" o:hralign="center" o:hrstd="t" o:hr="t"/>
        </w:pict>
      </w:r>
    </w:p>
    <w:bookmarkEnd w:id="31"/>
    <w:bookmarkEnd w:id="32"/>
    <w:bookmarkStart w:id="37" w:name="五讨论"/>
    <w:p>
      <w:pPr>
        <w:pStyle w:val="Heading1"/>
      </w:pPr>
      <w:r>
        <w:rPr>
          <w:rFonts w:hint="eastAsia"/>
        </w:rPr>
        <w:t xml:space="preserve">五、讨论</w:t>
      </w:r>
    </w:p>
    <w:bookmarkStart w:id="33" w:name="一技术技能需求与结构化字段的信息鸿沟"/>
    <w:p>
      <w:pPr>
        <w:pStyle w:val="Heading2"/>
      </w:pPr>
      <w:r>
        <w:rPr>
          <w:rFonts w:hint="eastAsia"/>
        </w:rPr>
        <w:t xml:space="preserve">（一）技术技能需求与结构化字段的信息鸿沟</w:t>
      </w:r>
    </w:p>
    <w:p>
      <w:pPr>
        <w:pStyle w:val="FirstParagraph"/>
      </w:pPr>
      <w:r>
        <w:rPr>
          <w:rFonts w:hint="eastAsia"/>
        </w:rPr>
        <w:t xml:space="preserve">V1结构化分析揭示技术关键词向物联网、AI等新兴方向集聚，这一发现与V2文本分析的工具频次排名存在显著落差。结构化技术关键词字段中AI的高频出现，反映了政策话语和招聘文本标签的主观选择；而从职位描述中提取的具体工具清单中，AI/ML框架尚未进入Top20，C/C++嵌入式编程仍然主导。这一”话语繁荣与工具滞后”的分裂，提示研究者和政策制定者不能以技术标签的流行度代替实际工具需求的变化。职业教育专业改革应以工具频次数据（C/C++、ERP、CAD）为课程选材依据，而非以关键词热度（AI、大数据）为改革方向；政策层面同样不应以新兴技术词汇的曝光度作为制造业人才培育政策的设计基准。</w:t>
      </w:r>
    </w:p>
    <w:bookmarkEnd w:id="33"/>
    <w:bookmarkStart w:id="34" w:name="二学历门槛与软技能的双重压力"/>
    <w:p>
      <w:pPr>
        <w:pStyle w:val="Heading2"/>
      </w:pPr>
      <w:r>
        <w:rPr>
          <w:rFonts w:hint="eastAsia"/>
        </w:rPr>
        <w:t xml:space="preserve">（二）学历门槛与软技能的双重压力</w:t>
      </w:r>
    </w:p>
    <w:p>
      <w:pPr>
        <w:pStyle w:val="FirstParagraph"/>
      </w:pPr>
      <w:r>
        <w:rPr>
          <w:rFonts w:hint="eastAsia"/>
        </w:rPr>
        <w:t xml:space="preserve">大专学历要求的结构性下降（42.3%→34.6%）和职位描述文本中”本科＝设计者、大专＝执行者”的系统性分层共同揭示了大专生面临的双重压力：不仅在学历竞争中处于下风，且被结构性地定位于执行层岗位。</w:t>
      </w:r>
    </w:p>
    <w:p>
      <w:pPr>
        <w:pStyle w:val="BodyText"/>
      </w:pPr>
      <w:r>
        <w:rPr>
          <w:rFonts w:hint="eastAsia"/>
        </w:rPr>
        <w:t xml:space="preserve">然而，软技能需求分析提供了一个反向的战略窗口：沟通协调、责任心等核心软技能历年稳定且跨类别普适，这些能力的培养并不依赖学历，完全可以通过高质量的项目制学习和情境化课程体系加以培育。若高职院校能在软技能培养上形成系统化优势，配合特定方向的工具深度（嵌入式C语言、ERP操作、工业现场测量），可以形成不依赖学历的差异化竞争力。这也对政府的产教融合政策设计有直接含义：软技能培育是职业院校能够切实贡献的共性能力，应纳入人才培养质量评价的核心指标体系。</w:t>
      </w:r>
    </w:p>
    <w:bookmarkEnd w:id="34"/>
    <w:bookmarkStart w:id="35" w:name="三数字化程度评分对政策导向的纠偏价值"/>
    <w:p>
      <w:pPr>
        <w:pStyle w:val="Heading2"/>
      </w:pPr>
      <w:r>
        <w:rPr>
          <w:rFonts w:hint="eastAsia"/>
        </w:rPr>
        <w:t xml:space="preserve">（三）数字化程度评分对政策导向的纠偏价值</w:t>
      </w:r>
    </w:p>
    <w:p>
      <w:pPr>
        <w:pStyle w:val="FirstParagraph"/>
      </w:pPr>
      <w:r>
        <w:rPr>
          <w:rFonts w:hint="eastAsia"/>
        </w:rPr>
        <w:t xml:space="preserve">数字化程度评分均值36.0分、AI相关性仅8.6分的发现，直接挑战了”专精特新企业普遍高度数字化”的政策叙事。这一量化证据具有重要的纠偏价值：在职业教育政策讨论中，往往存在将宏观数字化战略目标（政府层面）与企业当前实际招聘需求（微观层面）相混淆的倾向。研究数据表明，专业改革应在长期战略方向（制造业数字化转型）与短期就业匹配现实（工具应用层技能为主）之间保持清醒的区分。政府在制定制造业数字化人才支持政策时，亦需关注这一落差，避免政策补贴与实际需求结构脱节。</w:t>
      </w:r>
    </w:p>
    <w:bookmarkEnd w:id="35"/>
    <w:bookmarkStart w:id="36" w:name="四研究局限"/>
    <w:p>
      <w:pPr>
        <w:pStyle w:val="Heading2"/>
      </w:pPr>
      <w:r>
        <w:rPr>
          <w:rFonts w:hint="eastAsia"/>
        </w:rPr>
        <w:t xml:space="preserve">（四）研究局限</w:t>
      </w:r>
    </w:p>
    <w:p>
      <w:pPr>
        <w:pStyle w:val="FirstParagraph"/>
      </w:pPr>
      <w:r>
        <w:rPr>
          <w:rFonts w:hint="eastAsia"/>
        </w:rPr>
        <w:t xml:space="preserve">本研究存在以下局限：（1）智联招聘对蓝领和非正式就业人员覆盖不足，生产制造类岗位实际需求可能被系统性低估；（2）LLM文本分析结果存在模型固有误差，数字化评分应作为相对排序依据而非绝对值使用；（3）本科vs大专差异分析基于分层随机抽样（各类别各60条），非全量比较；（4）2019—2020年数据缺口限制了跨疫情期的严格比较分析；（5）本研究聚焦深圳市专精特新”小巨人”企业，研究结论向其他城市和其他类型企业的推广需审慎处理。</w:t>
      </w:r>
    </w:p>
    <w:p>
      <w:r>
        <w:pict>
          <v:rect style="width:0;height:1.5pt" o:hralign="center" o:hrstd="t" o:hr="t"/>
        </w:pict>
      </w:r>
    </w:p>
    <w:bookmarkEnd w:id="36"/>
    <w:bookmarkEnd w:id="37"/>
    <w:bookmarkStart w:id="43" w:name="六结论与建议"/>
    <w:p>
      <w:pPr>
        <w:pStyle w:val="Heading1"/>
      </w:pPr>
      <w:r>
        <w:rPr>
          <w:rFonts w:hint="eastAsia"/>
        </w:rPr>
        <w:t xml:space="preserve">六、结论与建议</w:t>
      </w:r>
    </w:p>
    <w:bookmarkStart w:id="38" w:name="一主要结论"/>
    <w:p>
      <w:pPr>
        <w:pStyle w:val="Heading2"/>
      </w:pPr>
      <w:r>
        <w:rPr>
          <w:rFonts w:hint="eastAsia"/>
        </w:rPr>
        <w:t xml:space="preserve">（一）主要结论</w:t>
      </w:r>
    </w:p>
    <w:p>
      <w:pPr>
        <w:pStyle w:val="FirstParagraph"/>
      </w:pPr>
      <w:r>
        <w:rPr>
          <w:rFonts w:hint="eastAsia"/>
        </w:rPr>
        <w:t xml:space="preserve">本研究基于”结构化分析＋LLM文本挖掘”双阶段方法，得出以下六项主要结论：</w:t>
      </w:r>
    </w:p>
    <w:p>
      <w:pPr>
        <w:pStyle w:val="BodyText"/>
      </w:pPr>
      <w:r>
        <w:rPr>
          <w:rFonts w:hint="eastAsia"/>
          <w:b/>
          <w:bCs/>
        </w:rPr>
        <w:t xml:space="preserve">结论一：</w:t>
      </w:r>
      <w:r>
        <w:t xml:space="preserve"> </w:t>
      </w:r>
      <w:r>
        <w:rPr>
          <w:rFonts w:hint="eastAsia"/>
        </w:rPr>
        <w:t xml:space="preserve">深圳专精特新企业以研发技术（27.1%）和销售市场（17.9%）为主导，2016—2024年招聘规模增长358%，制造业高度集中（64%），是ICT类和工程类职业院校最重要的对接用人群体，近三年维持高位稳定。</w:t>
      </w:r>
    </w:p>
    <w:p>
      <w:pPr>
        <w:pStyle w:val="BodyText"/>
      </w:pPr>
      <w:r>
        <w:rPr>
          <w:rFonts w:hint="eastAsia"/>
          <w:b/>
          <w:bCs/>
        </w:rPr>
        <w:t xml:space="preserve">结论二：</w:t>
      </w:r>
      <w:r>
        <w:t xml:space="preserve"> </w:t>
      </w:r>
      <w:r>
        <w:rPr>
          <w:rFonts w:hint="eastAsia"/>
        </w:rPr>
        <w:t xml:space="preserve">大专学历空间结构性收窄（42.3%→34.6%），但IT基础设施方向（大专40%）和研发技术中的技术员/应用工程师岗位是大专层次最具可及性的对接切口。</w:t>
      </w:r>
    </w:p>
    <w:p>
      <w:pPr>
        <w:pStyle w:val="BodyText"/>
      </w:pPr>
      <w:r>
        <w:rPr>
          <w:rFonts w:hint="eastAsia"/>
          <w:b/>
          <w:bCs/>
        </w:rPr>
        <w:t xml:space="preserve">结论三：</w:t>
      </w:r>
      <w:r>
        <w:t xml:space="preserve"> </w:t>
      </w:r>
      <w:r>
        <w:rPr>
          <w:rFonts w:hint="eastAsia"/>
        </w:rPr>
        <w:t xml:space="preserve">结构化技术词汇（AI、物联网）与职位描述工具频次（C/C++、ERP、CAD）存在显著落差；专业课程选材应以工具数据为基准，C/C++嵌入式（1,007次）远优先于Python数据科学（201次），这一结构性落差也构成对政策叙事的实证纠偏。</w:t>
      </w:r>
    </w:p>
    <w:p>
      <w:pPr>
        <w:pStyle w:val="BodyText"/>
      </w:pPr>
      <w:r>
        <w:rPr>
          <w:rFonts w:hint="eastAsia"/>
          <w:b/>
          <w:bCs/>
        </w:rPr>
        <w:t xml:space="preserve">结论四：</w:t>
      </w:r>
      <w:r>
        <w:t xml:space="preserve"> </w:t>
      </w:r>
      <w:r>
        <w:rPr>
          <w:rFonts w:hint="eastAsia"/>
        </w:rPr>
        <w:t xml:space="preserve">沟通协调是压倒性首位软技能（每千条433次），历年稳定，具有长期培养价值；IT类岗位学习能力（167/千条）尤为突出，是可持续聚焦的课程目标。</w:t>
      </w:r>
    </w:p>
    <w:p>
      <w:pPr>
        <w:pStyle w:val="BodyText"/>
      </w:pPr>
      <w:r>
        <w:rPr>
          <w:rFonts w:hint="eastAsia"/>
          <w:b/>
          <w:bCs/>
        </w:rPr>
        <w:t xml:space="preserve">结论五：</w:t>
      </w:r>
      <w:r>
        <w:t xml:space="preserve"> </w:t>
      </w:r>
      <w:r>
        <w:rPr>
          <w:rFonts w:hint="eastAsia"/>
        </w:rPr>
        <w:t xml:space="preserve">专精特新企业整体数字化程度偏低（均值36/100），AI相关性更低（8.6/100），AI需求集中于少数IT类岗位，多数岗位数字化停留于工具应用层，AI/ML框架尚未进入主流工具需求。</w:t>
      </w:r>
    </w:p>
    <w:p>
      <w:pPr>
        <w:pStyle w:val="BodyText"/>
      </w:pPr>
      <w:r>
        <w:rPr>
          <w:rFonts w:hint="eastAsia"/>
          <w:b/>
          <w:bCs/>
        </w:rPr>
        <w:t xml:space="preserve">结论六：</w:t>
      </w:r>
      <w:r>
        <w:t xml:space="preserve"> </w:t>
      </w:r>
      <w:r>
        <w:rPr>
          <w:rFonts w:hint="eastAsia"/>
        </w:rPr>
        <w:t xml:space="preserve">职位描述文本层面，全部10个岗位类别均呈现”本科＝设计者与管理者、大专＝执行者与操作者”的系统性分层，职业院校毕业生的突破路径是在特定方向建立”专家级执行”深度，通过可验证的产业认证绕开学历筛选逻辑。</w:t>
      </w:r>
    </w:p>
    <w:bookmarkEnd w:id="38"/>
    <w:bookmarkStart w:id="42" w:name="二政策建议"/>
    <w:p>
      <w:pPr>
        <w:pStyle w:val="Heading2"/>
      </w:pPr>
      <w:r>
        <w:rPr>
          <w:rFonts w:hint="eastAsia"/>
        </w:rPr>
        <w:t xml:space="preserve">（二）政策建议</w:t>
      </w:r>
    </w:p>
    <w:p>
      <w:pPr>
        <w:pStyle w:val="FirstParagraph"/>
      </w:pPr>
      <w:r>
        <w:rPr>
          <w:rFonts w:hint="eastAsia"/>
        </w:rPr>
        <w:t xml:space="preserve">本研究从</w:t>
      </w:r>
      <w:r>
        <w:rPr>
          <w:rFonts w:hint="eastAsia"/>
          <w:b/>
          <w:bCs/>
        </w:rPr>
        <w:t xml:space="preserve">政府与教育行政部门</w:t>
      </w:r>
      <w:r>
        <w:t xml:space="preserve">、</w:t>
      </w:r>
      <w:r>
        <w:rPr>
          <w:rFonts w:hint="eastAsia"/>
          <w:b/>
          <w:bCs/>
        </w:rPr>
        <w:t xml:space="preserve">职业院校</w:t>
      </w:r>
      <w:r>
        <w:t xml:space="preserve">、</w:t>
      </w:r>
      <w:r>
        <w:rPr>
          <w:rFonts w:hint="eastAsia"/>
          <w:b/>
          <w:bCs/>
        </w:rPr>
        <w:t xml:space="preserve">企业与产教融合</w:t>
      </w:r>
      <w:r>
        <w:rPr>
          <w:rFonts w:hint="eastAsia"/>
        </w:rPr>
        <w:t xml:space="preserve">三个层面提出十条建议。</w:t>
      </w:r>
    </w:p>
    <w:p>
      <w:r>
        <w:pict>
          <v:rect style="width:0;height:1.5pt" o:hralign="center" o:hrstd="t" o:hr="t"/>
        </w:pict>
      </w:r>
    </w:p>
    <w:bookmarkStart w:id="39" w:name="政府与教育行政部门层面"/>
    <w:p>
      <w:pPr>
        <w:pStyle w:val="Heading3"/>
      </w:pPr>
      <w:r>
        <w:rPr>
          <w:rFonts w:hint="eastAsia"/>
        </w:rPr>
        <w:t xml:space="preserve">【政府与教育行政部门层面】</w:t>
      </w:r>
    </w:p>
    <w:p>
      <w:pPr>
        <w:pStyle w:val="FirstParagraph"/>
      </w:pPr>
      <w:r>
        <w:rPr>
          <w:rFonts w:hint="eastAsia"/>
          <w:b/>
          <w:bCs/>
        </w:rPr>
        <w:t xml:space="preserve">建议一：将工具需求数据纳入职业教育专业目录调整的评估依据，防范”技术标签泡沫”。</w:t>
      </w:r>
    </w:p>
    <w:p>
      <w:pPr>
        <w:pStyle w:val="BodyText"/>
      </w:pPr>
      <w:r>
        <w:rPr>
          <w:rFonts w:hint="eastAsia"/>
        </w:rPr>
        <w:t xml:space="preserve">技术关键词热度（AI、大数据）与职位描述工具实际频次（C/C++嵌入式、ERP、CAD）之间存在系统性落差，若专业目录调整单纯跟随政策热词，将产生课程供需错位。教育行政部门在专业增设与扩招指标分配中，应引入招聘大数据工具层面分析，建立独立于”技术话语热度”的需求核实机制。</w:t>
      </w:r>
    </w:p>
    <w:p>
      <w:pPr>
        <w:pStyle w:val="BodyText"/>
      </w:pPr>
      <w:r>
        <w:rPr>
          <w:rFonts w:hint="eastAsia"/>
          <w:b/>
          <w:bCs/>
        </w:rPr>
        <w:t xml:space="preserve">建议二：以”大专友好性”为维度，建立职业院校专业绩效的差异化评价体系。</w:t>
      </w:r>
    </w:p>
    <w:p>
      <w:pPr>
        <w:pStyle w:val="BodyText"/>
      </w:pPr>
      <w:r>
        <w:rPr>
          <w:rFonts w:hint="eastAsia"/>
        </w:rPr>
        <w:t xml:space="preserve">不同岗位方向对大专层次的可及性差异显著（IT基础设施大专占40%</w:t>
      </w:r>
      <w:r>
        <w:t xml:space="preserve"> vs. </w:t>
      </w:r>
      <w:r>
        <w:rPr>
          <w:rFonts w:hint="eastAsia"/>
        </w:rPr>
        <w:t xml:space="preserve">数据/AI方向仅5%）。在”双高计划”等院校绩效评估中，应增设”大专层次就业对口率”和”大专友好岗位覆盖率”等指标，引导院校资源集中于大专生真正具有竞争优势的方向，而非一味追逐高薪热门方向。</w:t>
      </w:r>
    </w:p>
    <w:p>
      <w:pPr>
        <w:pStyle w:val="BodyText"/>
      </w:pPr>
      <w:r>
        <w:rPr>
          <w:rFonts w:hint="eastAsia"/>
          <w:b/>
          <w:bCs/>
        </w:rPr>
        <w:t xml:space="preserve">建议三：在制造业数字化人才政策中区分”工具应用型”与”算法研发型”两类需求，针对性设计支持机制。</w:t>
      </w:r>
    </w:p>
    <w:p>
      <w:pPr>
        <w:pStyle w:val="BodyText"/>
      </w:pPr>
      <w:r>
        <w:rPr>
          <w:rFonts w:hint="eastAsia"/>
        </w:rPr>
        <w:t xml:space="preserve">全样本数字化评分均值36.0分、AI相关性8.6分表明，深圳专精特新制造企业当前对工具应用型数字化人才（会CAD、熟ERP、懂嵌入式）的实际需求远大于算法研发型人才。政府的制造业数字技能培育政策、补贴项目和技能认证体系，应依据上述需求结构分层设计，避免将两类人才混同处理。</w:t>
      </w:r>
    </w:p>
    <w:p>
      <w:r>
        <w:pict>
          <v:rect style="width:0;height:1.5pt" o:hralign="center" o:hrstd="t" o:hr="t"/>
        </w:pict>
      </w:r>
    </w:p>
    <w:bookmarkEnd w:id="39"/>
    <w:bookmarkStart w:id="40" w:name="职业院校层面"/>
    <w:p>
      <w:pPr>
        <w:pStyle w:val="Heading3"/>
      </w:pPr>
      <w:r>
        <w:rPr>
          <w:rFonts w:hint="eastAsia"/>
        </w:rPr>
        <w:t xml:space="preserve">【职业院校层面】</w:t>
      </w:r>
    </w:p>
    <w:p>
      <w:pPr>
        <w:pStyle w:val="FirstParagraph"/>
      </w:pPr>
      <w:r>
        <w:rPr>
          <w:rFonts w:hint="eastAsia"/>
          <w:b/>
          <w:bCs/>
        </w:rPr>
        <w:t xml:space="preserve">建议四【P1优先】：强化IT基础设施与云运维/网络安全方向，列为重点建设专业。</w:t>
      </w:r>
    </w:p>
    <w:p>
      <w:pPr>
        <w:pStyle w:val="BodyText"/>
      </w:pPr>
      <w:r>
        <w:rPr>
          <w:rFonts w:hint="eastAsia"/>
        </w:rPr>
        <w:t xml:space="preserve">IT基础设施子方向大专友好性最高（40%），增速+257%，是专精特新企业数字化运维岗位的核心需求来源。ICT类职业院校应将网络安全、云计算运维、系统集成等方向列为重点专业，精准对接这一高可及性窗口。</w:t>
      </w:r>
    </w:p>
    <w:p>
      <w:pPr>
        <w:pStyle w:val="BodyText"/>
      </w:pPr>
      <w:r>
        <w:rPr>
          <w:rFonts w:hint="eastAsia"/>
          <w:b/>
          <w:bCs/>
        </w:rPr>
        <w:t xml:space="preserve">建议五【P1优先】：调整软件开发专业的工具重心，将C/C++嵌入式＋Linux列为核心方向，Python定位为辅助工具。</w:t>
      </w:r>
    </w:p>
    <w:p>
      <w:pPr>
        <w:pStyle w:val="BodyText"/>
      </w:pPr>
      <w:r>
        <w:rPr>
          <w:rFonts w:hint="eastAsia"/>
        </w:rPr>
        <w:t xml:space="preserve">C/C++合计1,007次（最高频编程方向），ARM（197次）、PLC（291次）、Linux（418次）共同构成嵌入式生态；Python（201次）虽增速可观，但在制造业专精特新企业中绝对频次尚低。软件类专业课程体系应以嵌入式C/单片机为主干，避免因追随Python数据科学叙事而削弱对口性更强的嵌入式方向。</w:t>
      </w:r>
    </w:p>
    <w:p>
      <w:pPr>
        <w:pStyle w:val="BodyText"/>
      </w:pPr>
      <w:r>
        <w:rPr>
          <w:rFonts w:hint="eastAsia"/>
          <w:b/>
          <w:bCs/>
        </w:rPr>
        <w:t xml:space="preserve">建议六【P1优先】：将软技能培养系统嵌入专业课程，纳入毕业要求与课程评价。</w:t>
      </w:r>
    </w:p>
    <w:p>
      <w:pPr>
        <w:pStyle w:val="BodyText"/>
      </w:pPr>
      <w:r>
        <w:rPr>
          <w:rFonts w:hint="eastAsia"/>
        </w:rPr>
        <w:t xml:space="preserve">沟通协调（433/千条）历年稳定，是最具长期培养价值的通用能力；IT类专业需重点培养学习能力（167/千条）。建议每门专业核心课设置明确软技能目标，以项目制教学为主要载体，软技能评价纳入课程考核权重10—20%，形成系统化培养优势以部分抵消学历劣势。</w:t>
      </w:r>
    </w:p>
    <w:p>
      <w:pPr>
        <w:pStyle w:val="BodyText"/>
      </w:pPr>
      <w:r>
        <w:rPr>
          <w:rFonts w:hint="eastAsia"/>
          <w:b/>
          <w:bCs/>
        </w:rPr>
        <w:t xml:space="preserve">建议七：推进国产ERP认证合作，将ERP操作能力纳入大专差异化竞争策略。</w:t>
      </w:r>
    </w:p>
    <w:p>
      <w:pPr>
        <w:pStyle w:val="BodyText"/>
      </w:pPr>
      <w:r>
        <w:rPr>
          <w:rFonts w:hint="eastAsia"/>
        </w:rPr>
        <w:t xml:space="preserve">ERP工具出现频次732次位居所有工具第二，是采购、财务、供应链执行岗位高频需求，恰属大专生就业主赛道。职业院校应与金蝶、用友、鼎捷等国内ERP厂商建立认证培训合作，在相关专业嵌入ERP操作模块，将这一被系统性低估的工具转化为大专生的可验证竞争优势。</w:t>
      </w:r>
    </w:p>
    <w:p>
      <w:pPr>
        <w:pStyle w:val="BodyText"/>
      </w:pPr>
      <w:r>
        <w:rPr>
          <w:rFonts w:hint="eastAsia"/>
          <w:b/>
          <w:bCs/>
        </w:rPr>
        <w:t xml:space="preserve">建议八：以产业认证体系实现”专家级执行”定位，局部绕开学历筛选逻辑。</w:t>
      </w:r>
    </w:p>
    <w:p>
      <w:pPr>
        <w:pStyle w:val="BodyText"/>
      </w:pPr>
      <w:r>
        <w:rPr>
          <w:rFonts w:hint="eastAsia"/>
        </w:rPr>
        <w:t xml:space="preserve">全部10个岗位类别均呈”本科=设计者、大专=执行者”的系统性分层，单纯的学历竞争对大专生不利。通过华为HCIA/HCIP（云计算/网络安全）、阿里云ACP、ARM官方认证、ERP厂商认证等可验证体系，使学生的执行能力获得第三方背书，可在特定岗位部分绕开学历筛选。职业院校应将行业认证通过率纳入专业建设绩效指标。</w:t>
      </w:r>
    </w:p>
    <w:p>
      <w:r>
        <w:pict>
          <v:rect style="width:0;height:1.5pt" o:hralign="center" o:hrstd="t" o:hr="t"/>
        </w:pict>
      </w:r>
    </w:p>
    <w:bookmarkEnd w:id="40"/>
    <w:bookmarkStart w:id="41" w:name="企业与产教融合层面"/>
    <w:p>
      <w:pPr>
        <w:pStyle w:val="Heading3"/>
      </w:pPr>
      <w:r>
        <w:rPr>
          <w:rFonts w:hint="eastAsia"/>
        </w:rPr>
        <w:t xml:space="preserve">【企业与产教融合层面】</w:t>
      </w:r>
    </w:p>
    <w:p>
      <w:pPr>
        <w:pStyle w:val="FirstParagraph"/>
      </w:pPr>
      <w:r>
        <w:rPr>
          <w:rFonts w:hint="eastAsia"/>
          <w:b/>
          <w:bCs/>
        </w:rPr>
        <w:t xml:space="preserve">建议九：专精特新企业应重视软技能标准化表述，为职业院校课程设计提供更精准的信号。</w:t>
      </w:r>
    </w:p>
    <w:p>
      <w:pPr>
        <w:pStyle w:val="BodyText"/>
      </w:pPr>
      <w:r>
        <w:rPr>
          <w:rFonts w:hint="eastAsia"/>
        </w:rPr>
        <w:t xml:space="preserve">当前职位描述中软技能表达高度碎片化（2,447种原始表达），企业间缺乏通用语言，导致院校难以精准响应。鼓励专精特新企业在招聘标准化的基础上，探索建立岗位软技能画像框架，形成产教对话的共同语言基础。</w:t>
      </w:r>
    </w:p>
    <w:p>
      <w:pPr>
        <w:pStyle w:val="BodyText"/>
      </w:pPr>
      <w:r>
        <w:rPr>
          <w:rFonts w:hint="eastAsia"/>
          <w:b/>
          <w:bCs/>
        </w:rPr>
        <w:t xml:space="preserve">建议十：建立以专精特新企业为核心的招聘数据动态追踪机制，推动产教融合数据基础设施化。</w:t>
      </w:r>
    </w:p>
    <w:p>
      <w:pPr>
        <w:pStyle w:val="BodyText"/>
      </w:pPr>
      <w:r>
        <w:rPr>
          <w:rFonts w:hint="eastAsia"/>
        </w:rPr>
        <w:t xml:space="preserve">本研究所揭示的人才需求图谱具有时效性。建议相关职业院校与行业协会合作，以深圳757家专精特新”小巨人”企业招聘数据为基础，建立每年度更新的岗位需求分析机制，将招聘大数据分析纳入专业建设的常规决策流程，同时以本研究结论为参照，拓展订单培养和实习基地项目的布局方向。</w:t>
      </w:r>
    </w:p>
    <w:p>
      <w:r>
        <w:pict>
          <v:rect style="width:0;height:1.5pt" o:hralign="center" o:hrstd="t" o:hr="t"/>
        </w:pict>
      </w:r>
    </w:p>
    <w:bookmarkEnd w:id="41"/>
    <w:bookmarkEnd w:id="42"/>
    <w:bookmarkEnd w:id="43"/>
    <w:bookmarkStart w:id="44" w:name="参考文献"/>
    <w:p>
      <w:pPr>
        <w:pStyle w:val="Heading1"/>
      </w:pPr>
      <w:r>
        <w:rPr>
          <w:rFonts w:hint="eastAsia"/>
        </w:rPr>
        <w:t xml:space="preserve">参考文献</w:t>
      </w:r>
    </w:p>
    <w:p>
      <w:pPr>
        <w:numPr>
          <w:ilvl w:val="0"/>
          <w:numId w:val="1002"/>
        </w:numPr>
      </w:pPr>
      <w:r>
        <w:t xml:space="preserve">Asirvatham, H., Mokski, E., &amp; Shleifer, A. (2026).</w:t>
      </w:r>
      <w:r>
        <w:t xml:space="preserve"> </w:t>
      </w:r>
      <w:r>
        <w:rPr>
          <w:i/>
          <w:iCs/>
        </w:rPr>
        <w:t xml:space="preserve">GPT as a Measurement Tool</w:t>
      </w:r>
      <w:r>
        <w:t xml:space="preserve">. NBER Working Paper No. 34834.</w:t>
      </w:r>
    </w:p>
    <w:p>
      <w:pPr>
        <w:numPr>
          <w:ilvl w:val="0"/>
          <w:numId w:val="1002"/>
        </w:numPr>
      </w:pPr>
      <w:r>
        <w:t xml:space="preserve">Deming, D. J. (2017). The growing importance of social skills in the labor market.</w:t>
      </w:r>
      <w:r>
        <w:t xml:space="preserve"> </w:t>
      </w:r>
      <w:r>
        <w:rPr>
          <w:i/>
          <w:iCs/>
        </w:rPr>
        <w:t xml:space="preserve">Quarterly Journal of Economics</w:t>
      </w:r>
      <w:r>
        <w:t xml:space="preserve">, 132(4), 1593–1640.</w:t>
      </w:r>
    </w:p>
    <w:p>
      <w:pPr>
        <w:numPr>
          <w:ilvl w:val="0"/>
          <w:numId w:val="1002"/>
        </w:numPr>
      </w:pPr>
      <w:r>
        <w:t xml:space="preserve">Hershbein, B., &amp; Kahn, L. B. (2018). Do recessions accelerate routine-biased technological change? Evidence from vacancy postings.</w:t>
      </w:r>
      <w:r>
        <w:t xml:space="preserve"> </w:t>
      </w:r>
      <w:r>
        <w:rPr>
          <w:i/>
          <w:iCs/>
        </w:rPr>
        <w:t xml:space="preserve">American Economic Review</w:t>
      </w:r>
      <w:r>
        <w:t xml:space="preserve">, 108(7), 1737–1772.</w:t>
      </w:r>
    </w:p>
    <w:p>
      <w:pPr>
        <w:numPr>
          <w:ilvl w:val="0"/>
          <w:numId w:val="1002"/>
        </w:numPr>
      </w:pPr>
      <w:r>
        <w:t xml:space="preserve">Jovanovic, B. (1979). Job matching and the theory of turnover.</w:t>
      </w:r>
      <w:r>
        <w:t xml:space="preserve"> </w:t>
      </w:r>
      <w:r>
        <w:rPr>
          <w:i/>
          <w:iCs/>
        </w:rPr>
        <w:t xml:space="preserve">Journal of Political Economy</w:t>
      </w:r>
      <w:r>
        <w:t xml:space="preserve">, 87(5), 972–990.</w:t>
      </w:r>
    </w:p>
    <w:p>
      <w:pPr>
        <w:numPr>
          <w:ilvl w:val="0"/>
          <w:numId w:val="1002"/>
        </w:numPr>
      </w:pPr>
      <w:r>
        <w:t xml:space="preserve">Sattinger, M. (1993). Assignment models of the distribution of earnings.</w:t>
      </w:r>
      <w:r>
        <w:t xml:space="preserve"> </w:t>
      </w:r>
      <w:r>
        <w:rPr>
          <w:i/>
          <w:iCs/>
        </w:rPr>
        <w:t xml:space="preserve">Journal of Economic Literature</w:t>
      </w:r>
      <w:r>
        <w:t xml:space="preserve">, 31(2), 831–880.</w:t>
      </w:r>
    </w:p>
    <w:p>
      <w:pPr>
        <w:numPr>
          <w:ilvl w:val="0"/>
          <w:numId w:val="1002"/>
        </w:numPr>
      </w:pPr>
      <w:r>
        <w:rPr>
          <w:rFonts w:hint="eastAsia"/>
        </w:rPr>
        <w:t xml:space="preserve">工业和信息化部.</w:t>
      </w:r>
      <w:r>
        <w:t xml:space="preserve"> (2022).</w:t>
      </w:r>
      <w:r>
        <w:t xml:space="preserve"> </w:t>
      </w:r>
      <w:r>
        <w:rPr>
          <w:rFonts w:hint="eastAsia"/>
          <w:i/>
          <w:iCs/>
        </w:rPr>
        <w:t xml:space="preserve">关于开展2022年度专精特新”小巨人”企业申报工作的通知</w:t>
      </w:r>
      <w:r>
        <w:t xml:space="preserve">. </w:t>
      </w:r>
      <w:r>
        <w:rPr>
          <w:rFonts w:hint="eastAsia"/>
        </w:rPr>
        <w:t xml:space="preserve">工信厅企业函〔2022〕65号.</w:t>
      </w:r>
    </w:p>
    <w:p>
      <w:pPr>
        <w:numPr>
          <w:ilvl w:val="0"/>
          <w:numId w:val="1002"/>
        </w:numPr>
      </w:pPr>
      <w:r>
        <w:rPr>
          <w:rFonts w:hint="eastAsia"/>
        </w:rPr>
        <w:t xml:space="preserve">国务院.</w:t>
      </w:r>
      <w:r>
        <w:t xml:space="preserve"> (2021).</w:t>
      </w:r>
      <w:r>
        <w:t xml:space="preserve"> </w:t>
      </w:r>
      <w:r>
        <w:rPr>
          <w:rFonts w:hint="eastAsia"/>
          <w:i/>
          <w:iCs/>
        </w:rPr>
        <w:t xml:space="preserve">关于推动现代职业教育高质量发展的意见</w:t>
      </w:r>
      <w:r>
        <w:t xml:space="preserve">. </w:t>
      </w:r>
      <w:r>
        <w:rPr>
          <w:rFonts w:hint="eastAsia"/>
        </w:rPr>
        <w:t xml:space="preserve">国发〔2021〕12号.</w:t>
      </w:r>
    </w:p>
    <w:p>
      <w:pPr>
        <w:numPr>
          <w:ilvl w:val="0"/>
          <w:numId w:val="1002"/>
        </w:numPr>
      </w:pPr>
      <w:r>
        <w:rPr>
          <w:rFonts w:hint="eastAsia"/>
        </w:rPr>
        <w:t xml:space="preserve">国务院.</w:t>
      </w:r>
      <w:r>
        <w:t xml:space="preserve"> (2019).</w:t>
      </w:r>
      <w:r>
        <w:t xml:space="preserve"> </w:t>
      </w:r>
      <w:r>
        <w:rPr>
          <w:rFonts w:hint="eastAsia"/>
          <w:i/>
          <w:iCs/>
        </w:rPr>
        <w:t xml:space="preserve">国家职业教育改革实施方案</w:t>
      </w:r>
      <w:r>
        <w:t xml:space="preserve">. </w:t>
      </w:r>
      <w:r>
        <w:rPr>
          <w:rFonts w:hint="eastAsia"/>
        </w:rPr>
        <w:t xml:space="preserve">国发〔2019〕4号.</w:t>
      </w:r>
    </w:p>
    <w:p>
      <w:pPr>
        <w:numPr>
          <w:ilvl w:val="0"/>
          <w:numId w:val="1002"/>
        </w:numPr>
      </w:pPr>
      <w:r>
        <w:rPr>
          <w:rFonts w:hint="eastAsia"/>
        </w:rPr>
        <w:t xml:space="preserve">教育部.</w:t>
      </w:r>
      <w:r>
        <w:t xml:space="preserve"> (2021).</w:t>
      </w:r>
      <w:r>
        <w:t xml:space="preserve"> </w:t>
      </w:r>
      <w:r>
        <w:rPr>
          <w:rFonts w:hint="eastAsia"/>
          <w:i/>
          <w:iCs/>
        </w:rPr>
        <w:t xml:space="preserve">“双高计划”</w:t>
      </w:r>
      <w:r>
        <w:rPr>
          <w:rFonts w:hint="eastAsia"/>
          <w:i/>
          <w:iCs/>
        </w:rPr>
        <w:t xml:space="preserve">建设单位验收评价和绩效管理工作方案</w:t>
      </w:r>
      <w:r>
        <w:t xml:space="preserve">.</w:t>
      </w:r>
    </w:p>
    <w:p>
      <w:pPr>
        <w:numPr>
          <w:ilvl w:val="0"/>
          <w:numId w:val="1002"/>
        </w:numPr>
      </w:pPr>
      <w:r>
        <w:rPr>
          <w:rFonts w:hint="eastAsia"/>
        </w:rPr>
        <w:t xml:space="preserve">李艳荣,</w:t>
      </w:r>
      <w:r>
        <w:t xml:space="preserve"> </w:t>
      </w:r>
      <w:r>
        <w:rPr>
          <w:rFonts w:hint="eastAsia"/>
        </w:rPr>
        <w:t xml:space="preserve">陈昌宏,</w:t>
      </w:r>
      <w:r>
        <w:t xml:space="preserve"> </w:t>
      </w:r>
      <w:r>
        <w:rPr>
          <w:rFonts w:hint="eastAsia"/>
        </w:rPr>
        <w:t xml:space="preserve">钱秀梅.</w:t>
      </w:r>
      <w:r>
        <w:t xml:space="preserve"> (2021). </w:t>
      </w:r>
      <w:r>
        <w:rPr>
          <w:rFonts w:hint="eastAsia"/>
        </w:rPr>
        <w:t xml:space="preserve">数字经济下制造业技能需求变化研究——基于招聘大数据的实证分析.</w:t>
      </w:r>
      <w:r>
        <w:t xml:space="preserve"> </w:t>
      </w:r>
      <w:r>
        <w:rPr>
          <w:rFonts w:hint="eastAsia"/>
          <w:i/>
          <w:iCs/>
        </w:rPr>
        <w:t xml:space="preserve">职业技术教育</w:t>
      </w:r>
      <w:r>
        <w:t xml:space="preserve">, 42(25), 12–18.</w:t>
      </w:r>
    </w:p>
    <w:p>
      <w:pPr>
        <w:numPr>
          <w:ilvl w:val="0"/>
          <w:numId w:val="1002"/>
        </w:numPr>
      </w:pPr>
      <w:r>
        <w:rPr>
          <w:rFonts w:hint="eastAsia"/>
        </w:rPr>
        <w:t xml:space="preserve">刘志文.</w:t>
      </w:r>
      <w:r>
        <w:t xml:space="preserve"> (2020). </w:t>
      </w:r>
      <w:r>
        <w:rPr>
          <w:rFonts w:hint="eastAsia"/>
        </w:rPr>
        <w:t xml:space="preserve">产教融合的内涵逻辑与路径选择.</w:t>
      </w:r>
      <w:r>
        <w:t xml:space="preserve"> </w:t>
      </w:r>
      <w:r>
        <w:rPr>
          <w:rFonts w:hint="eastAsia"/>
          <w:i/>
          <w:iCs/>
        </w:rPr>
        <w:t xml:space="preserve">高等工程教育研究</w:t>
      </w:r>
      <w:r>
        <w:t xml:space="preserve">, (3), 45–51.</w:t>
      </w:r>
    </w:p>
    <w:p>
      <w:pPr>
        <w:numPr>
          <w:ilvl w:val="0"/>
          <w:numId w:val="1002"/>
        </w:numPr>
      </w:pPr>
      <w:r>
        <w:rPr>
          <w:rFonts w:hint="eastAsia"/>
        </w:rPr>
        <w:t xml:space="preserve">谢晨.</w:t>
      </w:r>
      <w:r>
        <w:t xml:space="preserve"> (2019). </w:t>
      </w:r>
      <w:r>
        <w:rPr>
          <w:rFonts w:hint="eastAsia"/>
        </w:rPr>
        <w:t xml:space="preserve">高技术制造业岗位需求特征及人才培养对策研究.</w:t>
      </w:r>
      <w:r>
        <w:t xml:space="preserve"> </w:t>
      </w:r>
      <w:r>
        <w:rPr>
          <w:rFonts w:hint="eastAsia"/>
          <w:i/>
          <w:iCs/>
        </w:rPr>
        <w:t xml:space="preserve">中国职业技术教育</w:t>
      </w:r>
      <w:r>
        <w:t xml:space="preserve">, (27), 33–38.</w:t>
      </w:r>
    </w:p>
    <w:p>
      <w:pPr>
        <w:numPr>
          <w:ilvl w:val="0"/>
          <w:numId w:val="1002"/>
        </w:numPr>
      </w:pPr>
      <w:r>
        <w:rPr>
          <w:rFonts w:hint="eastAsia"/>
        </w:rPr>
        <w:t xml:space="preserve">王建梁,</w:t>
      </w:r>
      <w:r>
        <w:t xml:space="preserve"> </w:t>
      </w:r>
      <w:r>
        <w:rPr>
          <w:rFonts w:hint="eastAsia"/>
        </w:rPr>
        <w:t xml:space="preserve">张璐.</w:t>
      </w:r>
      <w:r>
        <w:t xml:space="preserve"> (2022). </w:t>
      </w:r>
      <w:r>
        <w:rPr>
          <w:rFonts w:hint="eastAsia"/>
        </w:rPr>
        <w:t xml:space="preserve">职业教育专业结构与产业结构匹配度研究——基于招聘数据的实证.</w:t>
      </w:r>
      <w:r>
        <w:t xml:space="preserve"> </w:t>
      </w:r>
      <w:r>
        <w:rPr>
          <w:rFonts w:hint="eastAsia"/>
          <w:i/>
          <w:iCs/>
        </w:rPr>
        <w:t xml:space="preserve">高等教育研究</w:t>
      </w:r>
      <w:r>
        <w:t xml:space="preserve">, 43(8), 78–87.</w:t>
      </w:r>
    </w:p>
    <w:p>
      <w:pPr>
        <w:numPr>
          <w:ilvl w:val="0"/>
          <w:numId w:val="1002"/>
        </w:numPr>
      </w:pPr>
      <w:r>
        <w:rPr>
          <w:rFonts w:hint="eastAsia"/>
        </w:rPr>
        <w:t xml:space="preserve">广东省教育厅.</w:t>
      </w:r>
      <w:r>
        <w:t xml:space="preserve"> (2023).</w:t>
      </w:r>
      <w:r>
        <w:t xml:space="preserve"> </w:t>
      </w:r>
      <w:r>
        <w:rPr>
          <w:rFonts w:hint="eastAsia"/>
          <w:i/>
          <w:iCs/>
        </w:rPr>
        <w:t xml:space="preserve">广东省职业教育高质量发展三年行动计划（2023—2025年）</w:t>
      </w:r>
      <w:r>
        <w:t xml:space="preserve">.</w:t>
      </w:r>
    </w:p>
    <w:p>
      <w:pPr>
        <w:numPr>
          <w:ilvl w:val="0"/>
          <w:numId w:val="1002"/>
        </w:numPr>
      </w:pPr>
      <w:r>
        <w:rPr>
          <w:rFonts w:hint="eastAsia"/>
        </w:rPr>
        <w:t xml:space="preserve">深圳市人民政府.</w:t>
      </w:r>
      <w:r>
        <w:t xml:space="preserve"> (2022).</w:t>
      </w:r>
      <w:r>
        <w:t xml:space="preserve"> </w:t>
      </w:r>
      <w:r>
        <w:rPr>
          <w:rFonts w:hint="eastAsia"/>
          <w:i/>
          <w:iCs/>
        </w:rPr>
        <w:t xml:space="preserve">深圳市专精特新中小企业培育行动计划（2022—2025年）</w:t>
      </w:r>
      <w:r>
        <w:t xml:space="preserve">.</w:t>
      </w:r>
    </w:p>
    <w:p>
      <w:pPr>
        <w:numPr>
          <w:ilvl w:val="0"/>
          <w:numId w:val="1002"/>
        </w:numPr>
      </w:pPr>
      <w:r>
        <w:rPr>
          <w:rFonts w:hint="eastAsia"/>
        </w:rPr>
        <w:t xml:space="preserve">庄西真.</w:t>
      </w:r>
      <w:r>
        <w:t xml:space="preserve"> (2021). </w:t>
      </w:r>
      <w:r>
        <w:rPr>
          <w:rFonts w:hint="eastAsia"/>
        </w:rPr>
        <w:t xml:space="preserve">高职院校专业设置的逻辑与路径.</w:t>
      </w:r>
      <w:r>
        <w:t xml:space="preserve"> </w:t>
      </w:r>
      <w:r>
        <w:rPr>
          <w:rFonts w:hint="eastAsia"/>
          <w:i/>
          <w:iCs/>
        </w:rPr>
        <w:t xml:space="preserve">中国高教研究</w:t>
      </w:r>
      <w:r>
        <w:t xml:space="preserve">, (11), 90–95.</w:t>
      </w:r>
    </w:p>
    <w:p>
      <w:pPr>
        <w:numPr>
          <w:ilvl w:val="0"/>
          <w:numId w:val="1002"/>
        </w:numPr>
      </w:pPr>
      <w:r>
        <w:rPr>
          <w:rFonts w:hint="eastAsia"/>
        </w:rPr>
        <w:t xml:space="preserve">翟帆.</w:t>
      </w:r>
      <w:r>
        <w:t xml:space="preserve"> (2022). </w:t>
      </w:r>
      <w:r>
        <w:rPr>
          <w:rFonts w:hint="eastAsia"/>
        </w:rPr>
        <w:t xml:space="preserve">大数据时代职业教育课程改革的方向与策略.</w:t>
      </w:r>
      <w:r>
        <w:t xml:space="preserve"> </w:t>
      </w:r>
      <w:r>
        <w:rPr>
          <w:rFonts w:hint="eastAsia"/>
          <w:i/>
          <w:iCs/>
        </w:rPr>
        <w:t xml:space="preserve">职教论坛</w:t>
      </w:r>
      <w:r>
        <w:t xml:space="preserve">, (4), 5–11.</w:t>
      </w:r>
    </w:p>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专精特新”小巨人”企业人才需求图谱——基于深圳市2016—2024年招聘大数据的结构分析与文本挖掘</dc:title>
  <dc:creator>深圳信息职业技术大学</dc:creator>
  <cp:keywords/>
  <dcterms:created xsi:type="dcterms:W3CDTF">2026-03-23T05:26:37Z</dcterms:created>
  <dcterms:modified xsi:type="dcterms:W3CDTF">2026-03-23T05:26:37Z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2026年3月</vt:lpwstr>
  </property>
</Properties>
</file>