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06478"/>
          <w:sz w:val="22"/>
        </w:rPr>
        <w:t>MODEL CONTROL DIAGNOSTICS</w:t>
      </w:r>
    </w:p>
    <w:p>
      <w:pPr>
        <w:pStyle w:val="Title"/>
        <w:jc w:val="center"/>
      </w:pPr>
      <w:r>
        <w:t>WORD-SENSITIVITY-002</w:t>
        <w:br/>
        <w:t>Same Token, Different State</w:t>
      </w:r>
    </w:p>
    <w:p>
      <w:pPr>
        <w:jc w:val="center"/>
      </w:pPr>
      <w:r>
        <w:rPr>
          <w:b/>
          <w:sz w:val="24"/>
        </w:rPr>
        <w:t>Context Sensitivity / State Transplant Diagnostic</w:t>
      </w:r>
    </w:p>
    <w:p>
      <w:pPr>
        <w:jc w:val="center"/>
      </w:pPr>
      <w:r>
        <w:rPr>
          <w:sz w:val="20"/>
        </w:rPr>
        <w:t>2026-09-26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核心问题：固定同一个 token embedding，不改 token identity、不改模型参数，只把它放入不同真实 prefix state。如果它的控制指纹仍发生大幅变化，那么“敏感词”就不是词本身的稳定属性，而是 token × state 的条件动力学。</w:t>
            </w:r>
          </w:p>
        </w:tc>
      </w:tr>
    </w:tbl>
    <w:p/>
    <w:p>
      <w:pPr>
        <w:pStyle w:val="Heading1"/>
      </w:pPr>
      <w:r>
        <w:t>0. 文档定位</w:t>
      </w:r>
    </w:p>
    <w:p>
      <w:r>
        <w:t>本文件是工程诊断系列的第二项独立实验记录。它直接承接 WORD-SENSITIVITY-001 的 Token Control Scanner，但把研究单位从“token occurrence”改成完整的 token × state 因子设计。所有 transplant 使用同一只冻结模型，因此本轮不涉及重新训练，也不把强制插入后的轨迹当作自然语言生成证据；它是工程压力测试。</w:t>
      </w:r>
    </w:p>
    <w:p>
      <w:pPr>
        <w:pStyle w:val="Heading1"/>
      </w:pPr>
      <w:r>
        <w:t>1. 工程问题</w:t>
      </w:r>
    </w:p>
    <w:p>
      <w:r>
        <w:t>当工程师观察到某个词导致模型行为剧烈变化时，至少有两种解释：① lexical identity 自身在模型中具有稳定高增益；② 该词只是恰好落入某个高敏感 state，其功能由当前 hidden state 与局部 control geometry 决定。本实验用完整 factorial state transplant 将两者拆开。</w:t>
      </w:r>
    </w:p>
    <w:p>
      <w:pPr>
        <w:pStyle w:val="Heading1"/>
      </w:pPr>
      <w:r>
        <w:t>2. 实验设计：完整 token × state 驾驶舱压力测试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8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Frozen model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897-param Adam GRU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 embedding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6D learned embedding，整个实验保持固定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State bank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 probes × 44 real prefix states = 352 states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Candidate tokens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0, 1, ;, result, xor, A, B, C, D, compute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Full factorial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 tokens × 352 states = 3,520 cases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Steer probe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固定下一 probe token = result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Natural subset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只保留 token == 该 state 原本 natural token 的 occurrence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Stress-test subset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把同一固定 token transplant 到全部真实 prefix states</w:t>
            </w:r>
          </w:p>
        </w:tc>
      </w:tr>
    </w:tbl>
    <w:p/>
    <w:p>
      <w:r>
        <w:t>每个 state 都来自模型实际 canonical Prompt→CoT→Answer 轨迹的 prefix；强制 transplant 只改变当前送入 GRU 的 token embedding。因此 token identity 保持严格固定，变化来自当前 state 与 token 的联合动力学。</w:t>
      </w:r>
    </w:p>
    <w:p>
      <w:pPr>
        <w:pStyle w:val="Heading1"/>
      </w:pPr>
      <w:r>
        <w:t>3. 本轮局部控制指纹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338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Definition</w:t>
            </w:r>
          </w:p>
        </w:tc>
        <w:tc>
          <w:tcPr>
            <w:tcW w:type="dxa" w:w="3389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5"/>
              </w:rPr>
              <w:t>Engineering meaning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Immediate Drive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||∂z_after-token / ∂e||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同一 token 此刻直接改变即时 answer propensity 的能力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Input Gain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σ₁(∂h⁺/∂e)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token→state 最大局部注入增益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Carry Gain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σ₁(∂h⁺/∂h)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当前 token 后，已有 state 差异还能被保留/放大多少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Probe Steer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σ₁(∂²z₂/∂e_current∂e_result)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当前 token 改变固定下一 probe token 控制能力的强度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Alignment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|cos(e-e_ref, ∂z/∂e)|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固定 token action 与当前即时 answer-control 方向的对齐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State Displacement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||h⁺-h||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5"/>
              </w:rPr>
              <w:t>当前 token 对状态造成的有限位移</w:t>
            </w:r>
          </w:p>
        </w:tc>
      </w:tr>
    </w:tbl>
    <w:p/>
    <w:p>
      <w:pPr>
        <w:pStyle w:val="Heading1"/>
      </w:pPr>
      <w:r>
        <w:t>4. 方差拆账：词自身只解释了少数变化</w:t>
      </w:r>
    </w:p>
    <w:p>
      <w:r>
        <w:t>为了把数量级跨度纳入同一平衡因子设计，除 Alignment 外的正值指标先取 log10，再对完整 10×352 矩阵做两因素平衡分解：Token identity 主效应、State 主效应、Token×State 非加性交互。三部分平方和精确相加为总平方和。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Scale</w:t>
            </w:r>
          </w:p>
        </w:tc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Token identity</w:t>
            </w:r>
          </w:p>
        </w:tc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203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Token × state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ImmediateDrive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19.03%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6.64%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74.33%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InputGain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19.89%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29.21%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50.90%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CarryGain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13.25%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46.98%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39.77%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27.09%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16.36%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56.55%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Alignment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raw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27.24%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7.75%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65.01%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StateDisplacement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log10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7.83%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22.43%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69.75%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variance_decompos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1. 完整 token × state 平衡设计的变异拆账。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7F4E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最强结果：Immediate Drive 的 token identity 只解释 19.03%，Token×State interaction 占 74.33%；Probe Steer 的 interaction 占 56.55%；Alignment 的 interaction 占 65.01%。Carry Gain 则由 State 主效应 46.98% + interaction 39.77% 主导，token identity 仅 13.25%。</w:t>
            </w:r>
          </w:p>
        </w:tc>
      </w:tr>
    </w:tbl>
    <w:p/>
    <w:p>
      <w:pPr>
        <w:pStyle w:val="Heading1"/>
      </w:pPr>
      <w:r>
        <w:t>5. Context Sensitivity Card：哪些 token 最依赖状态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Context-dependency %ile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Fingerprint dispersion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Hot-state rate %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Largest robust span metric</w:t>
            </w:r>
          </w:p>
        </w:tc>
        <w:tc>
          <w:tcPr>
            <w:tcW w:type="dxa" w:w="1694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q95/q05 span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;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2.6134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87.2159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ImmediateDrive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5.2717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2.5173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33.8068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4.8650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result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2.4715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65.0568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5.2050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2.2118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33.2386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5.2486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1.9867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32.9545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ImmediateDrive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4.2224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1.9808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33.5227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3.9211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xor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1.8943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13.6364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CarryGain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2.4586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1.8886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25.0000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4.1094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compute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1.8427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32.1023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5.8009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10.0000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1.5498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56.8182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ProbeSteer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2.4557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670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context_dependency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67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2. Context-dependency percentile 与进入全局 top-10% hotspot 的 state 比例。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940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robust_state_spa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94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3. 同一个固定 token 在 352 个 state 上的 robust 95th/5th sensitivity span。</w:t>
      </w:r>
    </w:p>
    <w:p>
      <w:r>
        <w:t>在当前 10-token 扫描中，`;` 的整体 context dependency 最高；A、result、B 紧随其后。这不是“这些词永久危险”的词典结论，而是说它们的控制指纹对 state 的条件变化特别大。例如 B 的 Probe Steer robust q95/q05 span=5.25×，result=5.20×，compute=5.80×。</w:t>
      </w:r>
    </w:p>
    <w:p>
      <w:pPr>
        <w:pStyle w:val="Heading1"/>
      </w:pPr>
      <w:r>
        <w:t>6. 自然出现范围 vs State Transplant 压力测试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212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natural_vs_transplant_ste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1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4. 同一 token 的自然 occurrence 范围与 state-transplant 完整压力测试范围。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25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Natural max/min</w:t>
            </w:r>
          </w:p>
        </w:tc>
        <w:tc>
          <w:tcPr>
            <w:tcW w:type="dxa" w:w="25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Transplant max/min</w:t>
            </w:r>
          </w:p>
        </w:tc>
        <w:tc>
          <w:tcPr>
            <w:tcW w:type="dxa" w:w="2541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Transplant q95/q05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;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1.1464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5.1988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result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1.0392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6.8816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5.2050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1.3482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11.4869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4.8650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1.2175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9.6237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5.2486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compute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1.0710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6.8008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5.8009</w:t>
            </w:r>
          </w:p>
        </w:tc>
      </w:tr>
    </w:tbl>
    <w:p/>
    <w:p>
      <w:r>
        <w:t>这一对照非常重要。自然轨迹会把某些 token 放在相对狭窄的工作区，因此单看日志会低估其完整状态依赖范围。例如 result 的自然 Probe Steer max/min 只有约 1.04×，但完整 transplant 的极值范围约 6.88×；B 的自然 Probe Steer max/min 约 1.22×，同题 state transplant 可达到 9.62×。这说明“自然看起来稳定”可能只是轨迹约束，而不是 token 功能天然稳定。</w:t>
      </w:r>
    </w:p>
    <w:p>
      <w:pPr>
        <w:pStyle w:val="Heading1"/>
      </w:pPr>
      <w:r>
        <w:t>7. 三个同词高/低状态病例：有限干预闭环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</w:tblGrid>
      <w:tr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Metric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Token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Low state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Low prefix tail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Low pred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Low obs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High state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High prefix tail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High pred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High obs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Pred ratio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Observed ratio</w:t>
            </w:r>
          </w:p>
        </w:tc>
        <w:tc>
          <w:tcPr>
            <w:tcW w:type="dxa" w:w="782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3"/>
              </w:rPr>
              <w:t>Ratio error %</w:t>
            </w:r>
          </w:p>
        </w:tc>
      </w:tr>
      <w:tr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Drive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;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Q=1001 t=35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 ; second result 1 ; combine 1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0.0966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0.0966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Q=1001 t=20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A 1 xor B 0 ; first result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0.6405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0.6402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6.6288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6.6258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0.0460</w:t>
            </w:r>
          </w:p>
        </w:tc>
      </w:tr>
      <w:tr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Steer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Q=1100 t=19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 A 1 xor B 1 ; first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0.0274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0.0274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Q=1100 t=10 PROMPT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 B 1 C 0 D 0 reason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0.2639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0.2637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9.6200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9.6078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0.1268</w:t>
            </w:r>
          </w:p>
        </w:tc>
      </w:tr>
      <w:tr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InputGain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B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Q=1011 t=30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compute C 1 xor D 1 ; second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0.2803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0.2804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Q=1011 t=17 COT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reason : compute A 1 xor B 0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1.2854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1.2850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4.5858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4.5832</w:t>
            </w:r>
          </w:p>
        </w:tc>
        <w:tc>
          <w:tcPr>
            <w:tcW w:type="dxa" w:w="782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3"/>
              </w:rPr>
              <w:t>0.0577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1272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2_finite_pair_valid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2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图 5. 同一 token 在两个 state 上的高/低控制效应比：局部预测与有限干预。</w:t>
      </w:r>
    </w:p>
    <w:p>
      <w:r>
        <w:t>三个病例都严格保持 token embedding 不变。`;` 在同一道 Q=1001 中，仅 prefix state 不同，Immediate Drive 从 0.0966 变为 0.6405，预测 6.6288×，有限干预实测 6.6258×。B 在 Q=1100 中的 Probe Steer 从 0.0274 变为 0.2639，预测 9.6200×，实测 9.6078×。另一组 B 的 Input Gain 从 0.2803 变为 1.2854，预测 4.5858×，实测 4.5832×。三个 ratio error 都低于 0.13%。</w:t>
      </w:r>
    </w:p>
    <w:p>
      <w:pPr>
        <w:pStyle w:val="Heading1"/>
      </w:pPr>
      <w:r>
        <w:t>8. 讨论</w:t>
      </w:r>
    </w:p>
    <w:p>
      <w:pPr>
        <w:pStyle w:val="Heading2"/>
      </w:pPr>
      <w:r>
        <w:t>8.1 “敏感词”更准确的单位是 token event，而不是词典项</w:t>
      </w:r>
    </w:p>
    <w:p>
      <w:r>
        <w:t>本轮完整 factorial 结果说明，工程诊断的基本对象应写成 (model, state, token, target/readout)，而不是 token string。对 Immediate Drive、Probe Steer、Alignment 等指标，最大的变异部分来自 token×state interaction。因此“这个词敏感”在工程语义上应改写为“这个词在这些 state 区域内敏感”。</w:t>
      </w:r>
    </w:p>
    <w:p>
      <w:pPr>
        <w:pStyle w:val="Heading2"/>
      </w:pPr>
      <w:r>
        <w:t>8.2 State 不只是放大/缩小一个固定 token 功能</w:t>
      </w:r>
    </w:p>
    <w:p>
      <w:r>
        <w:t>如果 state 只给每个 token 乘一个公共增益，主要应该看到 State 主效应；但 Immediate Drive 的 interaction 达 74.33%，Probe Steer 56.55%，Alignment 65.01%。这意味着 state 会改变不同 token 的相对功能组织，而不是只把所有 token 同比例放大。从驾驶舱角度，它更像飞行姿态改变后，同一排按钮的功能优先级被重新布线。</w:t>
      </w:r>
    </w:p>
    <w:p>
      <w:pPr>
        <w:pStyle w:val="Heading2"/>
      </w:pPr>
      <w:r>
        <w:t>8.3 自然轨迹存在“舒适工作区”</w:t>
      </w:r>
    </w:p>
    <w:p>
      <w:r>
        <w:t>很多 token 在自然 occurrence 中的指标跨度明显小于完整 state transplant。这提示模型自己的生成轨迹会选择一组较受限的 token-state 配对。因此鲁棒性测试若只统计自然日志，可能漏掉 token 在异常 prefix、prompt injection、格式漂移或人工强制状态下进入的高增益窗口。</w:t>
      </w:r>
    </w:p>
    <w:p>
      <w:pPr>
        <w:pStyle w:val="Heading2"/>
      </w:pPr>
      <w:r>
        <w:t>8.4 Context sensitivity 已经可以被有限操作验证</w:t>
      </w:r>
    </w:p>
    <w:p>
      <w:r>
        <w:t>高/低 state 的局部指标差并非纯微分描述。沿各自的 Drive、Steer、InputGain 主方向做同尺度有限扰动后，预测的高/低效应比与实际 secant 比高度一致。因此 Context Sensitivity Card 可以被用于选择后续压力测试位置，而不是只作为解释性可视化。</w:t>
      </w:r>
    </w:p>
    <w:p>
      <w:pPr>
        <w:pStyle w:val="Heading2"/>
      </w:pPr>
      <w:r>
        <w:t>8.5 对真实 LLM 的工程含义</w:t>
      </w:r>
    </w:p>
    <w:p>
      <w:r>
        <w:t>迁移到 Transformer 时，同一原则仍成立：token embedding 固定并不意味着 token 功能固定。需要在不同 residual-stream / layer state 下重新测 token→future Jacobian、local control directions 与 mixed derivatives。对真实系统，工程界面应报告“token 在什么 state 条件下进入 top percentile hotspot”，而不是维护一张静态敏感词表。</w:t>
      </w:r>
    </w:p>
    <w:p>
      <w:pPr>
        <w:pStyle w:val="Heading1"/>
      </w:pPr>
      <w:r>
        <w:t>9. 边界</w:t>
      </w:r>
    </w:p>
    <w:p>
      <w:pPr/>
      <w:r>
        <w:t>State transplant 是诊断压力测试；强制 token 可能落入自然生成很少访问的 off-trajectory state-token 组合。</w:t>
      </w:r>
    </w:p>
    <w:p>
      <w:pPr/>
      <w:r>
        <w:t>Probe Steer 使用固定下一 probe token `result`，因此它是一个标准化相对指标，不等于所有可能下一 token 的总 meta-control。</w:t>
      </w:r>
    </w:p>
    <w:p>
      <w:pPr/>
      <w:r>
        <w:t>本轮只扫描 10 个高频/结构 token 与 352 个小模型 prefix states；ContextDependency percentile 仅在这组候选中定义。</w:t>
      </w:r>
    </w:p>
    <w:p>
      <w:pPr/>
      <w:r>
        <w:t>两因素变异拆账是平衡诊断方差分配，不是训练数据因果归因；训练 foundation 将在下一实验单独介入。</w:t>
      </w:r>
    </w:p>
    <w:p>
      <w:pPr/>
      <w:r>
        <w:t>Alignment 依赖当前模型的 embedding coordinate / reference choice；跨模型比较需要 quotient/gauge-aware 版本。</w:t>
      </w:r>
    </w:p>
    <w:p>
      <w:pPr>
        <w:pStyle w:val="Heading1"/>
      </w:pPr>
      <w:r>
        <w:t>10. 工程输出规范：Context Sensitivity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83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Engineering meaning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固定 token identity / embedding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Context dependency percentile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该 token 的控制指纹随 state 变化有多大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Hot-state rate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多少真实 prefix state 会把它推入任一全局 top-10% 控制热点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Robust spans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Drive / Steer / Gain 的 q95/q05 动态范围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Natural vs transplant range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自然使用是否只覆盖狭窄工作区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Extreme states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低/高敏感 state 的问题、位置、prefix tail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Finite validation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高/低效应比是否由实际有限干预复现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下一实验 WORD-SENSITIVITY-003 — Foundation Position：固定 token 与诊断 state，换 endpoint-matched training foundation，直接问同一个 token-state event 的控制指纹有多少是训练历史塑造出来的。</w:t>
            </w:r>
          </w:p>
        </w:tc>
      </w:tr>
    </w:tbl>
    <w:p/>
    <w:p>
      <w:pPr>
        <w:pStyle w:val="Heading1"/>
      </w:pPr>
      <w:r>
        <w:t>11. 原始数据与图件索引</w:t>
      </w:r>
    </w:p>
    <w:p>
      <w:r>
        <w:t>WORD_SENSITIVITY_002_state_transplant_full.csv</w:t>
      </w:r>
    </w:p>
    <w:p>
      <w:r>
        <w:t>WORD_SENSITIVITY_002_variance_decomposition.csv</w:t>
      </w:r>
    </w:p>
    <w:p>
      <w:r>
        <w:t>WORD_SENSITIVITY_002_token_state_dependence.csv</w:t>
      </w:r>
    </w:p>
    <w:p>
      <w:r>
        <w:t>WORD_SENSITIVITY_002_context_sensitivity_cards.csv</w:t>
      </w:r>
    </w:p>
    <w:p>
      <w:r>
        <w:t>WORD_SENSITIVITY_002_context_sensitivity_cards.json</w:t>
      </w:r>
    </w:p>
    <w:p>
      <w:r>
        <w:t>WORD_SENSITIVITY_002_natural_occurrence_variation.csv</w:t>
      </w:r>
    </w:p>
    <w:p>
      <w:r>
        <w:t>WORD_SENSITIVITY_002_natural_vs_transplant_range.csv</w:t>
      </w:r>
    </w:p>
    <w:p>
      <w:r>
        <w:t>WORD_SENSITIVITY_002_extreme_state_pairs.csv</w:t>
      </w:r>
    </w:p>
    <w:p>
      <w:r>
        <w:t>WORD_SENSITIVITY_002_same_question_extreme_pairs.csv</w:t>
      </w:r>
    </w:p>
    <w:p>
      <w:r>
        <w:t>WORD_SENSITIVITY_002_finite_pair_validation.csv</w:t>
      </w:r>
    </w:p>
    <w:p>
      <w:r>
        <w:t>WORD_SENSITIVITY_002_finite_pair_validation_context.csv</w:t>
      </w:r>
    </w:p>
    <w:p>
      <w:r>
        <w:t>WORD_SENSITIVITY_002_variance_decomposition.png</w:t>
      </w:r>
    </w:p>
    <w:p>
      <w:r>
        <w:t>WORD_SENSITIVITY_002_robust_state_span_heatmap.png</w:t>
      </w:r>
    </w:p>
    <w:p>
      <w:r>
        <w:t>WORD_SENSITIVITY_002_context_dependency_map.png</w:t>
      </w:r>
    </w:p>
    <w:p>
      <w:r>
        <w:t>WORD_SENSITIVITY_002_natural_vs_transplant_steer.png</w:t>
      </w:r>
    </w:p>
    <w:p>
      <w:r>
        <w:t>WORD_SENSITIVITY_002_finite_pair_validation.png</w:t>
      </w:r>
    </w:p>
    <w:sectPr w:rsidR="00FC693F" w:rsidRPr="0006063C" w:rsidSect="00034616">
      <w:footerReference w:type="default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MODEL CONTROL DIAGNOSTICS | WORD-SENSITIVITY-002 | 2026-09-26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E4B7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E4B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E4B7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83D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