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4"/>
        </w:rPr>
        <w:t>MODEL CONTROL DIAGNOSTICS</w:t>
      </w:r>
    </w:p>
    <w:p>
      <w:pPr>
        <w:pStyle w:val="Title"/>
        <w:jc w:val="center"/>
      </w:pPr>
      <w:r>
        <w:t>Living Engineering Record</w:t>
      </w:r>
    </w:p>
    <w:p>
      <w:pPr>
        <w:jc w:val="center"/>
      </w:pPr>
      <w:r>
        <w:t>v0.2 | 2026-09-26</w:t>
      </w:r>
    </w:p>
    <w:p>
      <w:pPr>
        <w:jc w:val="center"/>
      </w:pPr>
      <w:r>
        <w:rPr>
          <w:sz w:val="22"/>
        </w:rPr>
        <w:t>成型模型响应谱系 · Token Operator OS · 现实故障定位与防护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</w:tcPr>
          <w:p>
            <w:r>
              <w:rPr>
                <w:rFonts w:ascii="Arial" w:hAnsi="Arial" w:eastAsia="Noto Sans CJK SC"/>
                <w:sz w:val="19"/>
              </w:rPr>
              <w:t>工程主档规则：从 WORD-SENSITIVITY-001 起，后续工程实验都直接追加到本 Living Engineering Record；每轮保留当时实验记录、原始数值、讨论、边界、工程接口与版本历史。</w:t>
            </w:r>
          </w:p>
        </w:tc>
      </w:tr>
    </w:tbl>
    <w:p>
      <w:r>
        <w:br w:type="page"/>
      </w:r>
    </w:p>
    <w:p>
      <w:pPr>
        <w:pStyle w:val="Heading1"/>
      </w:pPr>
      <w:r>
        <w:t>0. Engineering line overview</w:t>
      </w:r>
    </w:p>
    <w:p>
      <w:r>
        <w:t>本工程线以已经成型的模型为对象，不做训练历史归因。核心目标是把模型对词、状态、组合、真实故障文本与动作边界的响应转化为工程师可以直接查询、定位、干预和防护的操作系统。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Engineering question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 token 敏感性拆成可操作控制遥测，并有限干预闭环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固定 token，跨真实 prefix states 测 Context Sensitivity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TOKEN-OPERATOR-ATLAS-001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把词的工程意义实现成可执行 state-dependent operator OS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REAL-WORLD-OPERATOR-FAILURES-001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收集现实公开故障文本并转成 operator-level 工程病历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一键定位 token × layer × Failure Control Axis，并生成干预/防护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t>6</w:t>
            </w:r>
          </w:p>
        </w:tc>
        <w:tc>
          <w:tcPr>
            <w:tcW w:type="dxa" w:w="2570"/>
          </w:tcPr>
          <w:p>
            <w:r>
              <w:t>TOOL-CALL-001</w:t>
            </w:r>
          </w:p>
        </w:tc>
        <w:tc>
          <w:tcPr>
            <w:tcW w:type="dxa" w:w="2570"/>
          </w:tcPr>
          <w:p>
            <w:r>
              <w:t>把工具调用写成 hybrid action system；定义工具稳定半径、registry escape 与 schema 连锁失稳</w:t>
            </w:r>
          </w:p>
        </w:tc>
        <w:tc>
          <w:tcPr>
            <w:tcW w:type="dxa" w:w="2570"/>
          </w:tcPr>
          <w:p>
            <w:r>
              <w:t>completed</w:t>
            </w:r>
          </w:p>
        </w:tc>
      </w:tr>
    </w:tbl>
    <w:p/>
    <w:p>
      <w:pPr>
        <w:pStyle w:val="Heading2"/>
      </w:pPr>
      <w:r>
        <w:t>0.1 Current engineering stack</w:t>
      </w:r>
    </w:p>
    <w:p>
      <w:r>
        <w:t>SCAN / CARD / APPLY / COMPARE / COMPOSE / ORDER → LOCATE / TRACE / PATCH / GUARD / VERIFY → TOOL-RADIUS / REGISTRY-GATE / SCHEMA-CHECK</w:t>
      </w:r>
    </w:p>
    <w:p>
      <w:r>
        <w:t>前半段负责把语言单位作为 state-dependent operators 操作；后半段负责把现实系统故障定位到具体 source、token、layer 与 intervention-validated control axis，并把防护落实为 deterministic boundary guards + telemetry。</w:t>
      </w:r>
    </w:p>
    <w:p>
      <w:pPr>
        <w:pStyle w:val="Heading2"/>
      </w:pPr>
      <w:r>
        <w:t>0.2 Update rule</w:t>
      </w:r>
    </w:p>
    <w:p>
      <w:r>
        <w:t>以后每完成一项工程实验，直接在本主档末尾新增完整章节，并更新首页索引、Current engineering stack 与版本历史；不再另建互相分散的工程主文档。单项 artifact/代码/CSV 可以继续独立保存，但实验叙事与讨论必须进入本主档。</w:t>
      </w:r>
    </w:p>
    <w:p>
      <w:pPr>
        <w:pStyle w:val="Heading2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Included experiments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v0.1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2026-09-26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WS-001, WS-002, TOKEN-OPERATOR-ATLAS-001, REAL-WORLD-OPERATOR-FAILURES-001, 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Initial unified engineering record</w:t>
            </w:r>
          </w:p>
        </w:tc>
      </w:tr>
      <w:tr>
        <w:tc>
          <w:tcPr>
            <w:tcW w:type="dxa" w:w="2570"/>
          </w:tcPr>
          <w:p>
            <w:r>
              <w:t>v0.2</w:t>
            </w:r>
          </w:p>
        </w:tc>
        <w:tc>
          <w:tcPr>
            <w:tcW w:type="dxa" w:w="2570"/>
          </w:tcPr>
          <w:p>
            <w:r>
              <w:t>2026-09-26</w:t>
            </w:r>
          </w:p>
        </w:tc>
        <w:tc>
          <w:tcPr>
            <w:tcW w:type="dxa" w:w="2570"/>
          </w:tcPr>
          <w:p>
            <w:r>
              <w:t>v0.1 + TOOL-CALL-001</w:t>
            </w:r>
          </w:p>
        </w:tc>
        <w:tc>
          <w:tcPr>
            <w:tcW w:type="dxa" w:w="2570"/>
          </w:tcPr>
          <w:p>
            <w:r>
              <w:t>Added tool-calling hybrid action geometry, stability radius, registry escape and schema fragility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1  |  WORD-SENSITIVITY-001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2  |  WORD-SENSITIVITY-002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3  |  TOKEN-OPERATOR-ATLAS-001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4  |  REAL-WORLD-OPERATOR-FAILURES-001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5  |  REAL-WORLD-OPERATOR-TELEMETRY-002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6  |  TOOL-CALL-001</w:t>
      </w:r>
    </w:p>
    <w:p>
      <w:pPr>
        <w:pStyle w:val="Heading1"/>
      </w:pPr>
      <w:r>
        <w:t>TOOL-CALL-001 — Hybrid Action Geometry</w:t>
      </w:r>
    </w:p>
    <w:p>
      <w:r>
        <w:t>工程问题：工具调用在一个已经成型的语言模型里，数学上到底是什么对象；为什么它比普通文本输出更容易出现硬失败。本实验将工具调用写成连续 hidden state + 离散 mode/tool 选择 + schema-constrained arguments + 外部世界执行的 hybrid action system。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核心区别：普通 token 主要改变下一语言状态；tool call 跨过一个执行边界。很小的内部状态变化可以让 argmax 从 TEXT 变成 TOOL、从 tool A 变成 tool B，但外部世界变化是有限跳变，因此局部小误差可以被执行器放大成硬故障。</w:t>
            </w:r>
          </w:p>
        </w:tc>
      </w:tr>
    </w:tbl>
    <w:p/>
    <w:p>
      <w:pPr>
        <w:pStyle w:val="Heading2"/>
      </w:pPr>
      <w:r>
        <w:t>6.1 最小数学形式</w:t>
      </w:r>
    </w:p>
    <w:p>
      <w:r>
        <w:t>令 x 为当前模型状态，R 为 runtime tool registry，m 为 TEXT / TOOL / ABSTAIN mode，k 为 tool identity，a 为结构化 arguments。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p(m,k,a | x,R)</w:t>
              <w:br/>
              <w:t>= p(m | x,R)</w:t>
              <w:br/>
              <w:t xml:space="preserve">  p(k | m,x,R)</w:t>
              <w:br/>
              <w:t xml:space="preserve">  p(a | k,x,R)</w:t>
              <w:br/>
              <w:br/>
              <w:t>world_{t+1} = E_k(world_t, a)</w:t>
              <w:br/>
              <w:t>observation = O(world_{t+1})</w:t>
              <w:br/>
              <w:t>x_{t+1} = T_observation(x_t, observation)</w:t>
            </w:r>
          </w:p>
        </w:tc>
      </w:tr>
    </w:tbl>
    <w:p/>
    <w:p>
      <w:r>
        <w:t>因此 tool call 不是输出终点，而是模型闭环中的外部动作节点。其 surface JSON / function-call tokens 只是一个把语言状态映射到 executor action space 的编码。</w:t>
      </w:r>
    </w:p>
    <w:p>
      <w:pPr>
        <w:pStyle w:val="Heading2"/>
      </w:pPr>
      <w:r>
        <w:t>6.2 为什么它特别不稳定：四个结构原因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consequence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Discrete boundary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工具选择是 argmax / constrained decode；跨边界后动作身份瞬间改变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Registry-conditioned admissibility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模型语言先验可以想到某个工具名，但 runtime registry 可能根本没有它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Sequential schema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tool name + arguments 是按序生成；每个 slot 的误差会改变后续 state，整条 call 的有效率相乘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External execution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内部 perturbation 很小，但不同 tool / args 对真实 world 的 effect 可以相差巨大</w:t>
            </w:r>
          </w:p>
        </w:tc>
      </w:tr>
    </w:tbl>
    <w:p/>
    <w:p>
      <w:pPr>
        <w:pStyle w:val="Heading2"/>
      </w:pPr>
      <w:r>
        <w:t>6.3 第一核心仪表：Tool Stability Radius</w:t>
      </w:r>
    </w:p>
    <w:p>
      <w:r>
        <w:t>若当前赢家 action 的 logit 与 runner-up 的 margin 为 M，margin 对当前 hidden state 的梯度为 ∇xM，则局部最近决策边界距离定义为：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d_flip = M / ||∇x M||</w:t>
            </w:r>
          </w:p>
        </w:tc>
      </w:tr>
    </w:tbl>
    <w:p/>
    <w:p>
      <w:r>
        <w:t>d_flip 近似回答：需要多小的 hidden-state 变化就能把当前工具选择翻掉。它比单独看 confidence/logit 更工程，因为同样的 margin 在陡峭和缓慢的决策面上具有完全不同的稳定性。</w:t>
      </w:r>
    </w:p>
    <w:p>
      <w:pPr>
        <w:pStyle w:val="Heading2"/>
      </w:pPr>
      <w:r>
        <w:t>6.4 第二核心仪表：Registry Escape Radius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M_reg = max_{k in registry} z_k - max_{j outside registry} z_j</w:t>
              <w:br/>
              <w:t>d_reg = M_reg / ||∇x M_reg||</w:t>
            </w:r>
          </w:p>
        </w:tc>
      </w:tr>
    </w:tbl>
    <w:p/>
    <w:p>
      <w:r>
        <w:t>M_reg &lt; 0 表示模型内部更偏向 registry 外动作；d_reg 很小表示虽然当前仍选合法工具，但一个很小的内部变化就足以让 hallucinated/unregistered action 超过合法工具。</w:t>
      </w:r>
    </w:p>
    <w:p>
      <w:pPr>
        <w:pStyle w:val="Heading2"/>
      </w:pPr>
      <w:r>
        <w:t>6.5 受控机制实验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median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0.5964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p05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0.0442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Near-boundary (d&lt;0.05) 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0.0563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Median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2.6861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P95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34.7689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No-tool hallucination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2.3000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capture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best tool similarity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0.9338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Goal-to-best-single-tool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base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0.8268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perturbed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0.6487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Relative drop after early perturbation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0.2154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Goal-to-valid-tool-positive-cone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boundary_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6-1. Tool-choice 边界附近：连续 latent movement 很小，但离散 action 可以翻转。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reasoning_cap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6-2. 当 goal/reasoning gain 增强而 registry/feasibility gate 不同步增强时，nonexistent tool 或 distractor 会越过 abstain。</w:t>
      </w:r>
    </w:p>
    <w:p>
      <w:r>
        <w:t>在 20,000 个受控 latent states 中，5.63% 位于 d_flip&lt;0.05 的近边界区。发生 action flip 的有限世界效应 / latent perturbation 放大倍率中位数为 2.69×，P95 为 34.77×。这说明工具调用天然具有“小内部误差 → 大外部动作差”的放大通道。</w:t>
      </w:r>
    </w:p>
    <w:p>
      <w:pPr>
        <w:pStyle w:val="Heading2"/>
      </w:pPr>
      <w:r>
        <w:t>6.6 为什么 reasoning 反而可能增加 tool hallucination</w:t>
      </w:r>
    </w:p>
    <w:p>
      <w:r>
        <w:t>SimpleToolHalluBench 的现实 failure mode 包含 no-tool-available 与 distractor-only。本实验把它写成两个不同增益：goal/reasoning drive 与 feasibility/registry gate。若 reasoning 主要放大前者：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z_requested_tool = λ * goal_match + lexical_prior + registry_signal</w:t>
              <w:br/>
              <w:t>z_abstain        = abstain_signal</w:t>
              <w:br/>
              <w:br/>
              <w:t>If λ grows faster than registry/feasibility evidence:</w:t>
              <w:br/>
              <w:t>requested nonexistent tool can cross the action boundary.</w:t>
            </w:r>
          </w:p>
        </w:tc>
      </w:tr>
    </w:tbl>
    <w:p/>
    <w:p>
      <w:r>
        <w:t>受控实例中 nonexistent-tool score 在 reasoning gain≈2.30 时越过 abstain；只有 distractor tool 时，因为其方向与目标高度相似，约 0.90 的 gain 就发生 capture。这提供了一个直接机制：更强的目标推进并不自动等于更强的可行性判断。</w:t>
      </w:r>
    </w:p>
    <w:p>
      <w:pPr>
        <w:pStyle w:val="Heading2"/>
      </w:pPr>
      <w:r>
        <w:t>6.7 参数/schema 为什么会自己放大错误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schema_compound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6-3. 工具调用由多个顺序决策组成；whole-call validity 随 slot 数乘法下降。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argument_casca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6-4. 一个较早的 tool-name/state perturbation 会改变后续参数条件分布。</w:t>
      </w:r>
    </w:p>
    <w:p>
      <w:r>
        <w:t>如果每个 slot 都有 p 的条件正确率，完整调用有效概率不是 p，而是近似 Π p_t。本轮五 slot 基线完整有效率为 0.827；仅加入一次早期状态扰动后降到 0.649，相对下降 21.5%。所以 function call 的结构化外观并没有消除自回归误差，它只是把错误集中到少数 content-bearing decisions。</w:t>
      </w:r>
    </w:p>
    <w:p>
      <w:pPr>
        <w:pStyle w:val="Heading2"/>
      </w:pPr>
      <w:r>
        <w:t>6.8 工程师操作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TOOL_CALL_001_stability_guard.py calibrate clean_telemetry.npz --out thresholds.json</w:t>
              <w:br/>
              <w:t>python TOOL_CALL_001_stability_guard.py check run_telemetry.npz --thresholds thresholds.json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d_flip；小于 clean p01 时停止直接执行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unknown tool name = deterministic BLOCK，不交给模型决定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d_reg；接近 0 时强制 NO_TOOL/clarification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SCHEMA-CHECK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name/arguments 必须由 registry schema 约束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ARG-SLOT TRACE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分别记录 tool name 与每个 argument value 的 margin/radius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EXECUTION GUARD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真正执行前，模型外再次检查 name、args、permission、scope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RETURN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result 作为外部 observation/data，不自动升级成指令</w:t>
            </w:r>
          </w:p>
        </w:tc>
      </w:tr>
    </w:tbl>
    <w:p/>
    <w:p>
      <w:pPr>
        <w:pStyle w:val="Heading2"/>
      </w:pPr>
      <w:r>
        <w:t>6.9 与现实证据的对应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evidence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issue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Reasoning Trap,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强化 reasoning 在 RL、distillation、reasoning toggle 多种设置中都伴随更高 tool hallucination；no-tool 与 distractor-tool 都被单独测试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MemTR, ACL Findings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失败与 late-layer uncertainty 有关，并集中在 tool names 与 argument values，而不是 schema punctuation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Lost in Execution,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即使 intent/tool selection 正确，argument value 的执行约定仍可失配，说明 tool identity 正确不等于 executable call 正确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Guided Structured Templates, EMNLP 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现实 function calling 常见错误包括 parameterization、tool selection 与 user-intent interpretation；free-form CoT 可适得其反</w:t>
            </w:r>
          </w:p>
        </w:tc>
      </w:tr>
    </w:tbl>
    <w:p/>
    <w:p>
      <w:pPr>
        <w:pStyle w:val="Heading2"/>
      </w:pPr>
      <w:r>
        <w:t>6.10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工具调用的本质是：语言控制代数通过一个 registry/schema-conditioned decoder 跨入外部动作空间。不稳定性主要来自决策边界、可行性与目标增益失配、序列化参数误差，以及外部执行放大。因此工程上不能只监控 tool probability；必须监控“离边界多远”和“离 registry escape 多远”。</w:t>
            </w:r>
          </w:p>
        </w:tc>
      </w:tr>
    </w:tbl>
    <w:p/>
    <w:p>
      <w:pPr>
        <w:pStyle w:val="Heading2"/>
      </w:pPr>
      <w:r>
        <w:t>6.11 下一步</w:t>
      </w:r>
    </w:p>
    <w:p>
      <w:r>
        <w:t>下一实验应直接做 TOOL-CALL-002：把一个可插桩 tool-calling model 的 TEXT/TOOL/ABSTAIN、tool-name、argument-value 决策分别映成 layer×token stability-radius 图，并对真实 SimpleToolHalluBench / APIBank / BFCL 样例做有限 activation patch，验证 failure 是否确实先表现为某个 content-bearing decision 的 boundary radius collapse。</w:t>
      </w:r>
    </w:p>
    <w:p>
      <w:pPr>
        <w:pStyle w:val="Heading2"/>
      </w:pPr>
      <w:r>
        <w:t>6.12 Artifacts</w:t>
      </w:r>
    </w:p>
    <w:p>
      <w:r>
        <w:t>TOOL_CALL_001_stability_guard.py</w:t>
      </w:r>
    </w:p>
    <w:p>
      <w:r>
        <w:t>TOOL_CALL_001_ENGINEER_MANUAL.md</w:t>
      </w:r>
    </w:p>
    <w:p>
      <w:r>
        <w:t>TOOL_CALL_001_summary.csv</w:t>
      </w:r>
    </w:p>
    <w:p>
      <w:r>
        <w:t>TOOL_CALL_001_boundary_amplification.csv</w:t>
      </w:r>
    </w:p>
    <w:p>
      <w:r>
        <w:t>TOOL_CALL_001_reasoning_vs_hallucination.csv</w:t>
      </w:r>
    </w:p>
    <w:p>
      <w:r>
        <w:t>TOOL_CALL_001_distractor_capture.csv</w:t>
      </w:r>
    </w:p>
    <w:p>
      <w:r>
        <w:t>TOOL_CALL_001_schema_chain_fragility.csv</w:t>
      </w:r>
    </w:p>
    <w:p>
      <w:r>
        <w:t>TOOL_CALL_001_argument_slot_cascade.csv</w:t>
      </w:r>
    </w:p>
    <w:p>
      <w:r>
        <w:t>TOOL_CALL_001_manifest.json</w:t>
      </w:r>
    </w:p>
    <w:p>
      <w:r>
        <w:t>TOOL_CALL_001_Artifacts.zip</w:t>
      </w:r>
    </w:p>
    <w:sectPr w:rsidR="00FC693F" w:rsidRPr="0006063C" w:rsidSect="00034616">
      <w:footerReference w:type="default" r:id="rId2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Living Engineering Record v0.2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