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Data-Oriented Modelling: Heterogeneous Data and General Data Intelligence</w:t>
      </w:r>
    </w:p>
    <w:p>
      <w:pPr>
        <w:pStyle w:val="Subtitle"/>
      </w:pPr>
      <w:r>
        <w:t>Data geometry, predictive states, conditional computation and distributed state coordination</w:t>
      </w:r>
    </w:p>
    <w:p>
      <w:r>
        <w:t>Research chapter · Evidence recorded through 27 September 2026</w:t>
      </w:r>
    </w:p>
    <w:p>
      <w:r>
        <w:t>Heterogeneous data require modelling choices that preserve their generating mechanisms, observation processes and native structure. This chapter develops an empirical framework for making those choices. Controlled experiments isolate the effects of capacity, memory, observability and parameter sharing; measurements of real communication and graph data characterize structures that models must retain; distributed execution studies examine how model-related state can be coordinated across computational resources.</w:t>
      </w:r>
    </w:p>
    <w:p>
      <w:pPr>
        <w:pStyle w:val="Heading2"/>
      </w:pPr>
      <w:r>
        <w:t>Reading map</w:t>
      </w:r>
    </w:p>
    <w:p>
      <w:pPr>
        <w:pStyle w:val="Caption"/>
        <w:keepNext/>
      </w:pPr>
      <w:r>
        <w:t>Table 1. Reading map.</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Study group</w:t>
            </w:r>
          </w:p>
        </w:tc>
        <w:tc>
          <w:tcPr>
            <w:tcW w:type="dxa" w:w="6984"/>
            <w:vAlign w:val="center"/>
            <w:shd w:fill="F2F2F2"/>
          </w:tcPr>
          <w:p>
            <w:pPr>
              <w:keepNext/>
              <w:spacing w:after="0" w:before="0" w:line="240" w:lineRule="auto"/>
            </w:pPr>
            <w:r>
              <w:rPr>
                <w:rFonts w:ascii="Calibri" w:hAnsi="Calibri"/>
                <w:b/>
                <w:sz w:val="19"/>
              </w:rPr>
              <w:t>Purpose</w:t>
            </w:r>
          </w:p>
        </w:tc>
      </w:tr>
      <w:tr>
        <w:trPr>
          <w:cantSplit/>
        </w:trPr>
        <w:tc>
          <w:tcPr>
            <w:tcW w:type="dxa" w:w="3240"/>
            <w:vAlign w:val="center"/>
          </w:tcPr>
          <w:p>
            <w:pPr>
              <w:keepNext w:val="0"/>
              <w:spacing w:after="0" w:before="0" w:line="240" w:lineRule="auto"/>
            </w:pPr>
            <w:r>
              <w:rPr>
                <w:rFonts w:ascii="Calibri" w:hAnsi="Calibri"/>
                <w:b w:val="0"/>
                <w:sz w:val="19"/>
              </w:rPr>
              <w:t>Foundational comparisons</w:t>
            </w:r>
          </w:p>
        </w:tc>
        <w:tc>
          <w:tcPr>
            <w:tcW w:type="dxa" w:w="6984"/>
            <w:vAlign w:val="center"/>
          </w:tcPr>
          <w:p>
            <w:pPr>
              <w:keepNext w:val="0"/>
              <w:spacing w:after="0" w:before="0" w:line="240" w:lineRule="auto"/>
            </w:pPr>
            <w:r>
              <w:rPr>
                <w:rFonts w:ascii="Calibri" w:hAnsi="Calibri"/>
                <w:b w:val="0"/>
                <w:sz w:val="19"/>
              </w:rPr>
              <w:t>Hierarchy, capacity, chemical signals, recorded animal communication, physical prediction and routing</w:t>
            </w:r>
          </w:p>
        </w:tc>
      </w:tr>
      <w:tr>
        <w:trPr>
          <w:cantSplit/>
        </w:trPr>
        <w:tc>
          <w:tcPr>
            <w:tcW w:type="dxa" w:w="3240"/>
            <w:vAlign w:val="center"/>
          </w:tcPr>
          <w:p>
            <w:pPr>
              <w:keepNext w:val="0"/>
              <w:spacing w:after="0" w:before="0" w:line="240" w:lineRule="auto"/>
            </w:pPr>
            <w:r>
              <w:rPr>
                <w:rFonts w:ascii="Calibri" w:hAnsi="Calibri"/>
                <w:b w:val="0"/>
                <w:sz w:val="19"/>
              </w:rPr>
              <w:t>Experiments 003–009</w:t>
            </w:r>
          </w:p>
        </w:tc>
        <w:tc>
          <w:tcPr>
            <w:tcW w:type="dxa" w:w="6984"/>
            <w:vAlign w:val="center"/>
          </w:tcPr>
          <w:p>
            <w:pPr>
              <w:keepNext w:val="0"/>
              <w:spacing w:after="0" w:before="0" w:line="240" w:lineRule="auto"/>
            </w:pPr>
            <w:r>
              <w:rPr>
                <w:rFonts w:ascii="Calibri" w:hAnsi="Calibri"/>
                <w:b w:val="0"/>
                <w:sz w:val="19"/>
              </w:rPr>
              <w:t>Data geometry, observability, parameter sharing, hidden generating structure and drift</w:t>
            </w:r>
          </w:p>
        </w:tc>
      </w:tr>
      <w:tr>
        <w:trPr>
          <w:cantSplit/>
        </w:trPr>
        <w:tc>
          <w:tcPr>
            <w:tcW w:type="dxa" w:w="3240"/>
            <w:vAlign w:val="center"/>
          </w:tcPr>
          <w:p>
            <w:pPr>
              <w:keepNext w:val="0"/>
              <w:spacing w:after="0" w:before="0" w:line="240" w:lineRule="auto"/>
            </w:pPr>
            <w:r>
              <w:rPr>
                <w:rFonts w:ascii="Calibri" w:hAnsi="Calibri"/>
                <w:b w:val="0"/>
                <w:sz w:val="19"/>
              </w:rPr>
              <w:t>Experiments 010–014</w:t>
            </w:r>
          </w:p>
        </w:tc>
        <w:tc>
          <w:tcPr>
            <w:tcW w:type="dxa" w:w="6984"/>
            <w:vAlign w:val="center"/>
          </w:tcPr>
          <w:p>
            <w:pPr>
              <w:keepNext w:val="0"/>
              <w:spacing w:after="0" w:before="0" w:line="240" w:lineRule="auto"/>
            </w:pPr>
            <w:r>
              <w:rPr>
                <w:rFonts w:ascii="Calibri" w:hAnsi="Calibri"/>
                <w:b w:val="0"/>
                <w:sz w:val="19"/>
              </w:rPr>
              <w:t>Persistent carriers, lifecycle relations, observation timing and measurement policy</w:t>
            </w:r>
          </w:p>
        </w:tc>
      </w:tr>
      <w:tr>
        <w:trPr>
          <w:cantSplit/>
        </w:trPr>
        <w:tc>
          <w:tcPr>
            <w:tcW w:type="dxa" w:w="3240"/>
            <w:vAlign w:val="center"/>
          </w:tcPr>
          <w:p>
            <w:pPr>
              <w:keepNext w:val="0"/>
              <w:spacing w:after="0" w:before="0" w:line="240" w:lineRule="auto"/>
            </w:pPr>
            <w:r>
              <w:rPr>
                <w:rFonts w:ascii="Calibri" w:hAnsi="Calibri"/>
                <w:b w:val="0"/>
                <w:sz w:val="19"/>
              </w:rPr>
              <w:t>Experiments 015–020</w:t>
            </w:r>
          </w:p>
        </w:tc>
        <w:tc>
          <w:tcPr>
            <w:tcW w:type="dxa" w:w="6984"/>
            <w:vAlign w:val="center"/>
          </w:tcPr>
          <w:p>
            <w:pPr>
              <w:keepNext w:val="0"/>
              <w:spacing w:after="0" w:before="0" w:line="240" w:lineRule="auto"/>
            </w:pPr>
            <w:r>
              <w:rPr>
                <w:rFonts w:ascii="Calibri" w:hAnsi="Calibri"/>
                <w:b w:val="0"/>
                <w:sz w:val="19"/>
              </w:rPr>
              <w:t>Overlapping modules, resource availability, delayed depletion and integrated prediction</w:t>
            </w:r>
          </w:p>
        </w:tc>
      </w:tr>
      <w:tr>
        <w:trPr>
          <w:cantSplit/>
        </w:trPr>
        <w:tc>
          <w:tcPr>
            <w:tcW w:type="dxa" w:w="3240"/>
            <w:vAlign w:val="center"/>
          </w:tcPr>
          <w:p>
            <w:pPr>
              <w:keepNext w:val="0"/>
              <w:spacing w:after="0" w:before="0" w:line="240" w:lineRule="auto"/>
            </w:pPr>
            <w:r>
              <w:rPr>
                <w:rFonts w:ascii="Calibri" w:hAnsi="Calibri"/>
                <w:b w:val="0"/>
                <w:sz w:val="19"/>
              </w:rPr>
              <w:t>Experiments 021–025</w:t>
            </w:r>
          </w:p>
        </w:tc>
        <w:tc>
          <w:tcPr>
            <w:tcW w:type="dxa" w:w="6984"/>
            <w:vAlign w:val="center"/>
          </w:tcPr>
          <w:p>
            <w:pPr>
              <w:keepNext w:val="0"/>
              <w:spacing w:after="0" w:before="0" w:line="240" w:lineRule="auto"/>
            </w:pPr>
            <w:r>
              <w:rPr>
                <w:rFonts w:ascii="Calibri" w:hAnsi="Calibri"/>
                <w:b w:val="0"/>
                <w:sz w:val="19"/>
              </w:rPr>
              <w:t>Architecture reuse across source structures and measured geometry of real graphs</w:t>
            </w:r>
          </w:p>
        </w:tc>
      </w:tr>
      <w:tr>
        <w:trPr>
          <w:cantSplit/>
        </w:trPr>
        <w:tc>
          <w:tcPr>
            <w:tcW w:type="dxa" w:w="3240"/>
            <w:vAlign w:val="center"/>
          </w:tcPr>
          <w:p>
            <w:pPr>
              <w:keepNext w:val="0"/>
              <w:spacing w:after="0" w:before="0" w:line="240" w:lineRule="auto"/>
            </w:pPr>
            <w:r>
              <w:rPr>
                <w:rFonts w:ascii="Calibri" w:hAnsi="Calibri"/>
                <w:b w:val="0"/>
                <w:sz w:val="19"/>
              </w:rPr>
              <w:t>Experiments 026–028</w:t>
            </w:r>
          </w:p>
        </w:tc>
        <w:tc>
          <w:tcPr>
            <w:tcW w:type="dxa" w:w="6984"/>
            <w:vAlign w:val="center"/>
          </w:tcPr>
          <w:p>
            <w:pPr>
              <w:keepNext w:val="0"/>
              <w:spacing w:after="0" w:before="0" w:line="240" w:lineRule="auto"/>
            </w:pPr>
            <w:r>
              <w:rPr>
                <w:rFonts w:ascii="Calibri" w:hAnsi="Calibri"/>
                <w:b w:val="0"/>
                <w:sz w:val="19"/>
              </w:rPr>
              <w:t>Distributed corpus placement, retrieval, fault handling and consistent state updates</w:t>
            </w:r>
          </w:p>
        </w:tc>
      </w:tr>
      <w:tr>
        <w:trPr>
          <w:cantSplit/>
        </w:trPr>
        <w:tc>
          <w:tcPr>
            <w:tcW w:type="dxa" w:w="3240"/>
            <w:vAlign w:val="center"/>
          </w:tcPr>
          <w:p>
            <w:pPr>
              <w:keepNext w:val="0"/>
              <w:spacing w:after="0" w:before="0" w:line="240" w:lineRule="auto"/>
            </w:pPr>
            <w:r>
              <w:rPr>
                <w:rFonts w:ascii="Calibri" w:hAnsi="Calibri"/>
                <w:b w:val="0"/>
                <w:sz w:val="19"/>
              </w:rPr>
              <w:t>General discussion</w:t>
            </w:r>
          </w:p>
        </w:tc>
        <w:tc>
          <w:tcPr>
            <w:tcW w:type="dxa" w:w="6984"/>
            <w:vAlign w:val="center"/>
          </w:tcPr>
          <w:p>
            <w:pPr>
              <w:keepNext w:val="0"/>
              <w:spacing w:after="0" w:before="0" w:line="240" w:lineRule="auto"/>
            </w:pPr>
            <w:r>
              <w:rPr>
                <w:rFonts w:ascii="Calibri" w:hAnsi="Calibri"/>
                <w:b w:val="0"/>
                <w:sz w:val="19"/>
              </w:rPr>
              <w:t>Data-oriented modelling principles and the scope of their experimental support</w:t>
            </w:r>
          </w:p>
        </w:tc>
      </w:tr>
    </w:tbl>
    <w:p>
      <w:pPr>
        <w:pStyle w:val="Heading2"/>
        <w:spacing w:before="100"/>
      </w:pPr>
      <w:r>
        <w:t>Terms and measures</w:t>
      </w:r>
    </w:p>
    <w:p>
      <w:pPr>
        <w:pStyle w:val="Caption"/>
        <w:keepNext/>
      </w:pPr>
      <w:r>
        <w:t>Table 2. Terms used in the chapter.</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Term</w:t>
            </w:r>
          </w:p>
        </w:tc>
        <w:tc>
          <w:tcPr>
            <w:tcW w:type="dxa" w:w="6984"/>
            <w:vAlign w:val="center"/>
            <w:shd w:fill="F2F2F2"/>
          </w:tcPr>
          <w:p>
            <w:pPr>
              <w:keepNext/>
              <w:spacing w:after="0" w:before="0" w:line="240" w:lineRule="auto"/>
            </w:pPr>
            <w:r>
              <w:rPr>
                <w:rFonts w:ascii="Calibri" w:hAnsi="Calibri"/>
                <w:b/>
                <w:sz w:val="19"/>
              </w:rPr>
              <w:t>Meaning in this chapter</w:t>
            </w:r>
          </w:p>
        </w:tc>
      </w:tr>
      <w:tr>
        <w:trPr>
          <w:cantSplit/>
        </w:trPr>
        <w:tc>
          <w:tcPr>
            <w:tcW w:type="dxa" w:w="3240"/>
            <w:vAlign w:val="center"/>
          </w:tcPr>
          <w:p>
            <w:pPr>
              <w:keepNext w:val="0"/>
              <w:spacing w:after="0" w:before="0" w:line="240" w:lineRule="auto"/>
            </w:pPr>
            <w:r>
              <w:rPr>
                <w:rFonts w:ascii="Calibri" w:hAnsi="Calibri"/>
                <w:b w:val="0"/>
                <w:sz w:val="19"/>
              </w:rPr>
              <w:t>Predictive state / GMS</w:t>
            </w:r>
          </w:p>
        </w:tc>
        <w:tc>
          <w:tcPr>
            <w:tcW w:type="dxa" w:w="6984"/>
            <w:vAlign w:val="center"/>
          </w:tcPr>
          <w:p>
            <w:pPr>
              <w:keepNext w:val="0"/>
              <w:spacing w:after="0" w:before="0" w:line="240" w:lineRule="auto"/>
            </w:pPr>
            <w:r>
              <w:rPr>
                <w:rFonts w:ascii="Calibri" w:hAnsi="Calibri"/>
                <w:b w:val="0"/>
                <w:sz w:val="19"/>
              </w:rPr>
              <w:t>Information retained from observations and history to answer specified future-response queries</w:t>
            </w:r>
          </w:p>
        </w:tc>
      </w:tr>
      <w:tr>
        <w:trPr>
          <w:cantSplit/>
        </w:trPr>
        <w:tc>
          <w:tcPr>
            <w:tcW w:type="dxa" w:w="3240"/>
            <w:vAlign w:val="center"/>
          </w:tcPr>
          <w:p>
            <w:pPr>
              <w:keepNext w:val="0"/>
              <w:spacing w:after="0" w:before="0" w:line="240" w:lineRule="auto"/>
            </w:pPr>
            <w:r>
              <w:rPr>
                <w:rFonts w:ascii="Calibri" w:hAnsi="Calibri"/>
                <w:b w:val="0"/>
                <w:sz w:val="19"/>
              </w:rPr>
              <w:t>MoE</w:t>
            </w:r>
          </w:p>
        </w:tc>
        <w:tc>
          <w:tcPr>
            <w:tcW w:type="dxa" w:w="6984"/>
            <w:vAlign w:val="center"/>
          </w:tcPr>
          <w:p>
            <w:pPr>
              <w:keepNext w:val="0"/>
              <w:spacing w:after="0" w:before="0" w:line="240" w:lineRule="auto"/>
            </w:pPr>
            <w:r>
              <w:rPr>
                <w:rFonts w:ascii="Calibri" w:hAnsi="Calibri"/>
                <w:b w:val="0"/>
                <w:sz w:val="19"/>
              </w:rPr>
              <w:t>Mixture of experts; local prediction modules combined by a router</w:t>
            </w:r>
          </w:p>
        </w:tc>
      </w:tr>
      <w:tr>
        <w:trPr>
          <w:cantSplit/>
        </w:trPr>
        <w:tc>
          <w:tcPr>
            <w:tcW w:type="dxa" w:w="3240"/>
            <w:vAlign w:val="center"/>
          </w:tcPr>
          <w:p>
            <w:pPr>
              <w:keepNext w:val="0"/>
              <w:spacing w:after="0" w:before="0" w:line="240" w:lineRule="auto"/>
            </w:pPr>
            <w:r>
              <w:rPr>
                <w:rFonts w:ascii="Calibri" w:hAnsi="Calibri"/>
                <w:b w:val="0"/>
                <w:sz w:val="19"/>
              </w:rPr>
              <w:t>MSE / R²</w:t>
            </w:r>
          </w:p>
        </w:tc>
        <w:tc>
          <w:tcPr>
            <w:tcW w:type="dxa" w:w="6984"/>
            <w:vAlign w:val="center"/>
          </w:tcPr>
          <w:p>
            <w:pPr>
              <w:keepNext w:val="0"/>
              <w:spacing w:after="0" w:before="0" w:line="240" w:lineRule="auto"/>
            </w:pPr>
            <w:r>
              <w:rPr>
                <w:rFonts w:ascii="Calibri" w:hAnsi="Calibri"/>
                <w:b w:val="0"/>
                <w:sz w:val="19"/>
              </w:rPr>
              <w:t>Mean squared error / coefficient of determination; lower MSE and higher R² are generally preferable within the same task</w:t>
            </w:r>
          </w:p>
        </w:tc>
      </w:tr>
      <w:tr>
        <w:trPr>
          <w:cantSplit/>
        </w:trPr>
        <w:tc>
          <w:tcPr>
            <w:tcW w:type="dxa" w:w="3240"/>
            <w:vAlign w:val="center"/>
          </w:tcPr>
          <w:p>
            <w:pPr>
              <w:keepNext w:val="0"/>
              <w:spacing w:after="0" w:before="0" w:line="240" w:lineRule="auto"/>
            </w:pPr>
            <w:r>
              <w:rPr>
                <w:rFonts w:ascii="Calibri" w:hAnsi="Calibri"/>
                <w:b w:val="0"/>
                <w:sz w:val="19"/>
              </w:rPr>
              <w:t>d95 / r95</w:t>
            </w:r>
          </w:p>
        </w:tc>
        <w:tc>
          <w:tcPr>
            <w:tcW w:type="dxa" w:w="6984"/>
            <w:vAlign w:val="center"/>
          </w:tcPr>
          <w:p>
            <w:pPr>
              <w:keepNext w:val="0"/>
              <w:spacing w:after="0" w:before="0" w:line="240" w:lineRule="auto"/>
            </w:pPr>
            <w:r>
              <w:rPr>
                <w:rFonts w:ascii="Calibri" w:hAnsi="Calibri"/>
                <w:b w:val="0"/>
                <w:sz w:val="19"/>
              </w:rPr>
              <w:t>Reported dimension or rank capturing 95% of the relevant spectrum under the experiment’s stated convention</w:t>
            </w:r>
          </w:p>
        </w:tc>
      </w:tr>
      <w:tr>
        <w:trPr>
          <w:cantSplit/>
        </w:trPr>
        <w:tc>
          <w:tcPr>
            <w:tcW w:type="dxa" w:w="3240"/>
            <w:vAlign w:val="center"/>
          </w:tcPr>
          <w:p>
            <w:pPr>
              <w:keepNext w:val="0"/>
              <w:spacing w:after="0" w:before="0" w:line="240" w:lineRule="auto"/>
            </w:pPr>
            <w:r>
              <w:rPr>
                <w:rFonts w:ascii="Calibri" w:hAnsi="Calibri"/>
                <w:b w:val="0"/>
                <w:sz w:val="19"/>
              </w:rPr>
              <w:t>Stable rank</w:t>
            </w:r>
          </w:p>
        </w:tc>
        <w:tc>
          <w:tcPr>
            <w:tcW w:type="dxa" w:w="6984"/>
            <w:vAlign w:val="center"/>
          </w:tcPr>
          <w:p>
            <w:pPr>
              <w:keepNext w:val="0"/>
              <w:spacing w:after="0" w:before="0" w:line="240" w:lineRule="auto"/>
            </w:pPr>
            <w:r>
              <w:rPr>
                <w:rFonts w:ascii="Calibri" w:hAnsi="Calibri"/>
                <w:b w:val="0"/>
                <w:sz w:val="19"/>
              </w:rPr>
              <w:t>A spectral measure of effective response complexity; distinct from parameter count</w:t>
            </w:r>
          </w:p>
        </w:tc>
      </w:tr>
      <w:tr>
        <w:trPr>
          <w:cantSplit/>
        </w:trPr>
        <w:tc>
          <w:tcPr>
            <w:tcW w:type="dxa" w:w="3240"/>
            <w:vAlign w:val="center"/>
          </w:tcPr>
          <w:p>
            <w:pPr>
              <w:keepNext w:val="0"/>
              <w:spacing w:after="0" w:before="0" w:line="240" w:lineRule="auto"/>
            </w:pPr>
            <w:r>
              <w:rPr>
                <w:rFonts w:ascii="Calibri" w:hAnsi="Calibri"/>
                <w:b w:val="0"/>
                <w:sz w:val="19"/>
              </w:rPr>
              <w:t>NMI / ARI</w:t>
            </w:r>
          </w:p>
        </w:tc>
        <w:tc>
          <w:tcPr>
            <w:tcW w:type="dxa" w:w="6984"/>
            <w:vAlign w:val="center"/>
          </w:tcPr>
          <w:p>
            <w:pPr>
              <w:keepNext w:val="0"/>
              <w:spacing w:after="0" w:before="0" w:line="240" w:lineRule="auto"/>
            </w:pPr>
            <w:r>
              <w:rPr>
                <w:rFonts w:ascii="Calibri" w:hAnsi="Calibri"/>
                <w:b w:val="0"/>
                <w:sz w:val="19"/>
              </w:rPr>
              <w:t>Normalized mutual information / adjusted Rand index for comparing partitions</w:t>
            </w:r>
          </w:p>
        </w:tc>
      </w:tr>
      <w:tr>
        <w:trPr>
          <w:cantSplit/>
        </w:trPr>
        <w:tc>
          <w:tcPr>
            <w:tcW w:type="dxa" w:w="3240"/>
            <w:vAlign w:val="center"/>
          </w:tcPr>
          <w:p>
            <w:pPr>
              <w:keepNext w:val="0"/>
              <w:spacing w:after="0" w:before="0" w:line="240" w:lineRule="auto"/>
            </w:pPr>
            <w:r>
              <w:rPr>
                <w:rFonts w:ascii="Calibri" w:hAnsi="Calibri"/>
                <w:b w:val="0"/>
                <w:sz w:val="19"/>
              </w:rPr>
              <w:t>Observability</w:t>
            </w:r>
          </w:p>
        </w:tc>
        <w:tc>
          <w:tcPr>
            <w:tcW w:type="dxa" w:w="6984"/>
            <w:vAlign w:val="center"/>
          </w:tcPr>
          <w:p>
            <w:pPr>
              <w:keepNext w:val="0"/>
              <w:spacing w:after="0" w:before="0" w:line="240" w:lineRule="auto"/>
            </w:pPr>
            <w:r>
              <w:rPr>
                <w:rFonts w:ascii="Calibri" w:hAnsi="Calibri"/>
                <w:b w:val="0"/>
                <w:sz w:val="19"/>
              </w:rPr>
              <w:t>Information about hidden state recoverable from the specified observations and history</w:t>
            </w:r>
          </w:p>
        </w:tc>
      </w:tr>
      <w:tr>
        <w:trPr>
          <w:cantSplit/>
        </w:trPr>
        <w:tc>
          <w:tcPr>
            <w:tcW w:type="dxa" w:w="3240"/>
            <w:vAlign w:val="center"/>
          </w:tcPr>
          <w:p>
            <w:pPr>
              <w:keepNext w:val="0"/>
              <w:spacing w:after="0" w:before="0" w:line="240" w:lineRule="auto"/>
            </w:pPr>
            <w:r>
              <w:rPr>
                <w:rFonts w:ascii="Calibri" w:hAnsi="Calibri"/>
                <w:b w:val="0"/>
                <w:sz w:val="19"/>
              </w:rPr>
              <w:t>Conditional innovation</w:t>
            </w:r>
          </w:p>
        </w:tc>
        <w:tc>
          <w:tcPr>
            <w:tcW w:type="dxa" w:w="6984"/>
            <w:vAlign w:val="center"/>
          </w:tcPr>
          <w:p>
            <w:pPr>
              <w:keepNext w:val="0"/>
              <w:spacing w:after="0" w:before="0" w:line="240" w:lineRule="auto"/>
            </w:pPr>
            <w:r>
              <w:rPr>
                <w:rFonts w:ascii="Calibri" w:hAnsi="Calibri"/>
                <w:b w:val="0"/>
                <w:sz w:val="19"/>
              </w:rPr>
              <w:t>Variation random given the model’s specified state or history</w:t>
            </w:r>
          </w:p>
        </w:tc>
      </w:tr>
      <w:tr>
        <w:trPr>
          <w:cantSplit/>
        </w:trPr>
        <w:tc>
          <w:tcPr>
            <w:tcW w:type="dxa" w:w="3240"/>
            <w:vAlign w:val="center"/>
          </w:tcPr>
          <w:p>
            <w:pPr>
              <w:keepNext w:val="0"/>
              <w:spacing w:after="0" w:before="0" w:line="240" w:lineRule="auto"/>
            </w:pPr>
            <w:r>
              <w:rPr>
                <w:rFonts w:ascii="Calibri" w:hAnsi="Calibri"/>
                <w:b w:val="0"/>
                <w:sz w:val="19"/>
              </w:rPr>
              <w:t>Rollout</w:t>
            </w:r>
          </w:p>
        </w:tc>
        <w:tc>
          <w:tcPr>
            <w:tcW w:type="dxa" w:w="6984"/>
            <w:vAlign w:val="center"/>
          </w:tcPr>
          <w:p>
            <w:pPr>
              <w:keepNext w:val="0"/>
              <w:spacing w:after="0" w:before="0" w:line="240" w:lineRule="auto"/>
            </w:pPr>
            <w:r>
              <w:rPr>
                <w:rFonts w:ascii="Calibri" w:hAnsi="Calibri"/>
                <w:b w:val="0"/>
                <w:sz w:val="19"/>
              </w:rPr>
              <w:t>Multi-step prediction using the model’s previous outputs as later inputs</w:t>
            </w:r>
          </w:p>
        </w:tc>
      </w:tr>
      <w:tr>
        <w:trPr>
          <w:cantSplit/>
        </w:trPr>
        <w:tc>
          <w:tcPr>
            <w:tcW w:type="dxa" w:w="3240"/>
            <w:vAlign w:val="center"/>
          </w:tcPr>
          <w:p>
            <w:pPr>
              <w:keepNext w:val="0"/>
              <w:spacing w:after="0" w:before="0" w:line="240" w:lineRule="auto"/>
            </w:pPr>
            <w:r>
              <w:rPr>
                <w:rFonts w:ascii="Calibri" w:hAnsi="Calibri"/>
                <w:b w:val="0"/>
                <w:sz w:val="19"/>
              </w:rPr>
              <w:t>Computational body</w:t>
            </w:r>
          </w:p>
        </w:tc>
        <w:tc>
          <w:tcPr>
            <w:tcW w:type="dxa" w:w="6984"/>
            <w:vAlign w:val="center"/>
          </w:tcPr>
          <w:p>
            <w:pPr>
              <w:keepNext w:val="0"/>
              <w:spacing w:after="0" w:before="0" w:line="240" w:lineRule="auto"/>
            </w:pPr>
            <w:r>
              <w:rPr>
                <w:rFonts w:ascii="Calibri" w:hAnsi="Calibri"/>
                <w:b w:val="0"/>
                <w:sz w:val="19"/>
              </w:rPr>
              <w:t>Operational metaphor for available modules, capacities, load history and their coordination; also retained in model identifiers</w:t>
            </w:r>
          </w:p>
        </w:tc>
      </w:tr>
      <w:tr>
        <w:trPr>
          <w:cantSplit/>
        </w:trPr>
        <w:tc>
          <w:tcPr>
            <w:tcW w:type="dxa" w:w="3240"/>
            <w:vAlign w:val="center"/>
          </w:tcPr>
          <w:p>
            <w:pPr>
              <w:keepNext w:val="0"/>
              <w:spacing w:after="0" w:before="0" w:line="240" w:lineRule="auto"/>
            </w:pPr>
            <w:r>
              <w:rPr>
                <w:rFonts w:ascii="Calibri" w:hAnsi="Calibri"/>
                <w:b w:val="0"/>
                <w:sz w:val="19"/>
              </w:rPr>
              <w:t>Owner / shard</w:t>
            </w:r>
          </w:p>
        </w:tc>
        <w:tc>
          <w:tcPr>
            <w:tcW w:type="dxa" w:w="6984"/>
            <w:vAlign w:val="center"/>
          </w:tcPr>
          <w:p>
            <w:pPr>
              <w:keepNext w:val="0"/>
              <w:spacing w:after="0" w:before="0" w:line="240" w:lineRule="auto"/>
            </w:pPr>
            <w:r>
              <w:rPr>
                <w:rFonts w:ascii="Calibri" w:hAnsi="Calibri"/>
                <w:b w:val="0"/>
                <w:sz w:val="19"/>
              </w:rPr>
              <w:t>The authority holding a state object / a physical partition of the corpus</w:t>
            </w:r>
          </w:p>
        </w:tc>
      </w:tr>
      <w:tr>
        <w:trPr>
          <w:cantSplit/>
        </w:trPr>
        <w:tc>
          <w:tcPr>
            <w:tcW w:type="dxa" w:w="3240"/>
            <w:vAlign w:val="center"/>
          </w:tcPr>
          <w:p>
            <w:pPr>
              <w:keepNext w:val="0"/>
              <w:spacing w:after="0" w:before="0" w:line="240" w:lineRule="auto"/>
            </w:pPr>
            <w:r>
              <w:rPr>
                <w:rFonts w:ascii="Calibri" w:hAnsi="Calibri"/>
                <w:b w:val="0"/>
                <w:sz w:val="19"/>
              </w:rPr>
              <w:t>CAS / DAG</w:t>
            </w:r>
          </w:p>
        </w:tc>
        <w:tc>
          <w:tcPr>
            <w:tcW w:type="dxa" w:w="6984"/>
            <w:vAlign w:val="center"/>
          </w:tcPr>
          <w:p>
            <w:pPr>
              <w:keepNext w:val="0"/>
              <w:spacing w:after="0" w:before="0" w:line="240" w:lineRule="auto"/>
            </w:pPr>
            <w:r>
              <w:rPr>
                <w:rFonts w:ascii="Calibri" w:hAnsi="Calibri"/>
                <w:b w:val="0"/>
                <w:sz w:val="19"/>
              </w:rPr>
              <w:t>Compare-and-set version check / directed acyclic graph of task dependencies</w:t>
            </w:r>
          </w:p>
        </w:tc>
      </w:tr>
      <w:tr>
        <w:trPr>
          <w:cantSplit/>
        </w:trPr>
        <w:tc>
          <w:tcPr>
            <w:tcW w:type="dxa" w:w="3240"/>
            <w:vAlign w:val="center"/>
          </w:tcPr>
          <w:p>
            <w:pPr>
              <w:keepNext w:val="0"/>
              <w:spacing w:after="0" w:before="0" w:line="240" w:lineRule="auto"/>
            </w:pPr>
            <w:r>
              <w:rPr>
                <w:rFonts w:ascii="Calibri" w:hAnsi="Calibri"/>
                <w:b w:val="0"/>
                <w:sz w:val="19"/>
              </w:rPr>
              <w:t>Recall@5 / exact set</w:t>
            </w:r>
          </w:p>
        </w:tc>
        <w:tc>
          <w:tcPr>
            <w:tcW w:type="dxa" w:w="6984"/>
            <w:vAlign w:val="center"/>
          </w:tcPr>
          <w:p>
            <w:pPr>
              <w:keepNext w:val="0"/>
              <w:spacing w:after="0" w:before="0" w:line="240" w:lineRule="auto"/>
            </w:pPr>
            <w:r>
              <w:rPr>
                <w:rFonts w:ascii="Calibri" w:hAnsi="Calibri"/>
                <w:b w:val="0"/>
                <w:sz w:val="19"/>
              </w:rPr>
              <w:t>Fraction of centralized top-5 items recovered / whether the entire top-5 set matches</w:t>
            </w:r>
          </w:p>
        </w:tc>
      </w:tr>
      <w:tr>
        <w:trPr>
          <w:cantSplit/>
        </w:trPr>
        <w:tc>
          <w:tcPr>
            <w:tcW w:type="dxa" w:w="3240"/>
            <w:vAlign w:val="center"/>
          </w:tcPr>
          <w:p>
            <w:pPr>
              <w:keepNext/>
              <w:spacing w:after="0" w:before="0" w:line="240" w:lineRule="auto"/>
            </w:pPr>
            <w:r>
              <w:rPr>
                <w:rFonts w:ascii="Calibri" w:hAnsi="Calibri"/>
                <w:b w:val="0"/>
                <w:sz w:val="19"/>
              </w:rPr>
              <w:t>LCC / CV</w:t>
            </w:r>
          </w:p>
        </w:tc>
        <w:tc>
          <w:tcPr>
            <w:tcW w:type="dxa" w:w="6984"/>
            <w:vAlign w:val="center"/>
          </w:tcPr>
          <w:p>
            <w:pPr>
              <w:keepNext/>
              <w:spacing w:after="0" w:before="0" w:line="240" w:lineRule="auto"/>
            </w:pPr>
            <w:r>
              <w:rPr>
                <w:rFonts w:ascii="Calibri" w:hAnsi="Calibri"/>
                <w:b w:val="0"/>
                <w:sz w:val="19"/>
              </w:rPr>
              <w:t>Largest connected component / coefficient of variation</w:t>
            </w:r>
          </w:p>
        </w:tc>
      </w:tr>
    </w:tbl>
    <w:p>
      <w:pPr>
        <w:keepLines/>
        <w:spacing w:before="60" w:after="120"/>
      </w:pPr>
      <w:r>
        <w:rPr>
          <w:sz w:val="18"/>
        </w:rPr>
        <w:t>Comparisons use the metric and reference defined within each experiment. Source precision is retained; percentages may not reproduce exactly from rounded table entries. Figures retain the original measured results and labels. Evidence-record filenames identify the associated analyses; external raw datasets are not embedded in this document.</w:t>
      </w:r>
    </w:p>
    <w:p>
      <w:pPr>
        <w:pStyle w:val="Heading1"/>
        <w:pageBreakBefore w:val="0"/>
      </w:pPr>
      <w:r>
        <w:t>1. Research scope and evidence structure</w:t>
      </w:r>
    </w:p>
    <w:p>
      <w:r>
        <w:t>General data intelligence is used here as an operational research framework: characterize the data, construct a predictive state suited to the task, allocate computation according to measured structure, and evaluate the resulting predictions and state updates. The evidence comprises the following connected studies.</w:t>
      </w:r>
    </w:p>
    <w:p>
      <w:pPr>
        <w:pStyle w:val="ListBullet"/>
      </w:pPr>
      <w:r>
        <w:t>Individual, cohort and study levels preserve different information about statistical generating mechanisms.</w:t>
      </w:r>
    </w:p>
    <w:p>
      <w:pPr>
        <w:pStyle w:val="ListBullet"/>
      </w:pPr>
      <w:r>
        <w:t>Greater model capacity can separate predictive states without a proportional increase in the number of dominant control directions.</w:t>
      </w:r>
    </w:p>
    <w:p>
      <w:pPr>
        <w:pStyle w:val="ListBullet"/>
      </w:pPr>
      <w:r>
        <w:t>Sequence-based predictive-state learning applies to a controlled chemical communication system with a structured signal space.</w:t>
      </w:r>
    </w:p>
    <w:p>
      <w:pPr>
        <w:pStyle w:val="ListBullet"/>
      </w:pPr>
      <w:r>
        <w:t>Real Bengalese finch sequences show that the same current syllable can have different next-syllable distributions under different histories.</w:t>
      </w:r>
    </w:p>
    <w:p>
      <w:pPr>
        <w:pStyle w:val="ListBullet"/>
      </w:pPr>
      <w:r>
        <w:t>Continuous honeybee dance directions show structure associated with the dance episode.</w:t>
      </w:r>
    </w:p>
    <w:p>
      <w:pPr>
        <w:pStyle w:val="ListBullet"/>
      </w:pPr>
      <w:r>
        <w:t>Quorum-sensing records encode relations among signal families and biological functions.</w:t>
      </w:r>
    </w:p>
    <w:p>
      <w:pPr>
        <w:pStyle w:val="ListBullet"/>
      </w:pPr>
      <w:r>
        <w:t>The controlled physical prediction task exhibits more active rule directions than the low-rank statistical examples in this report.</w:t>
      </w:r>
    </w:p>
    <w:p>
      <w:pPr>
        <w:pStyle w:val="ListBullet"/>
      </w:pPr>
      <w:r>
        <w:t>In WORLD-MOE-002, routing interventions affect long-horizon prediction under heterogeneous transition laws. A comparable modular advantage is absent under the homogeneous law tested.</w:t>
      </w:r>
    </w:p>
    <w:p>
      <w:r>
        <w:t>The central modelling question is how variation in generating mechanisms changes the value of shared parameters, local modules and state-dependent routing. Later experiments treat modules as coordinated contributors whose functional roles are measured through their effects on prediction. These comparisons establish conditions for using conditional computation within the tested systems.</w:t>
      </w:r>
    </w:p>
    <w:p>
      <w:pPr>
        <w:pStyle w:val="Heading2"/>
      </w:pPr>
      <w:r>
        <w:t>1.1 General data intelligence and automated model selection</w:t>
      </w:r>
    </w:p>
    <w:p>
      <w:r>
        <w:t>Conventional task-oriented AutoML commonly starts from specified features, targets and evaluation metrics, then searches over models or hyperparameters. The framework studied here also examines the preceding modelling choices: how observations are generated, how they are measured, which history is informative, and which relationships should enter the predictive state. These questions guide the choice of memory, modules, topology and computation. The distinction concerns the emphasis of this framework; AutoML methods can also include representation and pipeline design.</w:t>
      </w:r>
    </w:p>
    <w:p>
      <w:r>
        <w:t>The short context-to-next-response interface used in several experiments is a local scoring device, comparable to evaluating a next token from a finite prefix. The underlying modelling object is the mechanism that generates trajectories, relations and changes of state over longer horizons. Multi-step evaluation tests whether information captured at the local interface remains useful beyond one prediction.</w:t>
      </w:r>
    </w:p>
    <w:p>
      <w:pPr>
        <w:pStyle w:val="Caption"/>
        <w:keepNext/>
      </w:pPr>
      <w:r>
        <w:t>Table 3. Modelling emphasis and task-oriented model selection.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4032"/>
        <w:gridCol w:w="3960"/>
      </w:tblGrid>
      <w:tr>
        <w:trPr>
          <w:cantSplit/>
          <w:tblHeader/>
        </w:trPr>
        <w:tc>
          <w:tcPr>
            <w:tcW w:type="dxa" w:w="2232"/>
            <w:vAlign w:val="center"/>
            <w:shd w:fill="F2F2F2"/>
          </w:tcPr>
          <w:p>
            <w:pPr>
              <w:keepNext/>
              <w:spacing w:after="0" w:before="0" w:line="240" w:lineRule="auto"/>
            </w:pPr>
            <w:r>
              <w:rPr>
                <w:rFonts w:ascii="Calibri" w:hAnsi="Calibri"/>
                <w:b/>
                <w:sz w:val="19"/>
              </w:rPr>
              <w:t>Aspect</w:t>
            </w:r>
          </w:p>
        </w:tc>
        <w:tc>
          <w:tcPr>
            <w:tcW w:type="dxa" w:w="4032"/>
            <w:vAlign w:val="center"/>
            <w:shd w:fill="F2F2F2"/>
          </w:tcPr>
          <w:p>
            <w:pPr>
              <w:keepNext/>
              <w:spacing w:after="0" w:before="0" w:line="240" w:lineRule="auto"/>
            </w:pPr>
            <w:r>
              <w:rPr>
                <w:rFonts w:ascii="Calibri" w:hAnsi="Calibri"/>
                <w:b/>
                <w:sz w:val="19"/>
              </w:rPr>
              <w:t>Task-oriented AutoML</w:t>
            </w:r>
          </w:p>
        </w:tc>
        <w:tc>
          <w:tcPr>
            <w:tcW w:type="dxa" w:w="3960"/>
            <w:vAlign w:val="center"/>
            <w:shd w:fill="F2F2F2"/>
          </w:tcPr>
          <w:p>
            <w:pPr>
              <w:keepNext/>
              <w:spacing w:after="0" w:before="0" w:line="240" w:lineRule="auto"/>
            </w:pPr>
            <w:r>
              <w:rPr>
                <w:rFonts w:ascii="Calibri" w:hAnsi="Calibri"/>
                <w:b/>
                <w:sz w:val="19"/>
              </w:rPr>
              <w:t>General data intelligence in this chapter</w:t>
            </w:r>
          </w:p>
        </w:tc>
      </w:tr>
      <w:tr>
        <w:trPr>
          <w:cantSplit/>
        </w:trPr>
        <w:tc>
          <w:tcPr>
            <w:tcW w:type="dxa" w:w="2232"/>
            <w:vAlign w:val="center"/>
          </w:tcPr>
          <w:p>
            <w:pPr>
              <w:keepNext w:val="0"/>
              <w:spacing w:after="0" w:before="0" w:line="240" w:lineRule="auto"/>
            </w:pPr>
            <w:r>
              <w:rPr>
                <w:rFonts w:ascii="Calibri" w:hAnsi="Calibri"/>
                <w:b w:val="0"/>
                <w:sz w:val="19"/>
              </w:rPr>
              <w:t>Starting point</w:t>
            </w:r>
          </w:p>
        </w:tc>
        <w:tc>
          <w:tcPr>
            <w:tcW w:type="dxa" w:w="4032"/>
            <w:vAlign w:val="center"/>
          </w:tcPr>
          <w:p>
            <w:pPr>
              <w:keepNext w:val="0"/>
              <w:spacing w:after="0" w:before="0" w:line="240" w:lineRule="auto"/>
            </w:pPr>
            <w:r>
              <w:rPr>
                <w:rFonts w:ascii="Calibri" w:hAnsi="Calibri"/>
                <w:b w:val="0"/>
                <w:sz w:val="19"/>
              </w:rPr>
              <w:t>Specified task, features, targets and metrics</w:t>
            </w:r>
          </w:p>
        </w:tc>
        <w:tc>
          <w:tcPr>
            <w:tcW w:type="dxa" w:w="3960"/>
            <w:vAlign w:val="center"/>
          </w:tcPr>
          <w:p>
            <w:pPr>
              <w:keepNext w:val="0"/>
              <w:spacing w:after="0" w:before="0" w:line="240" w:lineRule="auto"/>
            </w:pPr>
            <w:r>
              <w:rPr>
                <w:rFonts w:ascii="Calibri" w:hAnsi="Calibri"/>
                <w:b w:val="0"/>
                <w:sz w:val="19"/>
              </w:rPr>
              <w:t>Observed data and their generating and observation processes</w:t>
            </w:r>
          </w:p>
        </w:tc>
      </w:tr>
      <w:tr>
        <w:trPr>
          <w:cantSplit/>
        </w:trPr>
        <w:tc>
          <w:tcPr>
            <w:tcW w:type="dxa" w:w="2232"/>
            <w:vAlign w:val="center"/>
          </w:tcPr>
          <w:p>
            <w:pPr>
              <w:keepNext w:val="0"/>
              <w:spacing w:after="0" w:before="0" w:line="240" w:lineRule="auto"/>
            </w:pPr>
            <w:r>
              <w:rPr>
                <w:rFonts w:ascii="Calibri" w:hAnsi="Calibri"/>
                <w:b w:val="0"/>
                <w:sz w:val="19"/>
              </w:rPr>
              <w:t>Emphasis</w:t>
            </w:r>
          </w:p>
        </w:tc>
        <w:tc>
          <w:tcPr>
            <w:tcW w:type="dxa" w:w="4032"/>
            <w:vAlign w:val="center"/>
          </w:tcPr>
          <w:p>
            <w:pPr>
              <w:keepNext w:val="0"/>
              <w:spacing w:after="0" w:before="0" w:line="240" w:lineRule="auto"/>
            </w:pPr>
            <w:r>
              <w:rPr>
                <w:rFonts w:ascii="Calibri" w:hAnsi="Calibri"/>
                <w:b w:val="0"/>
                <w:sz w:val="19"/>
              </w:rPr>
              <w:t>Model selection, combination and tuning</w:t>
            </w:r>
          </w:p>
        </w:tc>
        <w:tc>
          <w:tcPr>
            <w:tcW w:type="dxa" w:w="3960"/>
            <w:vAlign w:val="center"/>
          </w:tcPr>
          <w:p>
            <w:pPr>
              <w:keepNext w:val="0"/>
              <w:spacing w:after="0" w:before="0" w:line="240" w:lineRule="auto"/>
            </w:pPr>
            <w:r>
              <w:rPr>
                <w:rFonts w:ascii="Calibri" w:hAnsi="Calibri"/>
                <w:b w:val="0"/>
                <w:sz w:val="19"/>
              </w:rPr>
              <w:t>Predictive-state construction and mechanism-​informed modelling</w:t>
            </w:r>
          </w:p>
        </w:tc>
      </w:tr>
      <w:tr>
        <w:trPr>
          <w:cantSplit/>
        </w:trPr>
        <w:tc>
          <w:tcPr>
            <w:tcW w:type="dxa" w:w="2232"/>
            <w:vAlign w:val="center"/>
          </w:tcPr>
          <w:p>
            <w:pPr>
              <w:keepNext w:val="0"/>
              <w:spacing w:after="0" w:before="0" w:line="240" w:lineRule="auto"/>
            </w:pPr>
            <w:r>
              <w:rPr>
                <w:rFonts w:ascii="Calibri" w:hAnsi="Calibri"/>
                <w:b w:val="0"/>
                <w:sz w:val="19"/>
              </w:rPr>
              <w:t>Computation</w:t>
            </w:r>
          </w:p>
        </w:tc>
        <w:tc>
          <w:tcPr>
            <w:tcW w:type="dxa" w:w="4032"/>
            <w:vAlign w:val="center"/>
          </w:tcPr>
          <w:p>
            <w:pPr>
              <w:keepNext w:val="0"/>
              <w:spacing w:after="0" w:before="0" w:line="240" w:lineRule="auto"/>
            </w:pPr>
            <w:r>
              <w:rPr>
                <w:rFonts w:ascii="Calibri" w:hAnsi="Calibri"/>
                <w:b w:val="0"/>
                <w:sz w:val="19"/>
              </w:rPr>
              <w:t>Search over task-specific candidates</w:t>
            </w:r>
          </w:p>
        </w:tc>
        <w:tc>
          <w:tcPr>
            <w:tcW w:type="dxa" w:w="3960"/>
            <w:vAlign w:val="center"/>
          </w:tcPr>
          <w:p>
            <w:pPr>
              <w:keepNext w:val="0"/>
              <w:spacing w:after="0" w:before="0" w:line="240" w:lineRule="auto"/>
            </w:pPr>
            <w:r>
              <w:rPr>
                <w:rFonts w:ascii="Calibri" w:hAnsi="Calibri"/>
                <w:b w:val="0"/>
                <w:sz w:val="19"/>
              </w:rPr>
              <w:t>Allocate memory, modules and native representations from measured structure</w:t>
            </w:r>
          </w:p>
        </w:tc>
      </w:tr>
      <w:tr>
        <w:trPr>
          <w:cantSplit/>
        </w:trPr>
        <w:tc>
          <w:tcPr>
            <w:tcW w:type="dxa" w:w="2232"/>
            <w:vAlign w:val="center"/>
          </w:tcPr>
          <w:p>
            <w:pPr>
              <w:keepNext w:val="0"/>
              <w:spacing w:after="0" w:before="0" w:line="240" w:lineRule="auto"/>
            </w:pPr>
            <w:r>
              <w:rPr>
                <w:rFonts w:ascii="Calibri" w:hAnsi="Calibri"/>
                <w:b w:val="0"/>
                <w:sz w:val="19"/>
              </w:rPr>
              <w:t>Local prediction</w:t>
            </w:r>
          </w:p>
        </w:tc>
        <w:tc>
          <w:tcPr>
            <w:tcW w:type="dxa" w:w="4032"/>
            <w:vAlign w:val="center"/>
          </w:tcPr>
          <w:p>
            <w:pPr>
              <w:keepNext w:val="0"/>
              <w:spacing w:after="0" w:before="0" w:line="240" w:lineRule="auto"/>
            </w:pPr>
            <w:r>
              <w:rPr>
                <w:rFonts w:ascii="Calibri" w:hAnsi="Calibri"/>
                <w:b w:val="0"/>
                <w:sz w:val="19"/>
              </w:rPr>
              <w:t>An element of the defined task</w:t>
            </w:r>
          </w:p>
        </w:tc>
        <w:tc>
          <w:tcPr>
            <w:tcW w:type="dxa" w:w="3960"/>
            <w:vAlign w:val="center"/>
          </w:tcPr>
          <w:p>
            <w:pPr>
              <w:keepNext w:val="0"/>
              <w:spacing w:after="0" w:before="0" w:line="240" w:lineRule="auto"/>
            </w:pPr>
            <w:r>
              <w:rPr>
                <w:rFonts w:ascii="Calibri" w:hAnsi="Calibri"/>
                <w:b w:val="0"/>
                <w:sz w:val="19"/>
              </w:rPr>
              <w:t>A scoring interface for evaluating a longer process</w:t>
            </w:r>
          </w:p>
        </w:tc>
      </w:tr>
    </w:tbl>
    <w:p>
      <w:pPr>
        <w:spacing w:before="100"/>
      </w:pPr>
      <w:r>
        <w:t>Automated model selection asks which candidate performs best on a specified task. General data intelligence, as defined in this chapter, also asks which description of the generating and observation processes makes that task scientifically meaningful.</w:t>
      </w:r>
    </w:p>
    <w:p>
      <w:pPr>
        <w:pStyle w:val="Heading1"/>
        <w:pageBreakBefore w:val="0"/>
      </w:pPr>
      <w:r>
        <w:t>2. Generating mechanisms and predictive states</w:t>
      </w:r>
    </w:p>
    <w:p>
      <w:r>
        <w:t>Text, images, movement, chemical structures and population tables differ in more than storage format. Their generating processes can have different effective dimensions, local curvature, memory, noise, symmetries and responses to perturbation. These properties affect what the model must retain and how it should predict.</w:t>
      </w:r>
    </w:p>
    <w:p>
      <w:pPr>
        <w:keepNext/>
        <w:spacing w:after="60"/>
        <w:jc w:val="center"/>
      </w:pPr>
      <w:r>
        <w:drawing>
          <wp:inline xmlns:a="http://schemas.openxmlformats.org/drawingml/2006/main" xmlns:pic="http://schemas.openxmlformats.org/drawingml/2006/picture">
            <wp:extent cx="4884102" cy="4114800"/>
            <wp:docPr id="1" name="Picture 1"/>
            <wp:cNvGraphicFramePr>
              <a:graphicFrameLocks noChangeAspect="1"/>
            </wp:cNvGraphicFramePr>
            <a:graphic>
              <a:graphicData uri="http://schemas.openxmlformats.org/drawingml/2006/picture">
                <pic:pic>
                  <pic:nvPicPr>
                    <pic:cNvPr id="0" name="01_image1.png"/>
                    <pic:cNvPicPr/>
                  </pic:nvPicPr>
                  <pic:blipFill>
                    <a:blip r:embed="rId9"/>
                    <a:stretch>
                      <a:fillRect/>
                    </a:stretch>
                  </pic:blipFill>
                  <pic:spPr>
                    <a:xfrm>
                      <a:off x="0" y="0"/>
                      <a:ext cx="4884102" cy="4114800"/>
                    </a:xfrm>
                    <a:prstGeom prst="rect"/>
                  </pic:spPr>
                </pic:pic>
              </a:graphicData>
            </a:graphic>
          </wp:inline>
        </w:drawing>
      </w:r>
    </w:p>
    <w:p>
      <w:pPr>
        <w:pStyle w:val="Caption"/>
      </w:pPr>
      <w:r>
        <w:t>Figure 1. Native structures across the studied data families. Sequences, graphs, sets, hierarchies and continuous fields retain different relationships. Predictive consequences provide a common comparison objective without requiring identical input encodings.</w:t>
      </w:r>
    </w:p>
    <w:p>
      <w:pPr>
        <w:pStyle w:val="Caption"/>
        <w:keepNext/>
      </w:pPr>
      <w:r>
        <w:t>Table 4. Native structure and measured response geometry.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Property</w:t>
            </w:r>
          </w:p>
        </w:tc>
        <w:tc>
          <w:tcPr>
            <w:tcW w:type="dxa" w:w="2153"/>
            <w:vAlign w:val="center"/>
            <w:shd w:fill="F2F2F2"/>
          </w:tcPr>
          <w:p>
            <w:pPr>
              <w:keepNext/>
              <w:spacing w:after="0" w:before="0" w:line="240" w:lineRule="auto"/>
            </w:pPr>
            <w:r>
              <w:rPr>
                <w:rFonts w:ascii="Calibri" w:hAnsi="Calibri"/>
                <w:b/>
                <w:sz w:val="19"/>
              </w:rPr>
              <w:t>Language / birdsong</w:t>
            </w:r>
          </w:p>
        </w:tc>
        <w:tc>
          <w:tcPr>
            <w:tcW w:type="dxa" w:w="2153"/>
            <w:vAlign w:val="center"/>
            <w:shd w:fill="F2F2F2"/>
          </w:tcPr>
          <w:p>
            <w:pPr>
              <w:keepNext/>
              <w:spacing w:after="0" w:before="0" w:line="240" w:lineRule="auto"/>
            </w:pPr>
            <w:r>
              <w:rPr>
                <w:rFonts w:ascii="Calibri" w:hAnsi="Calibri"/>
                <w:b/>
                <w:sz w:val="19"/>
              </w:rPr>
              <w:t>Chemical / QS</w:t>
            </w:r>
          </w:p>
        </w:tc>
        <w:tc>
          <w:tcPr>
            <w:tcW w:type="dxa" w:w="2153"/>
            <w:vAlign w:val="center"/>
            <w:shd w:fill="F2F2F2"/>
          </w:tcPr>
          <w:p>
            <w:pPr>
              <w:keepNext/>
              <w:spacing w:after="0" w:before="0" w:line="240" w:lineRule="auto"/>
            </w:pPr>
            <w:r>
              <w:rPr>
                <w:rFonts w:ascii="Calibri" w:hAnsi="Calibri"/>
                <w:b/>
                <w:sz w:val="19"/>
              </w:rPr>
              <w:t>Population statistics</w:t>
            </w:r>
          </w:p>
        </w:tc>
        <w:tc>
          <w:tcPr>
            <w:tcW w:type="dxa" w:w="2153"/>
            <w:vAlign w:val="center"/>
            <w:shd w:fill="F2F2F2"/>
          </w:tcPr>
          <w:p>
            <w:pPr>
              <w:keepNext/>
              <w:spacing w:after="0" w:before="0" w:line="240" w:lineRule="auto"/>
            </w:pPr>
            <w:r>
              <w:rPr>
                <w:rFonts w:ascii="Calibri" w:hAnsi="Calibri"/>
                <w:b/>
                <w:sz w:val="19"/>
              </w:rPr>
              <w:t>Physical systems</w:t>
            </w:r>
          </w:p>
        </w:tc>
      </w:tr>
      <w:tr>
        <w:trPr>
          <w:cantSplit/>
        </w:trPr>
        <w:tc>
          <w:tcPr>
            <w:tcW w:type="dxa" w:w="1613"/>
            <w:vAlign w:val="center"/>
          </w:tcPr>
          <w:p>
            <w:pPr>
              <w:keepNext w:val="0"/>
              <w:spacing w:after="0" w:before="0" w:line="240" w:lineRule="auto"/>
            </w:pPr>
            <w:r>
              <w:rPr>
                <w:rFonts w:ascii="Calibri" w:hAnsi="Calibri"/>
                <w:b w:val="0"/>
                <w:sz w:val="19"/>
              </w:rPr>
              <w:t>Native structure</w:t>
            </w:r>
          </w:p>
        </w:tc>
        <w:tc>
          <w:tcPr>
            <w:tcW w:type="dxa" w:w="2153"/>
            <w:vAlign w:val="center"/>
          </w:tcPr>
          <w:p>
            <w:pPr>
              <w:keepNext w:val="0"/>
              <w:spacing w:after="0" w:before="0" w:line="240" w:lineRule="auto"/>
            </w:pPr>
            <w:r>
              <w:rPr>
                <w:rFonts w:ascii="Calibri" w:hAnsi="Calibri"/>
                <w:b w:val="0"/>
                <w:sz w:val="19"/>
              </w:rPr>
              <w:t>Discrete sequences</w:t>
            </w:r>
          </w:p>
        </w:tc>
        <w:tc>
          <w:tcPr>
            <w:tcW w:type="dxa" w:w="2153"/>
            <w:vAlign w:val="center"/>
          </w:tcPr>
          <w:p>
            <w:pPr>
              <w:keepNext w:val="0"/>
              <w:spacing w:after="0" w:before="0" w:line="240" w:lineRule="auto"/>
            </w:pPr>
            <w:r>
              <w:rPr>
                <w:rFonts w:ascii="Calibri" w:hAnsi="Calibri"/>
                <w:b w:val="0"/>
                <w:sz w:val="19"/>
              </w:rPr>
              <w:t>Molecular structure, graphs, mixtures</w:t>
            </w:r>
          </w:p>
        </w:tc>
        <w:tc>
          <w:tcPr>
            <w:tcW w:type="dxa" w:w="2153"/>
            <w:vAlign w:val="center"/>
          </w:tcPr>
          <w:p>
            <w:pPr>
              <w:keepNext w:val="0"/>
              <w:spacing w:after="0" w:before="0" w:line="240" w:lineRule="auto"/>
            </w:pPr>
            <w:r>
              <w:rPr>
                <w:rFonts w:ascii="Calibri" w:hAnsi="Calibri"/>
                <w:b w:val="0"/>
                <w:sz w:val="19"/>
              </w:rPr>
              <w:t>Sets, hierarchy, repeated measures</w:t>
            </w:r>
          </w:p>
        </w:tc>
        <w:tc>
          <w:tcPr>
            <w:tcW w:type="dxa" w:w="2153"/>
            <w:vAlign w:val="center"/>
          </w:tcPr>
          <w:p>
            <w:pPr>
              <w:keepNext w:val="0"/>
              <w:spacing w:after="0" w:before="0" w:line="240" w:lineRule="auto"/>
            </w:pPr>
            <w:r>
              <w:rPr>
                <w:rFonts w:ascii="Calibri" w:hAnsi="Calibri"/>
                <w:b w:val="0"/>
                <w:sz w:val="19"/>
              </w:rPr>
              <w:t>Object graphs, fields, contacts, occlusion</w:t>
            </w:r>
          </w:p>
        </w:tc>
      </w:tr>
      <w:tr>
        <w:trPr>
          <w:cantSplit/>
        </w:trPr>
        <w:tc>
          <w:tcPr>
            <w:tcW w:type="dxa" w:w="1613"/>
            <w:vAlign w:val="center"/>
          </w:tcPr>
          <w:p>
            <w:pPr>
              <w:keepNext w:val="0"/>
              <w:spacing w:after="0" w:before="0" w:line="240" w:lineRule="auto"/>
            </w:pPr>
            <w:r>
              <w:rPr>
                <w:rFonts w:ascii="Calibri" w:hAnsi="Calibri"/>
                <w:b w:val="0"/>
                <w:sz w:val="19"/>
              </w:rPr>
              <w:t>Time structure</w:t>
            </w:r>
          </w:p>
        </w:tc>
        <w:tc>
          <w:tcPr>
            <w:tcW w:type="dxa" w:w="2153"/>
            <w:vAlign w:val="center"/>
          </w:tcPr>
          <w:p>
            <w:pPr>
              <w:keepNext w:val="0"/>
              <w:spacing w:after="0" w:before="0" w:line="240" w:lineRule="auto"/>
            </w:pPr>
            <w:r>
              <w:rPr>
                <w:rFonts w:ascii="Calibri" w:hAnsi="Calibri"/>
                <w:b w:val="0"/>
                <w:sz w:val="19"/>
              </w:rPr>
              <w:t>History and order-sensitive composition</w:t>
            </w:r>
          </w:p>
        </w:tc>
        <w:tc>
          <w:tcPr>
            <w:tcW w:type="dxa" w:w="2153"/>
            <w:vAlign w:val="center"/>
          </w:tcPr>
          <w:p>
            <w:pPr>
              <w:keepNext w:val="0"/>
              <w:spacing w:after="0" w:before="0" w:line="240" w:lineRule="auto"/>
            </w:pPr>
            <w:r>
              <w:rPr>
                <w:rFonts w:ascii="Calibri" w:hAnsi="Calibri"/>
                <w:b w:val="0"/>
                <w:sz w:val="19"/>
              </w:rPr>
              <w:t>Concentrations, reactions, network timing</w:t>
            </w:r>
          </w:p>
        </w:tc>
        <w:tc>
          <w:tcPr>
            <w:tcW w:type="dxa" w:w="2153"/>
            <w:vAlign w:val="center"/>
          </w:tcPr>
          <w:p>
            <w:pPr>
              <w:keepNext w:val="0"/>
              <w:spacing w:after="0" w:before="0" w:line="240" w:lineRule="auto"/>
            </w:pPr>
            <w:r>
              <w:rPr>
                <w:rFonts w:ascii="Calibri" w:hAnsi="Calibri"/>
                <w:b w:val="0"/>
                <w:sz w:val="19"/>
              </w:rPr>
              <w:t>Multiple timescales and cohorts</w:t>
            </w:r>
          </w:p>
        </w:tc>
        <w:tc>
          <w:tcPr>
            <w:tcW w:type="dxa" w:w="2153"/>
            <w:vAlign w:val="center"/>
          </w:tcPr>
          <w:p>
            <w:pPr>
              <w:keepNext w:val="0"/>
              <w:spacing w:after="0" w:before="0" w:line="240" w:lineRule="auto"/>
            </w:pPr>
            <w:r>
              <w:rPr>
                <w:rFonts w:ascii="Calibri" w:hAnsi="Calibri"/>
                <w:b w:val="0"/>
                <w:sz w:val="19"/>
              </w:rPr>
              <w:t>Continuous dynamics and rollout</w:t>
            </w:r>
          </w:p>
        </w:tc>
      </w:tr>
      <w:tr>
        <w:trPr>
          <w:cantSplit/>
        </w:trPr>
        <w:tc>
          <w:tcPr>
            <w:tcW w:type="dxa" w:w="1613"/>
            <w:vAlign w:val="center"/>
          </w:tcPr>
          <w:p>
            <w:pPr>
              <w:keepNext w:val="0"/>
              <w:spacing w:after="0" w:before="0" w:line="240" w:lineRule="auto"/>
            </w:pPr>
            <w:r>
              <w:rPr>
                <w:rFonts w:ascii="Calibri" w:hAnsi="Calibri"/>
                <w:b w:val="0"/>
                <w:sz w:val="19"/>
              </w:rPr>
              <w:t>Measured response complexity</w:t>
            </w:r>
          </w:p>
        </w:tc>
        <w:tc>
          <w:tcPr>
            <w:tcW w:type="dxa" w:w="2153"/>
            <w:vAlign w:val="center"/>
          </w:tcPr>
          <w:p>
            <w:pPr>
              <w:keepNext w:val="0"/>
              <w:spacing w:after="0" w:before="0" w:line="240" w:lineRule="auto"/>
            </w:pPr>
            <w:r>
              <w:rPr>
                <w:rFonts w:ascii="Calibri" w:hAnsi="Calibri"/>
                <w:b w:val="0"/>
                <w:sz w:val="19"/>
              </w:rPr>
              <w:t>Few dominant directions in the examples considered</w:t>
            </w:r>
          </w:p>
        </w:tc>
        <w:tc>
          <w:tcPr>
            <w:tcW w:type="dxa" w:w="2153"/>
            <w:vAlign w:val="center"/>
          </w:tcPr>
          <w:p>
            <w:pPr>
              <w:keepNext w:val="0"/>
              <w:spacing w:after="0" w:before="0" w:line="240" w:lineRule="auto"/>
            </w:pPr>
            <w:r>
              <w:rPr>
                <w:rFonts w:ascii="Calibri" w:hAnsi="Calibri"/>
                <w:b w:val="0"/>
                <w:sz w:val="19"/>
              </w:rPr>
              <w:t>Synthetic chemical system: ≈3 dominant axes</w:t>
            </w:r>
          </w:p>
        </w:tc>
        <w:tc>
          <w:tcPr>
            <w:tcW w:type="dxa" w:w="2153"/>
            <w:vAlign w:val="center"/>
          </w:tcPr>
          <w:p>
            <w:pPr>
              <w:keepNext w:val="0"/>
              <w:spacing w:after="0" w:before="0" w:line="240" w:lineRule="auto"/>
            </w:pPr>
            <w:r>
              <w:rPr>
                <w:rFonts w:ascii="Calibri" w:hAnsi="Calibri"/>
                <w:b w:val="0"/>
                <w:sz w:val="19"/>
              </w:rPr>
              <w:t>Statistical simulator: ≈1–2 axes</w:t>
            </w:r>
          </w:p>
        </w:tc>
        <w:tc>
          <w:tcPr>
            <w:tcW w:type="dxa" w:w="2153"/>
            <w:vAlign w:val="center"/>
          </w:tcPr>
          <w:p>
            <w:pPr>
              <w:keepNext w:val="0"/>
              <w:spacing w:after="0" w:before="0" w:line="240" w:lineRule="auto"/>
            </w:pPr>
            <w:r>
              <w:rPr>
                <w:rFonts w:ascii="Calibri" w:hAnsi="Calibri"/>
                <w:b w:val="0"/>
                <w:sz w:val="19"/>
              </w:rPr>
              <w:t>Rule model: r95≈15</w:t>
            </w:r>
          </w:p>
        </w:tc>
      </w:tr>
      <w:tr>
        <w:trPr>
          <w:cantSplit/>
        </w:trPr>
        <w:tc>
          <w:tcPr>
            <w:tcW w:type="dxa" w:w="1613"/>
            <w:vAlign w:val="center"/>
          </w:tcPr>
          <w:p>
            <w:pPr>
              <w:keepNext w:val="0"/>
              <w:spacing w:after="0" w:before="0" w:line="240" w:lineRule="auto"/>
            </w:pPr>
            <w:r>
              <w:rPr>
                <w:rFonts w:ascii="Calibri" w:hAnsi="Calibri"/>
                <w:b w:val="0"/>
                <w:sz w:val="19"/>
              </w:rPr>
              <w:t>Modelling concern</w:t>
            </w:r>
          </w:p>
        </w:tc>
        <w:tc>
          <w:tcPr>
            <w:tcW w:type="dxa" w:w="2153"/>
            <w:vAlign w:val="center"/>
          </w:tcPr>
          <w:p>
            <w:pPr>
              <w:keepNext w:val="0"/>
              <w:spacing w:after="0" w:before="0" w:line="240" w:lineRule="auto"/>
            </w:pPr>
            <w:r>
              <w:rPr>
                <w:rFonts w:ascii="Calibri" w:hAnsi="Calibri"/>
                <w:b w:val="0"/>
                <w:sz w:val="19"/>
              </w:rPr>
              <w:t>Context aliasing</w:t>
            </w:r>
          </w:p>
        </w:tc>
        <w:tc>
          <w:tcPr>
            <w:tcW w:type="dxa" w:w="2153"/>
            <w:vAlign w:val="center"/>
          </w:tcPr>
          <w:p>
            <w:pPr>
              <w:keepNext w:val="0"/>
              <w:spacing w:after="0" w:before="0" w:line="240" w:lineRule="auto"/>
            </w:pPr>
            <w:r>
              <w:rPr>
                <w:rFonts w:ascii="Calibri" w:hAnsi="Calibri"/>
                <w:b w:val="0"/>
                <w:sz w:val="19"/>
              </w:rPr>
              <w:t>Confusing structure with identity</w:t>
            </w:r>
          </w:p>
        </w:tc>
        <w:tc>
          <w:tcPr>
            <w:tcW w:type="dxa" w:w="2153"/>
            <w:vAlign w:val="center"/>
          </w:tcPr>
          <w:p>
            <w:pPr>
              <w:keepNext w:val="0"/>
              <w:spacing w:after="0" w:before="0" w:line="240" w:lineRule="auto"/>
            </w:pPr>
            <w:r>
              <w:rPr>
                <w:rFonts w:ascii="Calibri" w:hAnsi="Calibri"/>
                <w:b w:val="0"/>
                <w:sz w:val="19"/>
              </w:rPr>
              <w:t>Pooling away hierarchy or confounding</w:t>
            </w:r>
          </w:p>
        </w:tc>
        <w:tc>
          <w:tcPr>
            <w:tcW w:type="dxa" w:w="2153"/>
            <w:vAlign w:val="center"/>
          </w:tcPr>
          <w:p>
            <w:pPr>
              <w:keepNext w:val="0"/>
              <w:spacing w:after="0" w:before="0" w:line="240" w:lineRule="auto"/>
            </w:pPr>
            <w:r>
              <w:rPr>
                <w:rFonts w:ascii="Calibri" w:hAnsi="Calibri"/>
                <w:b w:val="0"/>
                <w:sz w:val="19"/>
              </w:rPr>
              <w:t>Rollout drift and mechanism switches</w:t>
            </w:r>
          </w:p>
        </w:tc>
      </w:tr>
      <w:tr>
        <w:trPr>
          <w:cantSplit/>
        </w:trPr>
        <w:tc>
          <w:tcPr>
            <w:tcW w:type="dxa" w:w="1613"/>
            <w:vAlign w:val="center"/>
          </w:tcPr>
          <w:p>
            <w:pPr>
              <w:keepNext w:val="0"/>
              <w:spacing w:after="0" w:before="0" w:line="240" w:lineRule="auto"/>
            </w:pPr>
            <w:r>
              <w:rPr>
                <w:rFonts w:ascii="Calibri" w:hAnsi="Calibri"/>
                <w:b w:val="0"/>
                <w:sz w:val="19"/>
              </w:rPr>
              <w:t>Candidate module</w:t>
            </w:r>
          </w:p>
        </w:tc>
        <w:tc>
          <w:tcPr>
            <w:tcW w:type="dxa" w:w="2153"/>
            <w:vAlign w:val="center"/>
          </w:tcPr>
          <w:p>
            <w:pPr>
              <w:keepNext w:val="0"/>
              <w:spacing w:after="0" w:before="0" w:line="240" w:lineRule="auto"/>
            </w:pPr>
            <w:r>
              <w:rPr>
                <w:rFonts w:ascii="Calibri" w:hAnsi="Calibri"/>
                <w:b w:val="0"/>
                <w:sz w:val="19"/>
              </w:rPr>
              <w:t>Sequence model</w:t>
            </w:r>
          </w:p>
        </w:tc>
        <w:tc>
          <w:tcPr>
            <w:tcW w:type="dxa" w:w="2153"/>
            <w:vAlign w:val="center"/>
          </w:tcPr>
          <w:p>
            <w:pPr>
              <w:keepNext w:val="0"/>
              <w:spacing w:after="0" w:before="0" w:line="240" w:lineRule="auto"/>
            </w:pPr>
            <w:r>
              <w:rPr>
                <w:rFonts w:ascii="Calibri" w:hAnsi="Calibri"/>
                <w:b w:val="0"/>
                <w:sz w:val="19"/>
              </w:rPr>
              <w:t>Graph or structural model</w:t>
            </w:r>
          </w:p>
        </w:tc>
        <w:tc>
          <w:tcPr>
            <w:tcW w:type="dxa" w:w="2153"/>
            <w:vAlign w:val="center"/>
          </w:tcPr>
          <w:p>
            <w:pPr>
              <w:keepNext w:val="0"/>
              <w:spacing w:after="0" w:before="0" w:line="240" w:lineRule="auto"/>
            </w:pPr>
            <w:r>
              <w:rPr>
                <w:rFonts w:ascii="Calibri" w:hAnsi="Calibri"/>
                <w:b w:val="0"/>
                <w:sz w:val="19"/>
              </w:rPr>
              <w:t>Hierarchical or set model</w:t>
            </w:r>
          </w:p>
        </w:tc>
        <w:tc>
          <w:tcPr>
            <w:tcW w:type="dxa" w:w="2153"/>
            <w:vAlign w:val="center"/>
          </w:tcPr>
          <w:p>
            <w:pPr>
              <w:keepNext w:val="0"/>
              <w:spacing w:after="0" w:before="0" w:line="240" w:lineRule="auto"/>
            </w:pPr>
            <w:r>
              <w:rPr>
                <w:rFonts w:ascii="Calibri" w:hAnsi="Calibri"/>
                <w:b w:val="0"/>
                <w:sz w:val="19"/>
              </w:rPr>
              <w:t>Dynamics or rule model</w:t>
            </w:r>
          </w:p>
        </w:tc>
      </w:tr>
    </w:tbl>
    <w:p>
      <w:pPr>
        <w:spacing w:before="100"/>
      </w:pPr>
      <w:r>
        <w:t>A common modelling framework can preserve each source's native structure and compare representations through the future outcomes they distinguish.</w:t>
      </w:r>
    </w:p>
    <w:p>
      <w:pPr>
        <w:pStyle w:val="Heading2"/>
      </w:pPr>
      <w:r>
        <w:t>2.1 Generative mechanism state</w:t>
      </w:r>
    </w:p>
    <w:p>
      <w:r>
        <w:t>A generative mechanism state (GMS) is a representation of observation history that retains information relevant to the specified future-response queries. It can be distributed across learned features rather than expressed as an interpretable parameter table. Sufficiency is assessed against a stated prediction horizon and query set.</w:t>
      </w:r>
    </w:p>
    <w:p>
      <w:pPr>
        <w:spacing w:before="60" w:after="140"/>
        <w:jc w:val="center"/>
      </w:pPr>
      <m:oMath>
        <m:sSub>
          <m:e>
            <m:r>
              <m:t>s</m:t>
            </m:r>
          </m:e>
          <m:sub>
            <m:r>
              <m:t>t</m:t>
            </m:r>
          </m:sub>
        </m:sSub>
        <m:r>
          <m:t> = Ψ(</m:t>
        </m:r>
        <m:sSub>
          <m:e>
            <m:r>
              <m:t>o</m:t>
            </m:r>
          </m:e>
          <m:sub>
            <m:r>
              <m:t>≤t</m:t>
            </m:r>
          </m:sub>
        </m:sSub>
        <m:r>
          <m:t>)</m:t>
        </m:r>
      </m:oMath>
    </w:p>
    <w:p>
      <w:pPr>
        <w:spacing w:before="60" w:after="140"/>
        <w:jc w:val="center"/>
      </w:pPr>
      <m:oMath>
        <m:sSub>
          <m:e>
            <m:r>
              <m:t>F</m:t>
            </m:r>
          </m:e>
          <m:sub>
            <m:r>
              <m:t>t</m:t>
            </m:r>
          </m:sub>
        </m:sSub>
        <m:r>
          <m:t> = ρ(</m:t>
        </m:r>
        <m:sSub>
          <m:e>
            <m:r>
              <m:t>s</m:t>
            </m:r>
          </m:e>
          <m:sub>
            <m:r>
              <m:t>t</m:t>
            </m:r>
          </m:sub>
        </m:sSub>
        <m:r>
          <m:t>)</m:t>
        </m:r>
      </m:oMath>
    </w:p>
    <w:p>
      <w:pPr>
        <w:spacing w:before="60" w:after="140"/>
        <w:jc w:val="center"/>
      </w:pPr>
      <m:oMath>
        <m:sSub>
          <m:e>
            <m:r>
              <m:t>ô</m:t>
            </m:r>
          </m:e>
          <m:sub>
            <m:r>
              <m:t>t+1</m:t>
            </m:r>
          </m:sub>
        </m:sSub>
        <m:r>
          <m:t> = </m:t>
        </m:r>
        <m:sSub>
          <m:e>
            <m:r>
              <m:t>F</m:t>
            </m:r>
          </m:e>
          <m:sub>
            <m:r>
              <m:t>t</m:t>
            </m:r>
          </m:sub>
        </m:sSub>
        <m:r>
          <m:t>(</m:t>
        </m:r>
        <m:sSub>
          <m:e>
            <m:r>
              <m:t>o</m:t>
            </m:r>
          </m:e>
          <m:sub>
            <m:r>
              <m:t>t−H+1:t</m:t>
            </m:r>
          </m:sub>
        </m:sSub>
        <m:r>
          <m:t>)</m:t>
        </m:r>
      </m:oMath>
    </w:p>
    <w:p>
      <w:r>
        <w:t>When several local transition functions are useful, a router can combine them conditionally on the predictive state.</w:t>
      </w:r>
    </w:p>
    <w:p>
      <w:pPr>
        <w:spacing w:before="60" w:after="140"/>
        <w:jc w:val="center"/>
      </w:pPr>
      <m:oMath>
        <m:sSub>
          <m:e>
            <m:r>
              <m:t>r</m:t>
            </m:r>
          </m:e>
          <m:sub>
            <m:r>
              <m:t>t</m:t>
            </m:r>
          </m:sub>
        </m:sSub>
        <m:r>
          <m:t> = Router(</m:t>
        </m:r>
        <m:sSub>
          <m:e>
            <m:r>
              <m:t>s</m:t>
            </m:r>
          </m:e>
          <m:sub>
            <m:r>
              <m:t>t</m:t>
            </m:r>
          </m:sub>
        </m:sSub>
        <m:r>
          <m:t>),     </m:t>
        </m:r>
        <m:sSub>
          <m:e>
            <m:r>
              <m:t>F</m:t>
            </m:r>
          </m:e>
          <m:sub>
            <m:r>
              <m:t>t</m:t>
            </m:r>
          </m:sub>
        </m:sSub>
        <m:r>
          <m:t> = </m:t>
        </m:r>
        <m:sSub>
          <m:e>
            <m:r>
              <m:t>∑</m:t>
            </m:r>
          </m:e>
          <m:sub>
            <m:r>
              <m:t>j</m:t>
            </m:r>
          </m:sub>
        </m:sSub>
        <m:r>
          <m:t> </m:t>
        </m:r>
        <m:sSub>
          <m:e>
            <m:r>
              <m:t>r</m:t>
            </m:r>
          </m:e>
          <m:sub>
            <m:r>
              <m:t>t,j</m:t>
            </m:r>
          </m:sub>
        </m:sSub>
        <m:r>
          <m:t> </m:t>
        </m:r>
        <m:sSub>
          <m:e>
            <m:r>
              <m:t>F</m:t>
            </m:r>
          </m:e>
          <m:sub>
            <m:r>
              <m:t>j</m:t>
            </m:r>
          </m:sub>
        </m:sSub>
        <m:r>
          <m:t>(</m:t>
        </m:r>
        <m:sSub>
          <m:e>
            <m:r>
              <m:t>s</m:t>
            </m:r>
          </m:e>
          <m:sub>
            <m:r>
              <m:t>t</m:t>
            </m:r>
          </m:sub>
        </m:sSub>
        <m:r>
          <m:t>)</m:t>
        </m:r>
      </m:oMath>
    </w:p>
    <w:p>
      <w:r>
        <w:t>An expert's functional role is defined by its effect on the predicted response. Experts that produce equivalent responses across a specified probe set are approximately equivalent for those probes. Conversely, matching names or simulator labels do not establish equivalent computational roles. This is an operational comparison under the evaluated probes, rather than an identification claim over every possible future.</w:t>
      </w:r>
    </w:p>
    <w:p>
      <w:pPr>
        <w:pStyle w:val="Heading1"/>
        <w:pageBreakBefore w:val="0"/>
      </w:pPr>
      <w:r>
        <w:t>3. Foundational experiments</w:t>
      </w:r>
    </w:p>
    <w:p>
      <w:pPr>
        <w:pStyle w:val="Caption"/>
        <w:keepNext/>
      </w:pPr>
      <w:r>
        <w:t>Table 5. Foundational experiment map.</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829"/>
        <w:gridCol w:w="1584"/>
        <w:gridCol w:w="2304"/>
        <w:gridCol w:w="4507"/>
      </w:tblGrid>
      <w:tr>
        <w:trPr>
          <w:cantSplit/>
          <w:tblHeader/>
        </w:trPr>
        <w:tc>
          <w:tcPr>
            <w:tcW w:type="dxa" w:w="1829"/>
            <w:vAlign w:val="center"/>
            <w:shd w:fill="F2F2F2"/>
          </w:tcPr>
          <w:p>
            <w:pPr>
              <w:keepNext/>
              <w:spacing w:after="0" w:before="0" w:line="240" w:lineRule="auto"/>
            </w:pPr>
            <w:r>
              <w:rPr>
                <w:rFonts w:ascii="Calibri" w:hAnsi="Calibri"/>
                <w:b/>
                <w:sz w:val="19"/>
              </w:rPr>
              <w:t>Experiment</w:t>
            </w:r>
          </w:p>
        </w:tc>
        <w:tc>
          <w:tcPr>
            <w:tcW w:type="dxa" w:w="1584"/>
            <w:vAlign w:val="center"/>
            <w:shd w:fill="F2F2F2"/>
          </w:tcPr>
          <w:p>
            <w:pPr>
              <w:keepNext/>
              <w:spacing w:after="0" w:before="0" w:line="240" w:lineRule="auto"/>
            </w:pPr>
            <w:r>
              <w:rPr>
                <w:rFonts w:ascii="Calibri" w:hAnsi="Calibri"/>
                <w:b/>
                <w:sz w:val="19"/>
              </w:rPr>
              <w:t>Data</w:t>
            </w:r>
          </w:p>
        </w:tc>
        <w:tc>
          <w:tcPr>
            <w:tcW w:type="dxa" w:w="2304"/>
            <w:vAlign w:val="center"/>
            <w:shd w:fill="F2F2F2"/>
          </w:tcPr>
          <w:p>
            <w:pPr>
              <w:keepNext/>
              <w:spacing w:after="0" w:before="0" w:line="240" w:lineRule="auto"/>
            </w:pPr>
            <w:r>
              <w:rPr>
                <w:rFonts w:ascii="Calibri" w:hAnsi="Calibri"/>
                <w:b/>
                <w:sz w:val="19"/>
              </w:rPr>
              <w:t>Question</w:t>
            </w:r>
          </w:p>
        </w:tc>
        <w:tc>
          <w:tcPr>
            <w:tcW w:type="dxa" w:w="4507"/>
            <w:vAlign w:val="center"/>
            <w:shd w:fill="F2F2F2"/>
          </w:tcPr>
          <w:p>
            <w:pPr>
              <w:keepNext/>
              <w:spacing w:after="0" w:before="0" w:line="240" w:lineRule="auto"/>
            </w:pPr>
            <w:r>
              <w:rPr>
                <w:rFonts w:ascii="Calibri" w:hAnsi="Calibri"/>
                <w:b/>
                <w:sz w:val="19"/>
              </w:rPr>
              <w:t>Reported result</w:t>
            </w:r>
          </w:p>
        </w:tc>
      </w:tr>
      <w:tr>
        <w:trPr>
          <w:cantSplit/>
        </w:trPr>
        <w:tc>
          <w:tcPr>
            <w:tcW w:type="dxa" w:w="1829"/>
            <w:vAlign w:val="center"/>
          </w:tcPr>
          <w:p>
            <w:pPr>
              <w:keepNext w:val="0"/>
              <w:spacing w:after="0" w:before="0" w:line="240" w:lineRule="auto"/>
            </w:pPr>
            <w:r>
              <w:rPr>
                <w:rFonts w:ascii="Calibri" w:hAnsi="Calibri"/>
                <w:b w:val="0"/>
                <w:sz w:val="19"/>
              </w:rPr>
              <w:t>HIER-STAT-001</w:t>
            </w:r>
          </w:p>
        </w:tc>
        <w:tc>
          <w:tcPr>
            <w:tcW w:type="dxa" w:w="1584"/>
            <w:vAlign w:val="center"/>
          </w:tcPr>
          <w:p>
            <w:pPr>
              <w:keepNext w:val="0"/>
              <w:spacing w:after="0" w:before="0" w:line="240" w:lineRule="auto"/>
            </w:pPr>
            <w:r>
              <w:rPr>
                <w:rFonts w:ascii="Calibri" w:hAnsi="Calibri"/>
                <w:b w:val="0"/>
                <w:sz w:val="19"/>
              </w:rPr>
              <w:t>Simulated population and cohorts</w:t>
            </w:r>
          </w:p>
        </w:tc>
        <w:tc>
          <w:tcPr>
            <w:tcW w:type="dxa" w:w="2304"/>
            <w:vAlign w:val="center"/>
          </w:tcPr>
          <w:p>
            <w:pPr>
              <w:keepNext w:val="0"/>
              <w:spacing w:after="0" w:before="0" w:line="240" w:lineRule="auto"/>
            </w:pPr>
            <w:r>
              <w:rPr>
                <w:rFonts w:ascii="Calibri" w:hAnsi="Calibri"/>
                <w:b w:val="0"/>
                <w:sz w:val="19"/>
              </w:rPr>
              <w:t>Information retained by hierarchy</w:t>
            </w:r>
          </w:p>
        </w:tc>
        <w:tc>
          <w:tcPr>
            <w:tcW w:type="dxa" w:w="4507"/>
            <w:vAlign w:val="center"/>
          </w:tcPr>
          <w:p>
            <w:pPr>
              <w:keepNext w:val="0"/>
              <w:spacing w:after="0" w:before="0" w:line="240" w:lineRule="auto"/>
            </w:pPr>
            <w:r>
              <w:rPr>
                <w:rFonts w:ascii="Calibri" w:hAnsi="Calibri"/>
                <w:b w:val="0"/>
                <w:sz w:val="19"/>
              </w:rPr>
              <w:t>Confounding R²: 0.672→≈0 after reassignment</w:t>
            </w:r>
          </w:p>
        </w:tc>
      </w:tr>
      <w:tr>
        <w:trPr>
          <w:cantSplit/>
        </w:trPr>
        <w:tc>
          <w:tcPr>
            <w:tcW w:type="dxa" w:w="1829"/>
            <w:vAlign w:val="center"/>
          </w:tcPr>
          <w:p>
            <w:pPr>
              <w:keepNext w:val="0"/>
              <w:spacing w:after="0" w:before="0" w:line="240" w:lineRule="auto"/>
            </w:pPr>
            <w:r>
              <w:rPr>
                <w:rFonts w:ascii="Calibri" w:hAnsi="Calibri"/>
                <w:b w:val="0"/>
                <w:sz w:val="19"/>
              </w:rPr>
              <w:t>STAT-SCALE-001</w:t>
            </w:r>
          </w:p>
        </w:tc>
        <w:tc>
          <w:tcPr>
            <w:tcW w:type="dxa" w:w="1584"/>
            <w:vAlign w:val="center"/>
          </w:tcPr>
          <w:p>
            <w:pPr>
              <w:keepNext w:val="0"/>
              <w:spacing w:after="0" w:before="0" w:line="240" w:lineRule="auto"/>
            </w:pPr>
            <w:r>
              <w:rPr>
                <w:rFonts w:ascii="Calibri" w:hAnsi="Calibri"/>
                <w:b w:val="0"/>
                <w:sz w:val="19"/>
              </w:rPr>
              <w:t>Statistical simulator</w:t>
            </w:r>
          </w:p>
        </w:tc>
        <w:tc>
          <w:tcPr>
            <w:tcW w:type="dxa" w:w="2304"/>
            <w:vAlign w:val="center"/>
          </w:tcPr>
          <w:p>
            <w:pPr>
              <w:keepNext w:val="0"/>
              <w:spacing w:after="0" w:before="0" w:line="240" w:lineRule="auto"/>
            </w:pPr>
            <w:r>
              <w:rPr>
                <w:rFonts w:ascii="Calibri" w:hAnsi="Calibri"/>
                <w:b w:val="0"/>
                <w:sz w:val="19"/>
              </w:rPr>
              <w:t>Capacity and mechanism aliasing</w:t>
            </w:r>
          </w:p>
        </w:tc>
        <w:tc>
          <w:tcPr>
            <w:tcW w:type="dxa" w:w="4507"/>
            <w:vAlign w:val="center"/>
          </w:tcPr>
          <w:p>
            <w:pPr>
              <w:keepNext w:val="0"/>
              <w:spacing w:after="0" w:before="0" w:line="240" w:lineRule="auto"/>
            </w:pPr>
            <w:r>
              <w:rPr>
                <w:rFonts w:ascii="Calibri" w:hAnsi="Calibri"/>
                <w:b w:val="0"/>
                <w:sz w:val="19"/>
              </w:rPr>
              <w:t>State separation increases 2.7–3.5×; control rank stays low</w:t>
            </w:r>
          </w:p>
        </w:tc>
      </w:tr>
      <w:tr>
        <w:trPr>
          <w:cantSplit/>
        </w:trPr>
        <w:tc>
          <w:tcPr>
            <w:tcW w:type="dxa" w:w="1829"/>
            <w:vAlign w:val="center"/>
          </w:tcPr>
          <w:p>
            <w:pPr>
              <w:keepNext w:val="0"/>
              <w:spacing w:after="0" w:before="0" w:line="240" w:lineRule="auto"/>
            </w:pPr>
            <w:r>
              <w:rPr>
                <w:rFonts w:ascii="Calibri" w:hAnsi="Calibri"/>
                <w:b w:val="0"/>
                <w:sz w:val="19"/>
              </w:rPr>
              <w:t>SEMIOTIC-​CHEM-​001</w:t>
            </w:r>
          </w:p>
        </w:tc>
        <w:tc>
          <w:tcPr>
            <w:tcW w:type="dxa" w:w="1584"/>
            <w:vAlign w:val="center"/>
          </w:tcPr>
          <w:p>
            <w:pPr>
              <w:keepNext w:val="0"/>
              <w:spacing w:after="0" w:before="0" w:line="240" w:lineRule="auto"/>
            </w:pPr>
            <w:r>
              <w:rPr>
                <w:rFonts w:ascii="Calibri" w:hAnsi="Calibri"/>
                <w:b w:val="0"/>
                <w:sz w:val="19"/>
              </w:rPr>
              <w:t>Synthetic chemical communication</w:t>
            </w:r>
          </w:p>
        </w:tc>
        <w:tc>
          <w:tcPr>
            <w:tcW w:type="dxa" w:w="2304"/>
            <w:vAlign w:val="center"/>
          </w:tcPr>
          <w:p>
            <w:pPr>
              <w:keepNext w:val="0"/>
              <w:spacing w:after="0" w:before="0" w:line="240" w:lineRule="auto"/>
            </w:pPr>
            <w:r>
              <w:rPr>
                <w:rFonts w:ascii="Calibri" w:hAnsi="Calibri"/>
                <w:b w:val="0"/>
                <w:sz w:val="19"/>
              </w:rPr>
              <w:t>Compositional signal prediction</w:t>
            </w:r>
          </w:p>
        </w:tc>
        <w:tc>
          <w:tcPr>
            <w:tcW w:type="dxa" w:w="4507"/>
            <w:vAlign w:val="center"/>
          </w:tcPr>
          <w:p>
            <w:pPr>
              <w:keepNext w:val="0"/>
              <w:spacing w:after="0" w:before="0" w:line="240" w:lineRule="auto"/>
            </w:pPr>
            <w:r>
              <w:rPr>
                <w:rFonts w:ascii="Calibri" w:hAnsi="Calibri"/>
                <w:b w:val="0"/>
                <w:sz w:val="19"/>
              </w:rPr>
              <w:t>Held-out Top-1 ≈28–32%; shuffled chemistry performs poorly</w:t>
            </w:r>
          </w:p>
        </w:tc>
      </w:tr>
      <w:tr>
        <w:trPr>
          <w:cantSplit/>
        </w:trPr>
        <w:tc>
          <w:tcPr>
            <w:tcW w:type="dxa" w:w="1829"/>
            <w:vAlign w:val="center"/>
          </w:tcPr>
          <w:p>
            <w:pPr>
              <w:keepNext w:val="0"/>
              <w:spacing w:after="0" w:before="0" w:line="240" w:lineRule="auto"/>
            </w:pPr>
            <w:r>
              <w:rPr>
                <w:rFonts w:ascii="Calibri" w:hAnsi="Calibri"/>
                <w:b w:val="0"/>
                <w:sz w:val="19"/>
              </w:rPr>
              <w:t>REAL-BIRD-001</w:t>
            </w:r>
          </w:p>
        </w:tc>
        <w:tc>
          <w:tcPr>
            <w:tcW w:type="dxa" w:w="1584"/>
            <w:vAlign w:val="center"/>
          </w:tcPr>
          <w:p>
            <w:pPr>
              <w:keepNext w:val="0"/>
              <w:spacing w:after="0" w:before="0" w:line="240" w:lineRule="auto"/>
            </w:pPr>
            <w:r>
              <w:rPr>
                <w:rFonts w:ascii="Calibri" w:hAnsi="Calibri"/>
                <w:b w:val="0"/>
                <w:sz w:val="19"/>
              </w:rPr>
              <w:t>Bengalese finch song</w:t>
            </w:r>
          </w:p>
        </w:tc>
        <w:tc>
          <w:tcPr>
            <w:tcW w:type="dxa" w:w="2304"/>
            <w:vAlign w:val="center"/>
          </w:tcPr>
          <w:p>
            <w:pPr>
              <w:keepNext w:val="0"/>
              <w:spacing w:after="0" w:before="0" w:line="240" w:lineRule="auto"/>
            </w:pPr>
            <w:r>
              <w:rPr>
                <w:rFonts w:ascii="Calibri" w:hAnsi="Calibri"/>
                <w:b w:val="0"/>
                <w:sz w:val="19"/>
              </w:rPr>
              <w:t>Predictive information in history</w:t>
            </w:r>
          </w:p>
        </w:tc>
        <w:tc>
          <w:tcPr>
            <w:tcW w:type="dxa" w:w="4507"/>
            <w:vAlign w:val="center"/>
          </w:tcPr>
          <w:p>
            <w:pPr>
              <w:keepNext w:val="0"/>
              <w:spacing w:after="0" w:before="0" w:line="240" w:lineRule="auto"/>
            </w:pPr>
            <w:r>
              <w:rPr>
                <w:rFonts w:ascii="Calibri" w:hAnsi="Calibri"/>
                <w:b w:val="0"/>
                <w:sz w:val="19"/>
              </w:rPr>
              <w:t>K=1→5: 81.3%→86.5%; shuffled trend reverses</w:t>
            </w:r>
          </w:p>
        </w:tc>
      </w:tr>
      <w:tr>
        <w:trPr>
          <w:cantSplit/>
        </w:trPr>
        <w:tc>
          <w:tcPr>
            <w:tcW w:type="dxa" w:w="1829"/>
            <w:vAlign w:val="center"/>
          </w:tcPr>
          <w:p>
            <w:pPr>
              <w:keepNext w:val="0"/>
              <w:spacing w:after="0" w:before="0" w:line="240" w:lineRule="auto"/>
            </w:pPr>
            <w:r>
              <w:rPr>
                <w:rFonts w:ascii="Calibri" w:hAnsi="Calibri"/>
                <w:b w:val="0"/>
                <w:sz w:val="19"/>
              </w:rPr>
              <w:t>REAL-WAGGLE-001</w:t>
            </w:r>
          </w:p>
        </w:tc>
        <w:tc>
          <w:tcPr>
            <w:tcW w:type="dxa" w:w="1584"/>
            <w:vAlign w:val="center"/>
          </w:tcPr>
          <w:p>
            <w:pPr>
              <w:keepNext w:val="0"/>
              <w:spacing w:after="0" w:before="0" w:line="240" w:lineRule="auto"/>
            </w:pPr>
            <w:r>
              <w:rPr>
                <w:rFonts w:ascii="Calibri" w:hAnsi="Calibri"/>
                <w:b w:val="0"/>
                <w:sz w:val="19"/>
              </w:rPr>
              <w:t>Honeybee directions</w:t>
            </w:r>
          </w:p>
        </w:tc>
        <w:tc>
          <w:tcPr>
            <w:tcW w:type="dxa" w:w="2304"/>
            <w:vAlign w:val="center"/>
          </w:tcPr>
          <w:p>
            <w:pPr>
              <w:keepNext w:val="0"/>
              <w:spacing w:after="0" w:before="0" w:line="240" w:lineRule="auto"/>
            </w:pPr>
            <w:r>
              <w:rPr>
                <w:rFonts w:ascii="Calibri" w:hAnsi="Calibri"/>
                <w:b w:val="0"/>
                <w:sz w:val="19"/>
              </w:rPr>
              <w:t>Episode-​conditioned signal structure</w:t>
            </w:r>
          </w:p>
        </w:tc>
        <w:tc>
          <w:tcPr>
            <w:tcW w:type="dxa" w:w="4507"/>
            <w:vAlign w:val="center"/>
          </w:tcPr>
          <w:p>
            <w:pPr>
              <w:keepNext w:val="0"/>
              <w:spacing w:after="0" w:before="0" w:line="240" w:lineRule="auto"/>
            </w:pPr>
            <w:r>
              <w:rPr>
                <w:rFonts w:ascii="Calibri" w:hAnsi="Calibri"/>
                <w:b w:val="0"/>
                <w:sz w:val="19"/>
              </w:rPr>
              <w:t>Previous run: 35.3° mean error; global: 45.6°</w:t>
            </w:r>
          </w:p>
        </w:tc>
      </w:tr>
      <w:tr>
        <w:trPr>
          <w:cantSplit/>
        </w:trPr>
        <w:tc>
          <w:tcPr>
            <w:tcW w:type="dxa" w:w="1829"/>
            <w:vAlign w:val="center"/>
          </w:tcPr>
          <w:p>
            <w:pPr>
              <w:keepNext w:val="0"/>
              <w:spacing w:after="0" w:before="0" w:line="240" w:lineRule="auto"/>
            </w:pPr>
            <w:r>
              <w:rPr>
                <w:rFonts w:ascii="Calibri" w:hAnsi="Calibri"/>
                <w:b w:val="0"/>
                <w:sz w:val="19"/>
              </w:rPr>
              <w:t>QS-GRAPH-001</w:t>
            </w:r>
          </w:p>
        </w:tc>
        <w:tc>
          <w:tcPr>
            <w:tcW w:type="dxa" w:w="1584"/>
            <w:vAlign w:val="center"/>
          </w:tcPr>
          <w:p>
            <w:pPr>
              <w:keepNext w:val="0"/>
              <w:spacing w:after="0" w:before="0" w:line="240" w:lineRule="auto"/>
            </w:pPr>
            <w:r>
              <w:rPr>
                <w:rFonts w:ascii="Calibri" w:hAnsi="Calibri"/>
                <w:b w:val="0"/>
                <w:sz w:val="19"/>
              </w:rPr>
              <w:t>Quorum-sensing records</w:t>
            </w:r>
          </w:p>
        </w:tc>
        <w:tc>
          <w:tcPr>
            <w:tcW w:type="dxa" w:w="2304"/>
            <w:vAlign w:val="center"/>
          </w:tcPr>
          <w:p>
            <w:pPr>
              <w:keepNext w:val="0"/>
              <w:spacing w:after="0" w:before="0" w:line="240" w:lineRule="auto"/>
            </w:pPr>
            <w:r>
              <w:rPr>
                <w:rFonts w:ascii="Calibri" w:hAnsi="Calibri"/>
                <w:b w:val="0"/>
                <w:sz w:val="19"/>
              </w:rPr>
              <w:t>Relational signal structure</w:t>
            </w:r>
          </w:p>
        </w:tc>
        <w:tc>
          <w:tcPr>
            <w:tcW w:type="dxa" w:w="4507"/>
            <w:vAlign w:val="center"/>
          </w:tcPr>
          <w:p>
            <w:pPr>
              <w:keepNext w:val="0"/>
              <w:spacing w:after="0" w:before="0" w:line="240" w:lineRule="auto"/>
            </w:pPr>
            <w:r>
              <w:rPr>
                <w:rFonts w:ascii="Calibri" w:hAnsi="Calibri"/>
                <w:b w:val="0"/>
                <w:sz w:val="19"/>
              </w:rPr>
              <w:t>Signal-family / role information ≈0.408 bit</w:t>
            </w:r>
          </w:p>
        </w:tc>
      </w:tr>
      <w:tr>
        <w:trPr>
          <w:cantSplit/>
        </w:trPr>
        <w:tc>
          <w:tcPr>
            <w:tcW w:type="dxa" w:w="1829"/>
            <w:vAlign w:val="center"/>
          </w:tcPr>
          <w:p>
            <w:pPr>
              <w:keepNext w:val="0"/>
              <w:spacing w:after="0" w:before="0" w:line="240" w:lineRule="auto"/>
            </w:pPr>
            <w:r>
              <w:rPr>
                <w:rFonts w:ascii="Calibri" w:hAnsi="Calibri"/>
                <w:b w:val="0"/>
                <w:sz w:val="19"/>
              </w:rPr>
              <w:t>WORLD-RULE-001</w:t>
            </w:r>
          </w:p>
        </w:tc>
        <w:tc>
          <w:tcPr>
            <w:tcW w:type="dxa" w:w="1584"/>
            <w:vAlign w:val="center"/>
          </w:tcPr>
          <w:p>
            <w:pPr>
              <w:keepNext w:val="0"/>
              <w:spacing w:after="0" w:before="0" w:line="240" w:lineRule="auto"/>
            </w:pPr>
            <w:r>
              <w:rPr>
                <w:rFonts w:ascii="Calibri" w:hAnsi="Calibri"/>
                <w:b w:val="0"/>
                <w:sz w:val="19"/>
              </w:rPr>
              <w:t>Synthetic physical dynamics</w:t>
            </w:r>
          </w:p>
        </w:tc>
        <w:tc>
          <w:tcPr>
            <w:tcW w:type="dxa" w:w="2304"/>
            <w:vAlign w:val="center"/>
          </w:tcPr>
          <w:p>
            <w:pPr>
              <w:keepNext w:val="0"/>
              <w:spacing w:after="0" w:before="0" w:line="240" w:lineRule="auto"/>
            </w:pPr>
            <w:r>
              <w:rPr>
                <w:rFonts w:ascii="Calibri" w:hAnsi="Calibri"/>
                <w:b w:val="0"/>
                <w:sz w:val="19"/>
              </w:rPr>
              <w:t>Direct prediction and generated rules</w:t>
            </w:r>
          </w:p>
        </w:tc>
        <w:tc>
          <w:tcPr>
            <w:tcW w:type="dxa" w:w="4507"/>
            <w:vAlign w:val="center"/>
          </w:tcPr>
          <w:p>
            <w:pPr>
              <w:keepNext w:val="0"/>
              <w:spacing w:after="0" w:before="0" w:line="240" w:lineRule="auto"/>
            </w:pPr>
            <w:r>
              <w:rPr>
                <w:rFonts w:ascii="Calibri" w:hAnsi="Calibri"/>
                <w:b w:val="0"/>
                <w:sz w:val="19"/>
              </w:rPr>
              <w:t>Rule Generator improves one-step and rollout MSE</w:t>
            </w:r>
          </w:p>
        </w:tc>
      </w:tr>
      <w:tr>
        <w:trPr>
          <w:cantSplit/>
        </w:trPr>
        <w:tc>
          <w:tcPr>
            <w:tcW w:type="dxa" w:w="1829"/>
            <w:vAlign w:val="center"/>
          </w:tcPr>
          <w:p>
            <w:pPr>
              <w:keepNext w:val="0"/>
              <w:spacing w:after="0" w:before="0" w:line="240" w:lineRule="auto"/>
            </w:pPr>
            <w:r>
              <w:rPr>
                <w:rFonts w:ascii="Calibri" w:hAnsi="Calibri"/>
                <w:b w:val="0"/>
                <w:sz w:val="19"/>
              </w:rPr>
              <w:t>WORLD-MOE-002</w:t>
            </w:r>
          </w:p>
        </w:tc>
        <w:tc>
          <w:tcPr>
            <w:tcW w:type="dxa" w:w="1584"/>
            <w:vAlign w:val="center"/>
          </w:tcPr>
          <w:p>
            <w:pPr>
              <w:keepNext w:val="0"/>
              <w:spacing w:after="0" w:before="0" w:line="240" w:lineRule="auto"/>
            </w:pPr>
            <w:r>
              <w:rPr>
                <w:rFonts w:ascii="Calibri" w:hAnsi="Calibri"/>
                <w:b w:val="0"/>
                <w:sz w:val="19"/>
              </w:rPr>
              <w:t>Homogeneous and heterogeneous laws</w:t>
            </w:r>
          </w:p>
        </w:tc>
        <w:tc>
          <w:tcPr>
            <w:tcW w:type="dxa" w:w="2304"/>
            <w:vAlign w:val="center"/>
          </w:tcPr>
          <w:p>
            <w:pPr>
              <w:keepNext w:val="0"/>
              <w:spacing w:after="0" w:before="0" w:line="240" w:lineRule="auto"/>
            </w:pPr>
            <w:r>
              <w:rPr>
                <w:rFonts w:ascii="Calibri" w:hAnsi="Calibri"/>
                <w:b w:val="0"/>
                <w:sz w:val="19"/>
              </w:rPr>
              <w:t>Functional routing contribution</w:t>
            </w:r>
          </w:p>
        </w:tc>
        <w:tc>
          <w:tcPr>
            <w:tcW w:type="dxa" w:w="4507"/>
            <w:vAlign w:val="center"/>
          </w:tcPr>
          <w:p>
            <w:pPr>
              <w:keepNext w:val="0"/>
              <w:spacing w:after="0" w:before="0" w:line="240" w:lineRule="auto"/>
            </w:pPr>
            <w:r>
              <w:rPr>
                <w:rFonts w:ascii="Calibri" w:hAnsi="Calibri"/>
                <w:b w:val="0"/>
                <w:sz w:val="19"/>
              </w:rPr>
              <w:t>Router interventions: eight-step error +10.9% / +19.9%</w:t>
            </w:r>
          </w:p>
        </w:tc>
      </w:tr>
    </w:tbl>
    <w:p>
      <w:pPr>
        <w:pStyle w:val="Heading2"/>
        <w:spacing w:before="100"/>
      </w:pPr>
      <w:r>
        <w:t>3.1 HIER-STAT-001 Preserving statistical hierarchy</w:t>
      </w:r>
    </w:p>
    <w:p>
      <w:r>
        <w:t>A population simulator first generates individual records and then cohort-level statistics. During training, the model receives no latent mechanism labels. It updates its mechanism state across four environments and predicts the causal response field in a held-out environment. The response field and latent confounding variables are known from the simulator.</w:t>
      </w:r>
    </w:p>
    <w:p>
      <w:pPr>
        <w:pStyle w:val="Caption"/>
        <w:keepNext/>
      </w:pPr>
      <w:r>
        <w:t>Table 6. Statistical hierarchy intervention.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Condition</w:t>
            </w:r>
          </w:p>
        </w:tc>
        <w:tc>
          <w:tcPr>
            <w:tcW w:type="dxa" w:w="3240"/>
            <w:vAlign w:val="center"/>
            <w:shd w:fill="F2F2F2"/>
          </w:tcPr>
          <w:p>
            <w:pPr>
              <w:keepNext/>
              <w:spacing w:after="0" w:before="0" w:line="240" w:lineRule="auto"/>
            </w:pPr>
            <w:r>
              <w:rPr>
                <w:rFonts w:ascii="Calibri" w:hAnsi="Calibri"/>
                <w:b/>
                <w:sz w:val="19"/>
              </w:rPr>
              <w:t>Causal-curve MSE</w:t>
            </w:r>
          </w:p>
        </w:tc>
        <w:tc>
          <w:tcPr>
            <w:tcW w:type="dxa" w:w="3240"/>
            <w:vAlign w:val="center"/>
            <w:shd w:fill="F2F2F2"/>
          </w:tcPr>
          <w:p>
            <w:pPr>
              <w:keepNext/>
              <w:spacing w:after="0" w:before="0" w:line="240" w:lineRule="auto"/>
            </w:pPr>
            <w:r>
              <w:rPr>
                <w:rFonts w:ascii="Calibri" w:hAnsi="Calibri"/>
                <w:b/>
                <w:sz w:val="19"/>
              </w:rPr>
              <w:t>Hidden-​confounding R²</w:t>
            </w:r>
          </w:p>
        </w:tc>
      </w:tr>
      <w:tr>
        <w:trPr>
          <w:cantSplit/>
        </w:trPr>
        <w:tc>
          <w:tcPr>
            <w:tcW w:type="dxa" w:w="3744"/>
            <w:vAlign w:val="center"/>
          </w:tcPr>
          <w:p>
            <w:pPr>
              <w:keepNext w:val="0"/>
              <w:spacing w:after="0" w:before="0" w:line="240" w:lineRule="auto"/>
            </w:pPr>
            <w:r>
              <w:rPr>
                <w:rFonts w:ascii="Calibri" w:hAnsi="Calibri"/>
                <w:b w:val="0"/>
                <w:sz w:val="19"/>
              </w:rPr>
              <w:t>Original cohort hierarchy</w:t>
            </w:r>
          </w:p>
        </w:tc>
        <w:tc>
          <w:tcPr>
            <w:tcW w:type="dxa" w:w="3240"/>
            <w:vAlign w:val="center"/>
          </w:tcPr>
          <w:p>
            <w:pPr>
              <w:keepNext w:val="0"/>
              <w:spacing w:after="0" w:before="0" w:line="240" w:lineRule="auto"/>
              <w:jc w:val="right"/>
            </w:pPr>
            <w:r>
              <w:rPr>
                <w:rFonts w:ascii="Calibri" w:hAnsi="Calibri"/>
                <w:b w:val="0"/>
                <w:sz w:val="19"/>
              </w:rPr>
              <w:t>0.427</w:t>
            </w:r>
          </w:p>
        </w:tc>
        <w:tc>
          <w:tcPr>
            <w:tcW w:type="dxa" w:w="3240"/>
            <w:vAlign w:val="center"/>
          </w:tcPr>
          <w:p>
            <w:pPr>
              <w:keepNext w:val="0"/>
              <w:spacing w:after="0" w:before="0" w:line="240" w:lineRule="auto"/>
              <w:jc w:val="right"/>
            </w:pPr>
            <w:r>
              <w:rPr>
                <w:rFonts w:ascii="Calibri" w:hAnsi="Calibri"/>
                <w:b w:val="0"/>
                <w:sz w:val="19"/>
              </w:rPr>
              <w:t>0.672</w:t>
            </w:r>
          </w:p>
        </w:tc>
      </w:tr>
      <w:tr>
        <w:trPr>
          <w:cantSplit/>
        </w:trPr>
        <w:tc>
          <w:tcPr>
            <w:tcW w:type="dxa" w:w="3744"/>
            <w:vAlign w:val="center"/>
          </w:tcPr>
          <w:p>
            <w:pPr>
              <w:keepNext/>
              <w:spacing w:after="0" w:before="0" w:line="240" w:lineRule="auto"/>
            </w:pPr>
            <w:r>
              <w:rPr>
                <w:rFonts w:ascii="Calibri" w:hAnsi="Calibri"/>
                <w:b w:val="0"/>
                <w:sz w:val="19"/>
              </w:rPr>
              <w:t>Same individual records reassigned across cohorts</w:t>
            </w:r>
          </w:p>
        </w:tc>
        <w:tc>
          <w:tcPr>
            <w:tcW w:type="dxa" w:w="3240"/>
            <w:vAlign w:val="center"/>
          </w:tcPr>
          <w:p>
            <w:pPr>
              <w:keepNext/>
              <w:spacing w:after="0" w:before="0" w:line="240" w:lineRule="auto"/>
              <w:jc w:val="right"/>
            </w:pPr>
            <w:r>
              <w:rPr>
                <w:rFonts w:ascii="Calibri" w:hAnsi="Calibri"/>
                <w:b w:val="0"/>
                <w:sz w:val="19"/>
              </w:rPr>
              <w:t>0.518</w:t>
            </w:r>
          </w:p>
        </w:tc>
        <w:tc>
          <w:tcPr>
            <w:tcW w:type="dxa" w:w="3240"/>
            <w:vAlign w:val="center"/>
          </w:tcPr>
          <w:p>
            <w:pPr>
              <w:keepNext/>
              <w:spacing w:after="0" w:before="0" w:line="240" w:lineRule="auto"/>
              <w:jc w:val="right"/>
            </w:pPr>
            <w:r>
              <w:rPr>
                <w:rFonts w:ascii="Calibri" w:hAnsi="Calibri"/>
                <w:b w:val="0"/>
                <w:sz w:val="19"/>
              </w:rPr>
              <w:t>-0.003</w:t>
            </w:r>
          </w:p>
        </w:tc>
      </w:tr>
    </w:tbl>
    <w:p>
      <w:pPr>
        <w:keepLines/>
        <w:spacing w:before="60" w:after="120"/>
      </w:pPr>
      <w:r>
        <w:rPr>
          <w:sz w:val="18"/>
        </w:rPr>
        <w:t>Controlled simulation. Lower MSE indicates lower prediction error within the same task and target scaling. Higher probe R² indicates more decodable target-state information.</w:t>
      </w:r>
    </w:p>
    <w:p>
      <w:r>
        <w:t>The main exposure effect remains comparatively readable after cohort reassignment, but effect modification, nonlinearity and hidden confounding become harder to recover. Variation across environments therefore carries mechanism information beyond the pooled individual records.</w:t>
      </w:r>
    </w:p>
    <w:p>
      <w:r>
        <w:t>Cohort membership is part of the generating structure that this prediction task requires.</w:t>
      </w:r>
    </w:p>
    <w:p>
      <w:pPr>
        <w:pStyle w:val="Heading2"/>
      </w:pPr>
      <w:r>
        <w:t>3.2 STAT-SCALE-001 Capacity and predictive-state separation</w:t>
      </w:r>
    </w:p>
    <w:p>
      <w:pPr>
        <w:keepNext/>
        <w:spacing w:after="60"/>
        <w:jc w:val="center"/>
      </w:pPr>
      <w:r>
        <w:drawing>
          <wp:inline xmlns:a="http://schemas.openxmlformats.org/drawingml/2006/main" xmlns:pic="http://schemas.openxmlformats.org/drawingml/2006/picture">
            <wp:extent cx="6309360" cy="3618792"/>
            <wp:docPr id="2" name="Picture 2"/>
            <wp:cNvGraphicFramePr>
              <a:graphicFrameLocks noChangeAspect="1"/>
            </wp:cNvGraphicFramePr>
            <a:graphic>
              <a:graphicData uri="http://schemas.openxmlformats.org/drawingml/2006/picture">
                <pic:pic>
                  <pic:nvPicPr>
                    <pic:cNvPr id="0" name="02_image2.png"/>
                    <pic:cNvPicPr/>
                  </pic:nvPicPr>
                  <pic:blipFill>
                    <a:blip r:embed="rId10"/>
                    <a:stretch>
                      <a:fillRect/>
                    </a:stretch>
                  </pic:blipFill>
                  <pic:spPr>
                    <a:xfrm>
                      <a:off x="0" y="0"/>
                      <a:ext cx="6309360" cy="3618792"/>
                    </a:xfrm>
                    <a:prstGeom prst="rect"/>
                  </pic:spPr>
                </pic:pic>
              </a:graphicData>
            </a:graphic>
          </wp:inline>
        </w:drawing>
      </w:r>
    </w:p>
    <w:p>
      <w:pPr>
        <w:pStyle w:val="Caption"/>
      </w:pPr>
      <w:r>
        <w:t>Figure 2. Capacity and state separation in the statistical simulator. Increasing model width separates paired confounding conditions in whitened predictive-state space. The table reports three training-coverage conditions and the corresponding prediction and probe measures.</w:t>
      </w:r>
    </w:p>
    <w:p>
      <w:pPr>
        <w:pStyle w:val="Caption"/>
        <w:keepNext/>
      </w:pPr>
      <w:r>
        <w:t>Table 7. Capacity comparison at three coverage levels.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Coverage</w:t>
            </w:r>
          </w:p>
        </w:tc>
        <w:tc>
          <w:tcPr>
            <w:tcW w:type="dxa" w:w="1722"/>
            <w:vAlign w:val="center"/>
            <w:shd w:fill="F2F2F2"/>
          </w:tcPr>
          <w:p>
            <w:pPr>
              <w:keepNext/>
              <w:spacing w:after="0" w:before="0" w:line="240" w:lineRule="auto"/>
            </w:pPr>
            <w:r>
              <w:rPr>
                <w:rFonts w:ascii="Calibri" w:hAnsi="Calibri"/>
                <w:b/>
                <w:sz w:val="19"/>
              </w:rPr>
              <w:t>Sep w=8</w:t>
            </w:r>
          </w:p>
        </w:tc>
        <w:tc>
          <w:tcPr>
            <w:tcW w:type="dxa" w:w="1722"/>
            <w:vAlign w:val="center"/>
            <w:shd w:fill="F2F2F2"/>
          </w:tcPr>
          <w:p>
            <w:pPr>
              <w:keepNext/>
              <w:spacing w:after="0" w:before="0" w:line="240" w:lineRule="auto"/>
            </w:pPr>
            <w:r>
              <w:rPr>
                <w:rFonts w:ascii="Calibri" w:hAnsi="Calibri"/>
                <w:b/>
                <w:sz w:val="19"/>
              </w:rPr>
              <w:t>Sep w=128</w:t>
            </w:r>
          </w:p>
        </w:tc>
        <w:tc>
          <w:tcPr>
            <w:tcW w:type="dxa" w:w="1722"/>
            <w:vAlign w:val="center"/>
            <w:shd w:fill="F2F2F2"/>
          </w:tcPr>
          <w:p>
            <w:pPr>
              <w:keepNext/>
              <w:spacing w:after="0" w:before="0" w:line="240" w:lineRule="auto"/>
            </w:pPr>
            <w:r>
              <w:rPr>
                <w:rFonts w:ascii="Calibri" w:hAnsi="Calibri"/>
                <w:b/>
                <w:sz w:val="19"/>
              </w:rPr>
              <w:t>Conf R² w=8</w:t>
            </w:r>
          </w:p>
        </w:tc>
        <w:tc>
          <w:tcPr>
            <w:tcW w:type="dxa" w:w="1722"/>
            <w:vAlign w:val="center"/>
            <w:shd w:fill="F2F2F2"/>
          </w:tcPr>
          <w:p>
            <w:pPr>
              <w:keepNext/>
              <w:spacing w:after="0" w:before="0" w:line="240" w:lineRule="auto"/>
            </w:pPr>
            <w:r>
              <w:rPr>
                <w:rFonts w:ascii="Calibri" w:hAnsi="Calibri"/>
                <w:b/>
                <w:sz w:val="19"/>
              </w:rPr>
              <w:t>Conf R² w=128</w:t>
            </w:r>
          </w:p>
        </w:tc>
        <w:tc>
          <w:tcPr>
            <w:tcW w:type="dxa" w:w="1722"/>
            <w:vAlign w:val="center"/>
            <w:shd w:fill="F2F2F2"/>
          </w:tcPr>
          <w:p>
            <w:pPr>
              <w:keepNext/>
              <w:spacing w:after="0" w:before="0" w:line="240" w:lineRule="auto"/>
            </w:pPr>
            <w:r>
              <w:rPr>
                <w:rFonts w:ascii="Calibri" w:hAnsi="Calibri"/>
                <w:b/>
                <w:sz w:val="19"/>
              </w:rPr>
              <w:t>MSE reduction</w:t>
            </w:r>
          </w:p>
        </w:tc>
      </w:tr>
      <w:tr>
        <w:trPr>
          <w:cantSplit/>
        </w:trPr>
        <w:tc>
          <w:tcPr>
            <w:tcW w:type="dxa" w:w="1613"/>
            <w:vAlign w:val="center"/>
          </w:tcPr>
          <w:p>
            <w:pPr>
              <w:keepNext w:val="0"/>
              <w:spacing w:after="0" w:before="0" w:line="240" w:lineRule="auto"/>
              <w:jc w:val="right"/>
            </w:pPr>
            <w:r>
              <w:rPr>
                <w:rFonts w:ascii="Calibri" w:hAnsi="Calibri"/>
                <w:b w:val="0"/>
                <w:sz w:val="19"/>
              </w:rPr>
              <w:t>25%</w:t>
            </w:r>
          </w:p>
        </w:tc>
        <w:tc>
          <w:tcPr>
            <w:tcW w:type="dxa" w:w="1722"/>
            <w:vAlign w:val="center"/>
          </w:tcPr>
          <w:p>
            <w:pPr>
              <w:keepNext w:val="0"/>
              <w:spacing w:after="0" w:before="0" w:line="240" w:lineRule="auto"/>
              <w:jc w:val="right"/>
            </w:pPr>
            <w:r>
              <w:rPr>
                <w:rFonts w:ascii="Calibri" w:hAnsi="Calibri"/>
                <w:b w:val="0"/>
                <w:sz w:val="19"/>
              </w:rPr>
              <w:t>3.72</w:t>
            </w:r>
          </w:p>
        </w:tc>
        <w:tc>
          <w:tcPr>
            <w:tcW w:type="dxa" w:w="1722"/>
            <w:vAlign w:val="center"/>
          </w:tcPr>
          <w:p>
            <w:pPr>
              <w:keepNext w:val="0"/>
              <w:spacing w:after="0" w:before="0" w:line="240" w:lineRule="auto"/>
              <w:jc w:val="right"/>
            </w:pPr>
            <w:r>
              <w:rPr>
                <w:rFonts w:ascii="Calibri" w:hAnsi="Calibri"/>
                <w:b w:val="0"/>
                <w:sz w:val="19"/>
              </w:rPr>
              <w:t>10.98</w:t>
            </w:r>
          </w:p>
        </w:tc>
        <w:tc>
          <w:tcPr>
            <w:tcW w:type="dxa" w:w="1722"/>
            <w:vAlign w:val="center"/>
          </w:tcPr>
          <w:p>
            <w:pPr>
              <w:keepNext w:val="0"/>
              <w:spacing w:after="0" w:before="0" w:line="240" w:lineRule="auto"/>
              <w:jc w:val="right"/>
            </w:pPr>
            <w:r>
              <w:rPr>
                <w:rFonts w:ascii="Calibri" w:hAnsi="Calibri"/>
                <w:b w:val="0"/>
                <w:sz w:val="19"/>
              </w:rPr>
              <w:t>0.538</w:t>
            </w:r>
          </w:p>
        </w:tc>
        <w:tc>
          <w:tcPr>
            <w:tcW w:type="dxa" w:w="1722"/>
            <w:vAlign w:val="center"/>
          </w:tcPr>
          <w:p>
            <w:pPr>
              <w:keepNext w:val="0"/>
              <w:spacing w:after="0" w:before="0" w:line="240" w:lineRule="auto"/>
              <w:jc w:val="right"/>
            </w:pPr>
            <w:r>
              <w:rPr>
                <w:rFonts w:ascii="Calibri" w:hAnsi="Calibri"/>
                <w:b w:val="0"/>
                <w:sz w:val="19"/>
              </w:rPr>
              <w:t>0.755</w:t>
            </w:r>
          </w:p>
        </w:tc>
        <w:tc>
          <w:tcPr>
            <w:tcW w:type="dxa" w:w="1722"/>
            <w:vAlign w:val="center"/>
          </w:tcPr>
          <w:p>
            <w:pPr>
              <w:keepNext w:val="0"/>
              <w:spacing w:after="0" w:before="0" w:line="240" w:lineRule="auto"/>
              <w:jc w:val="right"/>
            </w:pPr>
            <w:r>
              <w:rPr>
                <w:rFonts w:ascii="Calibri" w:hAnsi="Calibri"/>
                <w:b w:val="0"/>
                <w:sz w:val="19"/>
              </w:rPr>
              <w:t>38.5%</w:t>
            </w:r>
          </w:p>
        </w:tc>
      </w:tr>
      <w:tr>
        <w:trPr>
          <w:cantSplit/>
        </w:trPr>
        <w:tc>
          <w:tcPr>
            <w:tcW w:type="dxa" w:w="1613"/>
            <w:vAlign w:val="center"/>
          </w:tcPr>
          <w:p>
            <w:pPr>
              <w:keepNext w:val="0"/>
              <w:spacing w:after="0" w:before="0" w:line="240" w:lineRule="auto"/>
              <w:jc w:val="right"/>
            </w:pPr>
            <w:r>
              <w:rPr>
                <w:rFonts w:ascii="Calibri" w:hAnsi="Calibri"/>
                <w:b w:val="0"/>
                <w:sz w:val="19"/>
              </w:rPr>
              <w:t>50%</w:t>
            </w:r>
          </w:p>
        </w:tc>
        <w:tc>
          <w:tcPr>
            <w:tcW w:type="dxa" w:w="1722"/>
            <w:vAlign w:val="center"/>
          </w:tcPr>
          <w:p>
            <w:pPr>
              <w:keepNext w:val="0"/>
              <w:spacing w:after="0" w:before="0" w:line="240" w:lineRule="auto"/>
              <w:jc w:val="right"/>
            </w:pPr>
            <w:r>
              <w:rPr>
                <w:rFonts w:ascii="Calibri" w:hAnsi="Calibri"/>
                <w:b w:val="0"/>
                <w:sz w:val="19"/>
              </w:rPr>
              <w:t>3.82</w:t>
            </w:r>
          </w:p>
        </w:tc>
        <w:tc>
          <w:tcPr>
            <w:tcW w:type="dxa" w:w="1722"/>
            <w:vAlign w:val="center"/>
          </w:tcPr>
          <w:p>
            <w:pPr>
              <w:keepNext w:val="0"/>
              <w:spacing w:after="0" w:before="0" w:line="240" w:lineRule="auto"/>
              <w:jc w:val="right"/>
            </w:pPr>
            <w:r>
              <w:rPr>
                <w:rFonts w:ascii="Calibri" w:hAnsi="Calibri"/>
                <w:b w:val="0"/>
                <w:sz w:val="19"/>
              </w:rPr>
              <w:t>10.14</w:t>
            </w:r>
          </w:p>
        </w:tc>
        <w:tc>
          <w:tcPr>
            <w:tcW w:type="dxa" w:w="1722"/>
            <w:vAlign w:val="center"/>
          </w:tcPr>
          <w:p>
            <w:pPr>
              <w:keepNext w:val="0"/>
              <w:spacing w:after="0" w:before="0" w:line="240" w:lineRule="auto"/>
              <w:jc w:val="right"/>
            </w:pPr>
            <w:r>
              <w:rPr>
                <w:rFonts w:ascii="Calibri" w:hAnsi="Calibri"/>
                <w:b w:val="0"/>
                <w:sz w:val="19"/>
              </w:rPr>
              <w:t>0.488</w:t>
            </w:r>
          </w:p>
        </w:tc>
        <w:tc>
          <w:tcPr>
            <w:tcW w:type="dxa" w:w="1722"/>
            <w:vAlign w:val="center"/>
          </w:tcPr>
          <w:p>
            <w:pPr>
              <w:keepNext w:val="0"/>
              <w:spacing w:after="0" w:before="0" w:line="240" w:lineRule="auto"/>
              <w:jc w:val="right"/>
            </w:pPr>
            <w:r>
              <w:rPr>
                <w:rFonts w:ascii="Calibri" w:hAnsi="Calibri"/>
                <w:b w:val="0"/>
                <w:sz w:val="19"/>
              </w:rPr>
              <w:t>0.765</w:t>
            </w:r>
          </w:p>
        </w:tc>
        <w:tc>
          <w:tcPr>
            <w:tcW w:type="dxa" w:w="1722"/>
            <w:vAlign w:val="center"/>
          </w:tcPr>
          <w:p>
            <w:pPr>
              <w:keepNext w:val="0"/>
              <w:spacing w:after="0" w:before="0" w:line="240" w:lineRule="auto"/>
              <w:jc w:val="right"/>
            </w:pPr>
            <w:r>
              <w:rPr>
                <w:rFonts w:ascii="Calibri" w:hAnsi="Calibri"/>
                <w:b w:val="0"/>
                <w:sz w:val="19"/>
              </w:rPr>
              <w:t>46.9%</w:t>
            </w:r>
          </w:p>
        </w:tc>
      </w:tr>
      <w:tr>
        <w:trPr>
          <w:cantSplit/>
        </w:trPr>
        <w:tc>
          <w:tcPr>
            <w:tcW w:type="dxa" w:w="1613"/>
            <w:vAlign w:val="center"/>
          </w:tcPr>
          <w:p>
            <w:pPr>
              <w:keepNext/>
              <w:spacing w:after="0" w:before="0" w:line="240" w:lineRule="auto"/>
              <w:jc w:val="right"/>
            </w:pPr>
            <w:r>
              <w:rPr>
                <w:rFonts w:ascii="Calibri" w:hAnsi="Calibri"/>
                <w:b w:val="0"/>
                <w:sz w:val="19"/>
              </w:rPr>
              <w:t>100%</w:t>
            </w:r>
          </w:p>
        </w:tc>
        <w:tc>
          <w:tcPr>
            <w:tcW w:type="dxa" w:w="1722"/>
            <w:vAlign w:val="center"/>
          </w:tcPr>
          <w:p>
            <w:pPr>
              <w:keepNext/>
              <w:spacing w:after="0" w:before="0" w:line="240" w:lineRule="auto"/>
              <w:jc w:val="right"/>
            </w:pPr>
            <w:r>
              <w:rPr>
                <w:rFonts w:ascii="Calibri" w:hAnsi="Calibri"/>
                <w:b w:val="0"/>
                <w:sz w:val="19"/>
              </w:rPr>
              <w:t>2.77</w:t>
            </w:r>
          </w:p>
        </w:tc>
        <w:tc>
          <w:tcPr>
            <w:tcW w:type="dxa" w:w="1722"/>
            <w:vAlign w:val="center"/>
          </w:tcPr>
          <w:p>
            <w:pPr>
              <w:keepNext/>
              <w:spacing w:after="0" w:before="0" w:line="240" w:lineRule="auto"/>
              <w:jc w:val="right"/>
            </w:pPr>
            <w:r>
              <w:rPr>
                <w:rFonts w:ascii="Calibri" w:hAnsi="Calibri"/>
                <w:b w:val="0"/>
                <w:sz w:val="19"/>
              </w:rPr>
              <w:t>9.82</w:t>
            </w:r>
          </w:p>
        </w:tc>
        <w:tc>
          <w:tcPr>
            <w:tcW w:type="dxa" w:w="1722"/>
            <w:vAlign w:val="center"/>
          </w:tcPr>
          <w:p>
            <w:pPr>
              <w:keepNext/>
              <w:spacing w:after="0" w:before="0" w:line="240" w:lineRule="auto"/>
              <w:jc w:val="right"/>
            </w:pPr>
            <w:r>
              <w:rPr>
                <w:rFonts w:ascii="Calibri" w:hAnsi="Calibri"/>
                <w:b w:val="0"/>
                <w:sz w:val="19"/>
              </w:rPr>
              <w:t>0.308</w:t>
            </w:r>
          </w:p>
        </w:tc>
        <w:tc>
          <w:tcPr>
            <w:tcW w:type="dxa" w:w="1722"/>
            <w:vAlign w:val="center"/>
          </w:tcPr>
          <w:p>
            <w:pPr>
              <w:keepNext/>
              <w:spacing w:after="0" w:before="0" w:line="240" w:lineRule="auto"/>
              <w:jc w:val="right"/>
            </w:pPr>
            <w:r>
              <w:rPr>
                <w:rFonts w:ascii="Calibri" w:hAnsi="Calibri"/>
                <w:b w:val="0"/>
                <w:sz w:val="19"/>
              </w:rPr>
              <w:t>0.761</w:t>
            </w:r>
          </w:p>
        </w:tc>
        <w:tc>
          <w:tcPr>
            <w:tcW w:type="dxa" w:w="1722"/>
            <w:vAlign w:val="center"/>
          </w:tcPr>
          <w:p>
            <w:pPr>
              <w:keepNext/>
              <w:spacing w:after="0" w:before="0" w:line="240" w:lineRule="auto"/>
              <w:jc w:val="right"/>
            </w:pPr>
            <w:r>
              <w:rPr>
                <w:rFonts w:ascii="Calibri" w:hAnsi="Calibri"/>
                <w:b w:val="0"/>
                <w:sz w:val="19"/>
              </w:rPr>
              <w:t>39.2%</w:t>
            </w:r>
          </w:p>
        </w:tc>
      </w:tr>
    </w:tbl>
    <w:p>
      <w:pPr>
        <w:keepLines/>
        <w:spacing w:before="60" w:after="120"/>
      </w:pPr>
      <w:r>
        <w:rPr>
          <w:sz w:val="18"/>
        </w:rPr>
        <w:t>Controlled simulation. Lower MSE indicates lower prediction error within the same task and target scaling. Higher probe R² indicates more decodable target-state information.</w:t>
      </w:r>
    </w:p>
    <w:p>
      <w:r>
        <w:t>Within each coverage condition, the Spearman correlation between width and state separation is 1.00; across all 30 models it is approximately 0.98. State d95 remains approximately 1–2, and the stable rank of future control rises only from about 1.1–1.2 to 1.8–2.0.</w:t>
      </w:r>
    </w:p>
    <w:p>
      <w:r>
        <w:t>The additional capacity primarily improves the separation of predictive states in this experiment; the dominant response directions remain few.</w:t>
      </w:r>
    </w:p>
    <w:p>
      <w:r>
        <w:t>The result supports evaluating representational capacity separately from effective control rank. A low-rank response can benefit from a larger, overcomplete representation, so neither the shared state nor individual experts should be compressed solely on the basis of a low measured control rank.</w:t>
      </w:r>
    </w:p>
    <w:p>
      <w:pPr>
        <w:pStyle w:val="Heading2"/>
      </w:pPr>
      <w:r>
        <w:t>3.3 SEMIOTIC-CHEM-001 Predictive states in structured chemical signals</w:t>
      </w:r>
    </w:p>
    <w:p>
      <w:pPr>
        <w:keepNext/>
        <w:spacing w:after="60"/>
        <w:jc w:val="center"/>
      </w:pPr>
      <w:r>
        <w:drawing>
          <wp:inline xmlns:a="http://schemas.openxmlformats.org/drawingml/2006/main" xmlns:pic="http://schemas.openxmlformats.org/drawingml/2006/picture">
            <wp:extent cx="6309360" cy="3652787"/>
            <wp:docPr id="3" name="Picture 3"/>
            <wp:cNvGraphicFramePr>
              <a:graphicFrameLocks noChangeAspect="1"/>
            </wp:cNvGraphicFramePr>
            <a:graphic>
              <a:graphicData uri="http://schemas.openxmlformats.org/drawingml/2006/picture">
                <pic:pic>
                  <pic:nvPicPr>
                    <pic:cNvPr id="0" name="03_image3.png"/>
                    <pic:cNvPicPr/>
                  </pic:nvPicPr>
                  <pic:blipFill>
                    <a:blip r:embed="rId11"/>
                    <a:stretch>
                      <a:fillRect/>
                    </a:stretch>
                  </pic:blipFill>
                  <pic:spPr>
                    <a:xfrm>
                      <a:off x="0" y="0"/>
                      <a:ext cx="6309360" cy="3652787"/>
                    </a:xfrm>
                    <a:prstGeom prst="rect"/>
                  </pic:spPr>
                </pic:pic>
              </a:graphicData>
            </a:graphic>
          </wp:inline>
        </w:drawing>
      </w:r>
    </w:p>
    <w:p>
      <w:pPr>
        <w:pStyle w:val="Caption"/>
      </w:pPr>
      <w:r>
        <w:t>Figure 3. Compositional holdout in a synthetic chemical communication system. Ten legal molecular combinations are excluded from training. Structure-aware models rank these held-out signals above the shuffled-chemistry control. The reported outcome is generalization within the controlled signal grammar.</w:t>
      </w:r>
    </w:p>
    <w:p>
      <w:pPr>
        <w:pStyle w:val="Caption"/>
        <w:keepNext/>
      </w:pPr>
      <w:r>
        <w:t>Table 8. Held-out synthetic molecular combinations.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2664"/>
            <w:vAlign w:val="center"/>
            <w:shd w:fill="F2F2F2"/>
          </w:tcPr>
          <w:p>
            <w:pPr>
              <w:keepNext/>
              <w:spacing w:after="0" w:before="0" w:line="240" w:lineRule="auto"/>
            </w:pPr>
            <w:r>
              <w:rPr>
                <w:rFonts w:ascii="Calibri" w:hAnsi="Calibri"/>
                <w:b/>
                <w:sz w:val="19"/>
              </w:rPr>
              <w:t>Top-1</w:t>
            </w:r>
          </w:p>
        </w:tc>
        <w:tc>
          <w:tcPr>
            <w:tcW w:type="dxa" w:w="2664"/>
            <w:vAlign w:val="center"/>
            <w:shd w:fill="F2F2F2"/>
          </w:tcPr>
          <w:p>
            <w:pPr>
              <w:keepNext/>
              <w:spacing w:after="0" w:before="0" w:line="240" w:lineRule="auto"/>
            </w:pPr>
            <w:r>
              <w:rPr>
                <w:rFonts w:ascii="Calibri" w:hAnsi="Calibri"/>
                <w:b/>
                <w:sz w:val="19"/>
              </w:rPr>
              <w:t>Top-5</w:t>
            </w:r>
          </w:p>
        </w:tc>
        <w:tc>
          <w:tcPr>
            <w:tcW w:type="dxa" w:w="2664"/>
            <w:vAlign w:val="center"/>
            <w:shd w:fill="F2F2F2"/>
          </w:tcPr>
          <w:p>
            <w:pPr>
              <w:keepNext/>
              <w:spacing w:after="0" w:before="0" w:line="240" w:lineRule="auto"/>
            </w:pPr>
            <w:r>
              <w:rPr>
                <w:rFonts w:ascii="Calibri" w:hAnsi="Calibri"/>
                <w:b/>
                <w:sz w:val="19"/>
              </w:rPr>
              <w:t>Mean rank</w:t>
            </w:r>
          </w:p>
        </w:tc>
      </w:tr>
      <w:tr>
        <w:trPr>
          <w:cantSplit/>
        </w:trPr>
        <w:tc>
          <w:tcPr>
            <w:tcW w:type="dxa" w:w="2232"/>
            <w:vAlign w:val="center"/>
          </w:tcPr>
          <w:p>
            <w:pPr>
              <w:keepNext w:val="0"/>
              <w:spacing w:after="0" w:before="0" w:line="240" w:lineRule="auto"/>
            </w:pPr>
            <w:r>
              <w:rPr>
                <w:rFonts w:ascii="Calibri" w:hAnsi="Calibri"/>
                <w:b w:val="0"/>
                <w:sz w:val="19"/>
              </w:rPr>
              <w:t>Transformer + structure</w:t>
            </w:r>
          </w:p>
        </w:tc>
        <w:tc>
          <w:tcPr>
            <w:tcW w:type="dxa" w:w="2664"/>
            <w:vAlign w:val="center"/>
          </w:tcPr>
          <w:p>
            <w:pPr>
              <w:keepNext w:val="0"/>
              <w:spacing w:after="0" w:before="0" w:line="240" w:lineRule="auto"/>
              <w:jc w:val="right"/>
            </w:pPr>
            <w:r>
              <w:rPr>
                <w:rFonts w:ascii="Calibri" w:hAnsi="Calibri"/>
                <w:b w:val="0"/>
                <w:sz w:val="19"/>
              </w:rPr>
              <w:t>31.9%</w:t>
            </w:r>
          </w:p>
        </w:tc>
        <w:tc>
          <w:tcPr>
            <w:tcW w:type="dxa" w:w="2664"/>
            <w:vAlign w:val="center"/>
          </w:tcPr>
          <w:p>
            <w:pPr>
              <w:keepNext w:val="0"/>
              <w:spacing w:after="0" w:before="0" w:line="240" w:lineRule="auto"/>
              <w:jc w:val="right"/>
            </w:pPr>
            <w:r>
              <w:rPr>
                <w:rFonts w:ascii="Calibri" w:hAnsi="Calibri"/>
                <w:b w:val="0"/>
                <w:sz w:val="19"/>
              </w:rPr>
              <w:t>90.6%</w:t>
            </w:r>
          </w:p>
        </w:tc>
        <w:tc>
          <w:tcPr>
            <w:tcW w:type="dxa" w:w="2664"/>
            <w:vAlign w:val="center"/>
          </w:tcPr>
          <w:p>
            <w:pPr>
              <w:keepNext w:val="0"/>
              <w:spacing w:after="0" w:before="0" w:line="240" w:lineRule="auto"/>
              <w:jc w:val="right"/>
            </w:pPr>
            <w:r>
              <w:rPr>
                <w:rFonts w:ascii="Calibri" w:hAnsi="Calibri"/>
                <w:b w:val="0"/>
                <w:sz w:val="19"/>
              </w:rPr>
              <w:t>2.90</w:t>
            </w:r>
          </w:p>
        </w:tc>
      </w:tr>
      <w:tr>
        <w:trPr>
          <w:cantSplit/>
        </w:trPr>
        <w:tc>
          <w:tcPr>
            <w:tcW w:type="dxa" w:w="2232"/>
            <w:vAlign w:val="center"/>
          </w:tcPr>
          <w:p>
            <w:pPr>
              <w:keepNext w:val="0"/>
              <w:spacing w:after="0" w:before="0" w:line="240" w:lineRule="auto"/>
            </w:pPr>
            <w:r>
              <w:rPr>
                <w:rFonts w:ascii="Calibri" w:hAnsi="Calibri"/>
                <w:b w:val="0"/>
                <w:sz w:val="19"/>
              </w:rPr>
              <w:t>GRU + structure</w:t>
            </w:r>
          </w:p>
        </w:tc>
        <w:tc>
          <w:tcPr>
            <w:tcW w:type="dxa" w:w="2664"/>
            <w:vAlign w:val="center"/>
          </w:tcPr>
          <w:p>
            <w:pPr>
              <w:keepNext w:val="0"/>
              <w:spacing w:after="0" w:before="0" w:line="240" w:lineRule="auto"/>
              <w:jc w:val="right"/>
            </w:pPr>
            <w:r>
              <w:rPr>
                <w:rFonts w:ascii="Calibri" w:hAnsi="Calibri"/>
                <w:b w:val="0"/>
                <w:sz w:val="19"/>
              </w:rPr>
              <w:t>27.8%</w:t>
            </w:r>
          </w:p>
        </w:tc>
        <w:tc>
          <w:tcPr>
            <w:tcW w:type="dxa" w:w="2664"/>
            <w:vAlign w:val="center"/>
          </w:tcPr>
          <w:p>
            <w:pPr>
              <w:keepNext w:val="0"/>
              <w:spacing w:after="0" w:before="0" w:line="240" w:lineRule="auto"/>
              <w:jc w:val="right"/>
            </w:pPr>
            <w:r>
              <w:rPr>
                <w:rFonts w:ascii="Calibri" w:hAnsi="Calibri"/>
                <w:b w:val="0"/>
                <w:sz w:val="19"/>
              </w:rPr>
              <w:t>94.2%</w:t>
            </w:r>
          </w:p>
        </w:tc>
        <w:tc>
          <w:tcPr>
            <w:tcW w:type="dxa" w:w="2664"/>
            <w:vAlign w:val="center"/>
          </w:tcPr>
          <w:p>
            <w:pPr>
              <w:keepNext w:val="0"/>
              <w:spacing w:after="0" w:before="0" w:line="240" w:lineRule="auto"/>
              <w:jc w:val="right"/>
            </w:pPr>
            <w:r>
              <w:rPr>
                <w:rFonts w:ascii="Calibri" w:hAnsi="Calibri"/>
                <w:b w:val="0"/>
                <w:sz w:val="19"/>
              </w:rPr>
              <w:t>2.78</w:t>
            </w:r>
          </w:p>
        </w:tc>
      </w:tr>
      <w:tr>
        <w:trPr>
          <w:cantSplit/>
        </w:trPr>
        <w:tc>
          <w:tcPr>
            <w:tcW w:type="dxa" w:w="2232"/>
            <w:vAlign w:val="center"/>
          </w:tcPr>
          <w:p>
            <w:pPr>
              <w:keepNext w:val="0"/>
              <w:spacing w:after="0" w:before="0" w:line="240" w:lineRule="auto"/>
            </w:pPr>
            <w:r>
              <w:rPr>
                <w:rFonts w:ascii="Calibri" w:hAnsi="Calibri"/>
                <w:b w:val="0"/>
                <w:sz w:val="19"/>
              </w:rPr>
              <w:t>Last-signal Markov</w:t>
            </w:r>
          </w:p>
        </w:tc>
        <w:tc>
          <w:tcPr>
            <w:tcW w:type="dxa" w:w="2664"/>
            <w:vAlign w:val="center"/>
          </w:tcPr>
          <w:p>
            <w:pPr>
              <w:keepNext w:val="0"/>
              <w:spacing w:after="0" w:before="0" w:line="240" w:lineRule="auto"/>
              <w:jc w:val="right"/>
            </w:pPr>
            <w:r>
              <w:rPr>
                <w:rFonts w:ascii="Calibri" w:hAnsi="Calibri"/>
                <w:b w:val="0"/>
                <w:sz w:val="19"/>
              </w:rPr>
              <w:t>21.9%</w:t>
            </w:r>
          </w:p>
        </w:tc>
        <w:tc>
          <w:tcPr>
            <w:tcW w:type="dxa" w:w="2664"/>
            <w:vAlign w:val="center"/>
          </w:tcPr>
          <w:p>
            <w:pPr>
              <w:keepNext w:val="0"/>
              <w:spacing w:after="0" w:before="0" w:line="240" w:lineRule="auto"/>
              <w:jc w:val="right"/>
            </w:pPr>
            <w:r>
              <w:rPr>
                <w:rFonts w:ascii="Calibri" w:hAnsi="Calibri"/>
                <w:b w:val="0"/>
                <w:sz w:val="19"/>
              </w:rPr>
              <w:t>84.7%</w:t>
            </w:r>
          </w:p>
        </w:tc>
        <w:tc>
          <w:tcPr>
            <w:tcW w:type="dxa" w:w="2664"/>
            <w:vAlign w:val="center"/>
          </w:tcPr>
          <w:p>
            <w:pPr>
              <w:keepNext w:val="0"/>
              <w:spacing w:after="0" w:before="0" w:line="240" w:lineRule="auto"/>
              <w:jc w:val="right"/>
            </w:pPr>
            <w:r>
              <w:rPr>
                <w:rFonts w:ascii="Calibri" w:hAnsi="Calibri"/>
                <w:b w:val="0"/>
                <w:sz w:val="19"/>
              </w:rPr>
              <w:t>3.91</w:t>
            </w:r>
          </w:p>
        </w:tc>
      </w:tr>
      <w:tr>
        <w:trPr>
          <w:cantSplit/>
        </w:trPr>
        <w:tc>
          <w:tcPr>
            <w:tcW w:type="dxa" w:w="2232"/>
            <w:vAlign w:val="center"/>
          </w:tcPr>
          <w:p>
            <w:pPr>
              <w:keepNext w:val="0"/>
              <w:spacing w:after="0" w:before="0" w:line="240" w:lineRule="auto"/>
            </w:pPr>
            <w:r>
              <w:rPr>
                <w:rFonts w:ascii="Calibri" w:hAnsi="Calibri"/>
                <w:b w:val="0"/>
                <w:sz w:val="19"/>
              </w:rPr>
              <w:t>Shuffled chemistry</w:t>
            </w:r>
          </w:p>
        </w:tc>
        <w:tc>
          <w:tcPr>
            <w:tcW w:type="dxa" w:w="2664"/>
            <w:vAlign w:val="center"/>
          </w:tcPr>
          <w:p>
            <w:pPr>
              <w:keepNext w:val="0"/>
              <w:spacing w:after="0" w:before="0" w:line="240" w:lineRule="auto"/>
              <w:jc w:val="right"/>
            </w:pPr>
            <w:r>
              <w:rPr>
                <w:rFonts w:ascii="Calibri" w:hAnsi="Calibri"/>
                <w:b w:val="0"/>
                <w:sz w:val="19"/>
              </w:rPr>
              <w:t>0.0%</w:t>
            </w:r>
          </w:p>
        </w:tc>
        <w:tc>
          <w:tcPr>
            <w:tcW w:type="dxa" w:w="2664"/>
            <w:vAlign w:val="center"/>
          </w:tcPr>
          <w:p>
            <w:pPr>
              <w:keepNext w:val="0"/>
              <w:spacing w:after="0" w:before="0" w:line="240" w:lineRule="auto"/>
              <w:jc w:val="right"/>
            </w:pPr>
            <w:r>
              <w:rPr>
                <w:rFonts w:ascii="Calibri" w:hAnsi="Calibri"/>
                <w:b w:val="0"/>
                <w:sz w:val="19"/>
              </w:rPr>
              <w:t>1.6%</w:t>
            </w:r>
          </w:p>
        </w:tc>
        <w:tc>
          <w:tcPr>
            <w:tcW w:type="dxa" w:w="2664"/>
            <w:vAlign w:val="center"/>
          </w:tcPr>
          <w:p>
            <w:pPr>
              <w:keepNext w:val="0"/>
              <w:spacing w:after="0" w:before="0" w:line="240" w:lineRule="auto"/>
              <w:jc w:val="right"/>
            </w:pPr>
            <w:r>
              <w:rPr>
                <w:rFonts w:ascii="Calibri" w:hAnsi="Calibri"/>
                <w:b w:val="0"/>
                <w:sz w:val="19"/>
              </w:rPr>
              <w:t>30.27</w:t>
            </w:r>
          </w:p>
        </w:tc>
      </w:tr>
      <w:tr>
        <w:trPr>
          <w:cantSplit/>
        </w:trPr>
        <w:tc>
          <w:tcPr>
            <w:tcW w:type="dxa" w:w="2232"/>
            <w:vAlign w:val="center"/>
          </w:tcPr>
          <w:p>
            <w:pPr>
              <w:keepNext/>
              <w:spacing w:after="0" w:before="0" w:line="240" w:lineRule="auto"/>
            </w:pPr>
            <w:r>
              <w:rPr>
                <w:rFonts w:ascii="Calibri" w:hAnsi="Calibri"/>
                <w:b w:val="0"/>
                <w:sz w:val="19"/>
              </w:rPr>
              <w:t>Random ranking</w:t>
            </w:r>
          </w:p>
        </w:tc>
        <w:tc>
          <w:tcPr>
            <w:tcW w:type="dxa" w:w="2664"/>
            <w:vAlign w:val="center"/>
          </w:tcPr>
          <w:p>
            <w:pPr>
              <w:keepNext/>
              <w:spacing w:after="0" w:before="0" w:line="240" w:lineRule="auto"/>
              <w:jc w:val="right"/>
            </w:pPr>
            <w:r>
              <w:rPr>
                <w:rFonts w:ascii="Calibri" w:hAnsi="Calibri"/>
                <w:b w:val="0"/>
                <w:sz w:val="19"/>
              </w:rPr>
              <w:t>1.67%</w:t>
            </w:r>
          </w:p>
        </w:tc>
        <w:tc>
          <w:tcPr>
            <w:tcW w:type="dxa" w:w="2664"/>
            <w:vAlign w:val="center"/>
          </w:tcPr>
          <w:p>
            <w:pPr>
              <w:keepNext/>
              <w:spacing w:after="0" w:before="0" w:line="240" w:lineRule="auto"/>
              <w:jc w:val="right"/>
            </w:pPr>
            <w:r>
              <w:rPr>
                <w:rFonts w:ascii="Calibri" w:hAnsi="Calibri"/>
                <w:b w:val="0"/>
                <w:sz w:val="19"/>
              </w:rPr>
              <w:t>8.33%</w:t>
            </w:r>
          </w:p>
        </w:tc>
        <w:tc>
          <w:tcPr>
            <w:tcW w:type="dxa" w:w="2664"/>
            <w:vAlign w:val="center"/>
          </w:tcPr>
          <w:p>
            <w:pPr>
              <w:keepNext/>
              <w:spacing w:after="0" w:before="0" w:line="240" w:lineRule="auto"/>
            </w:pPr>
            <w:r>
              <w:rPr>
                <w:rFonts w:ascii="Calibri" w:hAnsi="Calibri"/>
                <w:b w:val="0"/>
                <w:sz w:val="19"/>
              </w:rPr>
              <w:t>—</w:t>
            </w:r>
          </w:p>
        </w:tc>
      </w:tr>
    </w:tbl>
    <w:p>
      <w:pPr>
        <w:keepLines/>
        <w:spacing w:before="60" w:after="120"/>
      </w:pPr>
      <w:r>
        <w:rPr>
          <w:sz w:val="18"/>
        </w:rPr>
        <w:t>Controlled simulation.</w:t>
      </w:r>
    </w:p>
    <w:p>
      <w:r>
        <w:t>The models receive no labels for alarm, courtship or identity. They use species, environment and chemical history to construct a predictive state and predict the next signal's position in the structured signal space.</w:t>
      </w:r>
    </w:p>
    <w:p>
      <w:pPr>
        <w:pStyle w:val="Caption"/>
        <w:keepNext/>
      </w:pPr>
      <w:r>
        <w:t>Table 9. History and chemical predictive-state geometry.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870"/>
        <w:gridCol w:w="2870"/>
        <w:gridCol w:w="2870"/>
      </w:tblGrid>
      <w:tr>
        <w:trPr>
          <w:cantSplit/>
          <w:tblHeader/>
        </w:trPr>
        <w:tc>
          <w:tcPr>
            <w:tcW w:type="dxa" w:w="1613"/>
            <w:vAlign w:val="center"/>
            <w:shd w:fill="F2F2F2"/>
          </w:tcPr>
          <w:p>
            <w:pPr>
              <w:keepNext/>
              <w:spacing w:after="0" w:before="0" w:line="240" w:lineRule="auto"/>
            </w:pPr>
            <w:r>
              <w:rPr>
                <w:rFonts w:ascii="Calibri" w:hAnsi="Calibri"/>
                <w:b/>
                <w:sz w:val="19"/>
              </w:rPr>
              <w:t>Prefix signals</w:t>
            </w:r>
          </w:p>
        </w:tc>
        <w:tc>
          <w:tcPr>
            <w:tcW w:type="dxa" w:w="2870"/>
            <w:vAlign w:val="center"/>
            <w:shd w:fill="F2F2F2"/>
          </w:tcPr>
          <w:p>
            <w:pPr>
              <w:keepNext/>
              <w:spacing w:after="0" w:before="0" w:line="240" w:lineRule="auto"/>
            </w:pPr>
            <w:r>
              <w:rPr>
                <w:rFonts w:ascii="Calibri" w:hAnsi="Calibri"/>
                <w:b/>
                <w:sz w:val="19"/>
              </w:rPr>
              <w:t>GRU latent-state mean R²</w:t>
            </w:r>
          </w:p>
        </w:tc>
        <w:tc>
          <w:tcPr>
            <w:tcW w:type="dxa" w:w="2870"/>
            <w:vAlign w:val="center"/>
            <w:shd w:fill="F2F2F2"/>
          </w:tcPr>
          <w:p>
            <w:pPr>
              <w:keepNext/>
              <w:spacing w:after="0" w:before="0" w:line="240" w:lineRule="auto"/>
            </w:pPr>
            <w:r>
              <w:rPr>
                <w:rFonts w:ascii="Calibri" w:hAnsi="Calibri"/>
                <w:b/>
                <w:sz w:val="19"/>
              </w:rPr>
              <w:t>GRU state d95</w:t>
            </w:r>
          </w:p>
        </w:tc>
        <w:tc>
          <w:tcPr>
            <w:tcW w:type="dxa" w:w="2870"/>
            <w:vAlign w:val="center"/>
            <w:shd w:fill="F2F2F2"/>
          </w:tcPr>
          <w:p>
            <w:pPr>
              <w:keepNext/>
              <w:spacing w:after="0" w:before="0" w:line="240" w:lineRule="auto"/>
            </w:pPr>
            <w:r>
              <w:rPr>
                <w:rFonts w:ascii="Calibri" w:hAnsi="Calibri"/>
                <w:b/>
                <w:sz w:val="19"/>
              </w:rPr>
              <w:t>next-signal control stable rank</w:t>
            </w:r>
          </w:p>
        </w:tc>
      </w:tr>
      <w:tr>
        <w:trPr>
          <w:cantSplit/>
        </w:trPr>
        <w:tc>
          <w:tcPr>
            <w:tcW w:type="dxa" w:w="1613"/>
            <w:vAlign w:val="center"/>
          </w:tcPr>
          <w:p>
            <w:pPr>
              <w:keepNext w:val="0"/>
              <w:spacing w:after="0" w:before="0" w:line="240" w:lineRule="auto"/>
              <w:jc w:val="right"/>
            </w:pPr>
            <w:r>
              <w:rPr>
                <w:rFonts w:ascii="Calibri" w:hAnsi="Calibri"/>
                <w:b w:val="0"/>
                <w:sz w:val="19"/>
              </w:rPr>
              <w:t>0</w:t>
            </w:r>
          </w:p>
        </w:tc>
        <w:tc>
          <w:tcPr>
            <w:tcW w:type="dxa" w:w="2870"/>
            <w:vAlign w:val="center"/>
          </w:tcPr>
          <w:p>
            <w:pPr>
              <w:keepNext w:val="0"/>
              <w:spacing w:after="0" w:before="0" w:line="240" w:lineRule="auto"/>
              <w:jc w:val="right"/>
            </w:pPr>
            <w:r>
              <w:rPr>
                <w:rFonts w:ascii="Calibri" w:hAnsi="Calibri"/>
                <w:b w:val="0"/>
                <w:sz w:val="19"/>
              </w:rPr>
              <w:t>-0.005</w:t>
            </w:r>
          </w:p>
        </w:tc>
        <w:tc>
          <w:tcPr>
            <w:tcW w:type="dxa" w:w="2870"/>
            <w:vAlign w:val="center"/>
          </w:tcPr>
          <w:p>
            <w:pPr>
              <w:keepNext w:val="0"/>
              <w:spacing w:after="0" w:before="0" w:line="240" w:lineRule="auto"/>
              <w:jc w:val="right"/>
            </w:pPr>
            <w:r>
              <w:rPr>
                <w:rFonts w:ascii="Calibri" w:hAnsi="Calibri"/>
                <w:b w:val="0"/>
                <w:sz w:val="19"/>
              </w:rPr>
              <w:t>4</w:t>
            </w:r>
          </w:p>
        </w:tc>
        <w:tc>
          <w:tcPr>
            <w:tcW w:type="dxa" w:w="2870"/>
            <w:vAlign w:val="center"/>
          </w:tcPr>
          <w:p>
            <w:pPr>
              <w:keepNext w:val="0"/>
              <w:spacing w:after="0" w:before="0" w:line="240" w:lineRule="auto"/>
              <w:jc w:val="right"/>
            </w:pPr>
            <w:r>
              <w:rPr>
                <w:rFonts w:ascii="Calibri" w:hAnsi="Calibri"/>
                <w:b w:val="0"/>
                <w:sz w:val="19"/>
              </w:rPr>
              <w:t>3.22</w:t>
            </w:r>
          </w:p>
        </w:tc>
      </w:tr>
      <w:tr>
        <w:trPr>
          <w:cantSplit/>
        </w:trPr>
        <w:tc>
          <w:tcPr>
            <w:tcW w:type="dxa" w:w="1613"/>
            <w:vAlign w:val="center"/>
          </w:tcPr>
          <w:p>
            <w:pPr>
              <w:keepNext w:val="0"/>
              <w:spacing w:after="0" w:before="0" w:line="240" w:lineRule="auto"/>
              <w:jc w:val="right"/>
            </w:pPr>
            <w:r>
              <w:rPr>
                <w:rFonts w:ascii="Calibri" w:hAnsi="Calibri"/>
                <w:b w:val="0"/>
                <w:sz w:val="19"/>
              </w:rPr>
              <w:t>1</w:t>
            </w:r>
          </w:p>
        </w:tc>
        <w:tc>
          <w:tcPr>
            <w:tcW w:type="dxa" w:w="2870"/>
            <w:vAlign w:val="center"/>
          </w:tcPr>
          <w:p>
            <w:pPr>
              <w:keepNext w:val="0"/>
              <w:spacing w:after="0" w:before="0" w:line="240" w:lineRule="auto"/>
              <w:jc w:val="right"/>
            </w:pPr>
            <w:r>
              <w:rPr>
                <w:rFonts w:ascii="Calibri" w:hAnsi="Calibri"/>
                <w:b w:val="0"/>
                <w:sz w:val="19"/>
              </w:rPr>
              <w:t>0.659</w:t>
            </w:r>
          </w:p>
        </w:tc>
        <w:tc>
          <w:tcPr>
            <w:tcW w:type="dxa" w:w="2870"/>
            <w:vAlign w:val="center"/>
          </w:tcPr>
          <w:p>
            <w:pPr>
              <w:keepNext w:val="0"/>
              <w:spacing w:after="0" w:before="0" w:line="240" w:lineRule="auto"/>
              <w:jc w:val="right"/>
            </w:pPr>
            <w:r>
              <w:rPr>
                <w:rFonts w:ascii="Calibri" w:hAnsi="Calibri"/>
                <w:b w:val="0"/>
                <w:sz w:val="19"/>
              </w:rPr>
              <w:t>8</w:t>
            </w:r>
          </w:p>
        </w:tc>
        <w:tc>
          <w:tcPr>
            <w:tcW w:type="dxa" w:w="2870"/>
            <w:vAlign w:val="center"/>
          </w:tcPr>
          <w:p>
            <w:pPr>
              <w:keepNext w:val="0"/>
              <w:spacing w:after="0" w:before="0" w:line="240" w:lineRule="auto"/>
              <w:jc w:val="right"/>
            </w:pPr>
            <w:r>
              <w:rPr>
                <w:rFonts w:ascii="Calibri" w:hAnsi="Calibri"/>
                <w:b w:val="0"/>
                <w:sz w:val="19"/>
              </w:rPr>
              <w:t>2.93</w:t>
            </w:r>
          </w:p>
        </w:tc>
      </w:tr>
      <w:tr>
        <w:trPr>
          <w:cantSplit/>
        </w:trPr>
        <w:tc>
          <w:tcPr>
            <w:tcW w:type="dxa" w:w="1613"/>
            <w:vAlign w:val="center"/>
          </w:tcPr>
          <w:p>
            <w:pPr>
              <w:keepNext w:val="0"/>
              <w:spacing w:after="0" w:before="0" w:line="240" w:lineRule="auto"/>
              <w:jc w:val="right"/>
            </w:pPr>
            <w:r>
              <w:rPr>
                <w:rFonts w:ascii="Calibri" w:hAnsi="Calibri"/>
                <w:b w:val="0"/>
                <w:sz w:val="19"/>
              </w:rPr>
              <w:t>2</w:t>
            </w:r>
          </w:p>
        </w:tc>
        <w:tc>
          <w:tcPr>
            <w:tcW w:type="dxa" w:w="2870"/>
            <w:vAlign w:val="center"/>
          </w:tcPr>
          <w:p>
            <w:pPr>
              <w:keepNext w:val="0"/>
              <w:spacing w:after="0" w:before="0" w:line="240" w:lineRule="auto"/>
              <w:jc w:val="right"/>
            </w:pPr>
            <w:r>
              <w:rPr>
                <w:rFonts w:ascii="Calibri" w:hAnsi="Calibri"/>
                <w:b w:val="0"/>
                <w:sz w:val="19"/>
              </w:rPr>
              <w:t>0.698</w:t>
            </w:r>
          </w:p>
        </w:tc>
        <w:tc>
          <w:tcPr>
            <w:tcW w:type="dxa" w:w="2870"/>
            <w:vAlign w:val="center"/>
          </w:tcPr>
          <w:p>
            <w:pPr>
              <w:keepNext w:val="0"/>
              <w:spacing w:after="0" w:before="0" w:line="240" w:lineRule="auto"/>
              <w:jc w:val="right"/>
            </w:pPr>
            <w:r>
              <w:rPr>
                <w:rFonts w:ascii="Calibri" w:hAnsi="Calibri"/>
                <w:b w:val="0"/>
                <w:sz w:val="19"/>
              </w:rPr>
              <w:t>11</w:t>
            </w:r>
          </w:p>
        </w:tc>
        <w:tc>
          <w:tcPr>
            <w:tcW w:type="dxa" w:w="2870"/>
            <w:vAlign w:val="center"/>
          </w:tcPr>
          <w:p>
            <w:pPr>
              <w:keepNext w:val="0"/>
              <w:spacing w:after="0" w:before="0" w:line="240" w:lineRule="auto"/>
              <w:jc w:val="right"/>
            </w:pPr>
            <w:r>
              <w:rPr>
                <w:rFonts w:ascii="Calibri" w:hAnsi="Calibri"/>
                <w:b w:val="0"/>
                <w:sz w:val="19"/>
              </w:rPr>
              <w:t>2.85</w:t>
            </w:r>
          </w:p>
        </w:tc>
      </w:tr>
      <w:tr>
        <w:trPr>
          <w:cantSplit/>
        </w:trPr>
        <w:tc>
          <w:tcPr>
            <w:tcW w:type="dxa" w:w="1613"/>
            <w:vAlign w:val="center"/>
          </w:tcPr>
          <w:p>
            <w:pPr>
              <w:keepNext w:val="0"/>
              <w:spacing w:after="0" w:before="0" w:line="240" w:lineRule="auto"/>
              <w:jc w:val="right"/>
            </w:pPr>
            <w:r>
              <w:rPr>
                <w:rFonts w:ascii="Calibri" w:hAnsi="Calibri"/>
                <w:b w:val="0"/>
                <w:sz w:val="19"/>
              </w:rPr>
              <w:t>3</w:t>
            </w:r>
          </w:p>
        </w:tc>
        <w:tc>
          <w:tcPr>
            <w:tcW w:type="dxa" w:w="2870"/>
            <w:vAlign w:val="center"/>
          </w:tcPr>
          <w:p>
            <w:pPr>
              <w:keepNext w:val="0"/>
              <w:spacing w:after="0" w:before="0" w:line="240" w:lineRule="auto"/>
              <w:jc w:val="right"/>
            </w:pPr>
            <w:r>
              <w:rPr>
                <w:rFonts w:ascii="Calibri" w:hAnsi="Calibri"/>
                <w:b w:val="0"/>
                <w:sz w:val="19"/>
              </w:rPr>
              <w:t>0.706</w:t>
            </w:r>
          </w:p>
        </w:tc>
        <w:tc>
          <w:tcPr>
            <w:tcW w:type="dxa" w:w="2870"/>
            <w:vAlign w:val="center"/>
          </w:tcPr>
          <w:p>
            <w:pPr>
              <w:keepNext w:val="0"/>
              <w:spacing w:after="0" w:before="0" w:line="240" w:lineRule="auto"/>
              <w:jc w:val="right"/>
            </w:pPr>
            <w:r>
              <w:rPr>
                <w:rFonts w:ascii="Calibri" w:hAnsi="Calibri"/>
                <w:b w:val="0"/>
                <w:sz w:val="19"/>
              </w:rPr>
              <w:t>12</w:t>
            </w:r>
          </w:p>
        </w:tc>
        <w:tc>
          <w:tcPr>
            <w:tcW w:type="dxa" w:w="2870"/>
            <w:vAlign w:val="center"/>
          </w:tcPr>
          <w:p>
            <w:pPr>
              <w:keepNext w:val="0"/>
              <w:spacing w:after="0" w:before="0" w:line="240" w:lineRule="auto"/>
              <w:jc w:val="right"/>
            </w:pPr>
            <w:r>
              <w:rPr>
                <w:rFonts w:ascii="Calibri" w:hAnsi="Calibri"/>
                <w:b w:val="0"/>
                <w:sz w:val="19"/>
              </w:rPr>
              <w:t>2.81</w:t>
            </w:r>
          </w:p>
        </w:tc>
      </w:tr>
      <w:tr>
        <w:trPr>
          <w:cantSplit/>
        </w:trPr>
        <w:tc>
          <w:tcPr>
            <w:tcW w:type="dxa" w:w="1613"/>
            <w:vAlign w:val="center"/>
          </w:tcPr>
          <w:p>
            <w:pPr>
              <w:keepNext w:val="0"/>
              <w:spacing w:after="0" w:before="0" w:line="240" w:lineRule="auto"/>
              <w:jc w:val="right"/>
            </w:pPr>
            <w:r>
              <w:rPr>
                <w:rFonts w:ascii="Calibri" w:hAnsi="Calibri"/>
                <w:b w:val="0"/>
                <w:sz w:val="19"/>
              </w:rPr>
              <w:t>4</w:t>
            </w:r>
          </w:p>
        </w:tc>
        <w:tc>
          <w:tcPr>
            <w:tcW w:type="dxa" w:w="2870"/>
            <w:vAlign w:val="center"/>
          </w:tcPr>
          <w:p>
            <w:pPr>
              <w:keepNext w:val="0"/>
              <w:spacing w:after="0" w:before="0" w:line="240" w:lineRule="auto"/>
              <w:jc w:val="right"/>
            </w:pPr>
            <w:r>
              <w:rPr>
                <w:rFonts w:ascii="Calibri" w:hAnsi="Calibri"/>
                <w:b w:val="0"/>
                <w:sz w:val="19"/>
              </w:rPr>
              <w:t>0.715</w:t>
            </w:r>
          </w:p>
        </w:tc>
        <w:tc>
          <w:tcPr>
            <w:tcW w:type="dxa" w:w="2870"/>
            <w:vAlign w:val="center"/>
          </w:tcPr>
          <w:p>
            <w:pPr>
              <w:keepNext w:val="0"/>
              <w:spacing w:after="0" w:before="0" w:line="240" w:lineRule="auto"/>
              <w:jc w:val="right"/>
            </w:pPr>
            <w:r>
              <w:rPr>
                <w:rFonts w:ascii="Calibri" w:hAnsi="Calibri"/>
                <w:b w:val="0"/>
                <w:sz w:val="19"/>
              </w:rPr>
              <w:t>13</w:t>
            </w:r>
          </w:p>
        </w:tc>
        <w:tc>
          <w:tcPr>
            <w:tcW w:type="dxa" w:w="2870"/>
            <w:vAlign w:val="center"/>
          </w:tcPr>
          <w:p>
            <w:pPr>
              <w:keepNext w:val="0"/>
              <w:spacing w:after="0" w:before="0" w:line="240" w:lineRule="auto"/>
              <w:jc w:val="right"/>
            </w:pPr>
            <w:r>
              <w:rPr>
                <w:rFonts w:ascii="Calibri" w:hAnsi="Calibri"/>
                <w:b w:val="0"/>
                <w:sz w:val="19"/>
              </w:rPr>
              <w:t>2.80</w:t>
            </w:r>
          </w:p>
        </w:tc>
      </w:tr>
      <w:tr>
        <w:trPr>
          <w:cantSplit/>
        </w:trPr>
        <w:tc>
          <w:tcPr>
            <w:tcW w:type="dxa" w:w="1613"/>
            <w:vAlign w:val="center"/>
          </w:tcPr>
          <w:p>
            <w:pPr>
              <w:keepNext/>
              <w:spacing w:after="0" w:before="0" w:line="240" w:lineRule="auto"/>
              <w:jc w:val="right"/>
            </w:pPr>
            <w:r>
              <w:rPr>
                <w:rFonts w:ascii="Calibri" w:hAnsi="Calibri"/>
                <w:b w:val="0"/>
                <w:sz w:val="19"/>
              </w:rPr>
              <w:t>5</w:t>
            </w:r>
          </w:p>
        </w:tc>
        <w:tc>
          <w:tcPr>
            <w:tcW w:type="dxa" w:w="2870"/>
            <w:vAlign w:val="center"/>
          </w:tcPr>
          <w:p>
            <w:pPr>
              <w:keepNext/>
              <w:spacing w:after="0" w:before="0" w:line="240" w:lineRule="auto"/>
              <w:jc w:val="right"/>
            </w:pPr>
            <w:r>
              <w:rPr>
                <w:rFonts w:ascii="Calibri" w:hAnsi="Calibri"/>
                <w:b w:val="0"/>
                <w:sz w:val="19"/>
              </w:rPr>
              <w:t>0.711</w:t>
            </w:r>
          </w:p>
        </w:tc>
        <w:tc>
          <w:tcPr>
            <w:tcW w:type="dxa" w:w="2870"/>
            <w:vAlign w:val="center"/>
          </w:tcPr>
          <w:p>
            <w:pPr>
              <w:keepNext/>
              <w:spacing w:after="0" w:before="0" w:line="240" w:lineRule="auto"/>
              <w:jc w:val="right"/>
            </w:pPr>
            <w:r>
              <w:rPr>
                <w:rFonts w:ascii="Calibri" w:hAnsi="Calibri"/>
                <w:b w:val="0"/>
                <w:sz w:val="19"/>
              </w:rPr>
              <w:t>11</w:t>
            </w:r>
          </w:p>
        </w:tc>
        <w:tc>
          <w:tcPr>
            <w:tcW w:type="dxa" w:w="2870"/>
            <w:vAlign w:val="center"/>
          </w:tcPr>
          <w:p>
            <w:pPr>
              <w:keepNext/>
              <w:spacing w:after="0" w:before="0" w:line="240" w:lineRule="auto"/>
              <w:jc w:val="right"/>
            </w:pPr>
            <w:r>
              <w:rPr>
                <w:rFonts w:ascii="Calibri" w:hAnsi="Calibri"/>
                <w:b w:val="0"/>
                <w:sz w:val="19"/>
              </w:rPr>
              <w:t>2.74</w:t>
            </w:r>
          </w:p>
        </w:tc>
      </w:tr>
    </w:tbl>
    <w:p>
      <w:pPr>
        <w:keepLines/>
        <w:spacing w:before="60" w:after="120"/>
      </w:pPr>
      <w:r>
        <w:rPr>
          <w:sz w:val="18"/>
        </w:rPr>
        <w:t>Controlled simulation. Higher probe R² indicates more decodable target-state information.</w:t>
      </w:r>
    </w:p>
    <w:p>
      <w:r>
        <w:t>In this controlled construction, history-conditioned prediction operates over structured chemical signals without natural-language input.</w:t>
      </w:r>
    </w:p>
    <w:p>
      <w:pPr>
        <w:pStyle w:val="Heading2"/>
      </w:pPr>
      <w:r>
        <w:t>3.4 REAL-BIRD-001 History-dependent prediction in Bengalese finch song</w:t>
      </w:r>
    </w:p>
    <w:p>
      <w:pPr>
        <w:keepNext/>
        <w:spacing w:after="60"/>
        <w:jc w:val="center"/>
      </w:pPr>
      <w:r>
        <w:drawing>
          <wp:inline xmlns:a="http://schemas.openxmlformats.org/drawingml/2006/main" xmlns:pic="http://schemas.openxmlformats.org/drawingml/2006/picture">
            <wp:extent cx="6309360" cy="3687288"/>
            <wp:docPr id="4" name="Picture 4"/>
            <wp:cNvGraphicFramePr>
              <a:graphicFrameLocks noChangeAspect="1"/>
            </wp:cNvGraphicFramePr>
            <a:graphic>
              <a:graphicData uri="http://schemas.openxmlformats.org/drawingml/2006/picture">
                <pic:pic>
                  <pic:nvPicPr>
                    <pic:cNvPr id="0" name="04_image4.png"/>
                    <pic:cNvPicPr/>
                  </pic:nvPicPr>
                  <pic:blipFill>
                    <a:blip r:embed="rId12"/>
                    <a:stretch>
                      <a:fillRect/>
                    </a:stretch>
                  </pic:blipFill>
                  <pic:spPr>
                    <a:xfrm>
                      <a:off x="0" y="0"/>
                      <a:ext cx="6309360" cy="3687288"/>
                    </a:xfrm>
                    <a:prstGeom prst="rect"/>
                  </pic:spPr>
                </pic:pic>
              </a:graphicData>
            </a:graphic>
          </wp:inline>
        </w:drawing>
      </w:r>
    </w:p>
    <w:p>
      <w:pPr>
        <w:pStyle w:val="Caption"/>
      </w:pPr>
      <w:r>
        <w:t>Figure 4. Next-syllable prediction in real Bengalese finch sequences. Accuracy improves as history length increases. Shuffling syllable order within bouts preserves token counts but removes and eventually reverses this benefit. Cross-entropy is reported in bits.</w:t>
      </w:r>
    </w:p>
    <w:p>
      <w:pPr>
        <w:pStyle w:val="Caption"/>
        <w:keepNext/>
      </w:pPr>
      <w:r>
        <w:t>Table 10. History-dependent next-syllable prediction.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870"/>
        <w:gridCol w:w="2870"/>
        <w:gridCol w:w="2870"/>
      </w:tblGrid>
      <w:tr>
        <w:trPr>
          <w:cantSplit/>
          <w:tblHeader/>
        </w:trPr>
        <w:tc>
          <w:tcPr>
            <w:tcW w:type="dxa" w:w="1613"/>
            <w:vAlign w:val="center"/>
            <w:shd w:fill="F2F2F2"/>
          </w:tcPr>
          <w:p>
            <w:pPr>
              <w:keepNext/>
              <w:spacing w:after="0" w:before="0" w:line="240" w:lineRule="auto"/>
            </w:pPr>
            <w:r>
              <w:rPr>
                <w:rFonts w:ascii="Calibri" w:hAnsi="Calibri"/>
                <w:b/>
                <w:sz w:val="19"/>
              </w:rPr>
              <w:t>History K</w:t>
            </w:r>
          </w:p>
        </w:tc>
        <w:tc>
          <w:tcPr>
            <w:tcW w:type="dxa" w:w="2870"/>
            <w:vAlign w:val="center"/>
            <w:shd w:fill="F2F2F2"/>
          </w:tcPr>
          <w:p>
            <w:pPr>
              <w:keepNext/>
              <w:spacing w:after="0" w:before="0" w:line="240" w:lineRule="auto"/>
            </w:pPr>
            <w:r>
              <w:rPr>
                <w:rFonts w:ascii="Calibri" w:hAnsi="Calibri"/>
                <w:b/>
                <w:sz w:val="19"/>
              </w:rPr>
              <w:t>Real Top-1</w:t>
            </w:r>
          </w:p>
        </w:tc>
        <w:tc>
          <w:tcPr>
            <w:tcW w:type="dxa" w:w="2870"/>
            <w:vAlign w:val="center"/>
            <w:shd w:fill="F2F2F2"/>
          </w:tcPr>
          <w:p>
            <w:pPr>
              <w:keepNext/>
              <w:spacing w:after="0" w:before="0" w:line="240" w:lineRule="auto"/>
            </w:pPr>
            <w:r>
              <w:rPr>
                <w:rFonts w:ascii="Calibri" w:hAnsi="Calibri"/>
                <w:b/>
                <w:sz w:val="19"/>
              </w:rPr>
              <w:t>Real cross-entropy (bit)</w:t>
            </w:r>
          </w:p>
        </w:tc>
        <w:tc>
          <w:tcPr>
            <w:tcW w:type="dxa" w:w="2870"/>
            <w:vAlign w:val="center"/>
            <w:shd w:fill="F2F2F2"/>
          </w:tcPr>
          <w:p>
            <w:pPr>
              <w:keepNext/>
              <w:spacing w:after="0" w:before="0" w:line="240" w:lineRule="auto"/>
            </w:pPr>
            <w:r>
              <w:rPr>
                <w:rFonts w:ascii="Calibri" w:hAnsi="Calibri"/>
                <w:b/>
                <w:sz w:val="19"/>
              </w:rPr>
              <w:t>Shuffled Top-1</w:t>
            </w:r>
          </w:p>
        </w:tc>
      </w:tr>
      <w:tr>
        <w:trPr>
          <w:cantSplit/>
        </w:trPr>
        <w:tc>
          <w:tcPr>
            <w:tcW w:type="dxa" w:w="1613"/>
            <w:vAlign w:val="center"/>
          </w:tcPr>
          <w:p>
            <w:pPr>
              <w:keepNext w:val="0"/>
              <w:spacing w:after="0" w:before="0" w:line="240" w:lineRule="auto"/>
              <w:jc w:val="right"/>
            </w:pPr>
            <w:r>
              <w:rPr>
                <w:rFonts w:ascii="Calibri" w:hAnsi="Calibri"/>
                <w:b w:val="0"/>
                <w:sz w:val="19"/>
              </w:rPr>
              <w:t>0</w:t>
            </w:r>
          </w:p>
        </w:tc>
        <w:tc>
          <w:tcPr>
            <w:tcW w:type="dxa" w:w="2870"/>
            <w:vAlign w:val="center"/>
          </w:tcPr>
          <w:p>
            <w:pPr>
              <w:keepNext w:val="0"/>
              <w:spacing w:after="0" w:before="0" w:line="240" w:lineRule="auto"/>
              <w:jc w:val="right"/>
            </w:pPr>
            <w:r>
              <w:rPr>
                <w:rFonts w:ascii="Calibri" w:hAnsi="Calibri"/>
                <w:b w:val="0"/>
                <w:sz w:val="19"/>
              </w:rPr>
              <w:t>42.0%</w:t>
            </w:r>
          </w:p>
        </w:tc>
        <w:tc>
          <w:tcPr>
            <w:tcW w:type="dxa" w:w="2870"/>
            <w:vAlign w:val="center"/>
          </w:tcPr>
          <w:p>
            <w:pPr>
              <w:keepNext w:val="0"/>
              <w:spacing w:after="0" w:before="0" w:line="240" w:lineRule="auto"/>
              <w:jc w:val="right"/>
            </w:pPr>
            <w:r>
              <w:rPr>
                <w:rFonts w:ascii="Calibri" w:hAnsi="Calibri"/>
                <w:b w:val="0"/>
                <w:sz w:val="19"/>
              </w:rPr>
              <w:t>2.352</w:t>
            </w:r>
          </w:p>
        </w:tc>
        <w:tc>
          <w:tcPr>
            <w:tcW w:type="dxa" w:w="2870"/>
            <w:vAlign w:val="center"/>
          </w:tcPr>
          <w:p>
            <w:pPr>
              <w:keepNext w:val="0"/>
              <w:spacing w:after="0" w:before="0" w:line="240" w:lineRule="auto"/>
              <w:jc w:val="right"/>
            </w:pPr>
            <w:r>
              <w:rPr>
                <w:rFonts w:ascii="Calibri" w:hAnsi="Calibri"/>
                <w:b w:val="0"/>
                <w:sz w:val="19"/>
              </w:rPr>
              <w:t>42.0%</w:t>
            </w:r>
          </w:p>
        </w:tc>
      </w:tr>
      <w:tr>
        <w:trPr>
          <w:cantSplit/>
        </w:trPr>
        <w:tc>
          <w:tcPr>
            <w:tcW w:type="dxa" w:w="1613"/>
            <w:vAlign w:val="center"/>
          </w:tcPr>
          <w:p>
            <w:pPr>
              <w:keepNext w:val="0"/>
              <w:spacing w:after="0" w:before="0" w:line="240" w:lineRule="auto"/>
              <w:jc w:val="right"/>
            </w:pPr>
            <w:r>
              <w:rPr>
                <w:rFonts w:ascii="Calibri" w:hAnsi="Calibri"/>
                <w:b w:val="0"/>
                <w:sz w:val="19"/>
              </w:rPr>
              <w:t>1</w:t>
            </w:r>
          </w:p>
        </w:tc>
        <w:tc>
          <w:tcPr>
            <w:tcW w:type="dxa" w:w="2870"/>
            <w:vAlign w:val="center"/>
          </w:tcPr>
          <w:p>
            <w:pPr>
              <w:keepNext w:val="0"/>
              <w:spacing w:after="0" w:before="0" w:line="240" w:lineRule="auto"/>
              <w:jc w:val="right"/>
            </w:pPr>
            <w:r>
              <w:rPr>
                <w:rFonts w:ascii="Calibri" w:hAnsi="Calibri"/>
                <w:b w:val="0"/>
                <w:sz w:val="19"/>
              </w:rPr>
              <w:t>81.3%</w:t>
            </w:r>
          </w:p>
        </w:tc>
        <w:tc>
          <w:tcPr>
            <w:tcW w:type="dxa" w:w="2870"/>
            <w:vAlign w:val="center"/>
          </w:tcPr>
          <w:p>
            <w:pPr>
              <w:keepNext w:val="0"/>
              <w:spacing w:after="0" w:before="0" w:line="240" w:lineRule="auto"/>
              <w:jc w:val="right"/>
            </w:pPr>
            <w:r>
              <w:rPr>
                <w:rFonts w:ascii="Calibri" w:hAnsi="Calibri"/>
                <w:b w:val="0"/>
                <w:sz w:val="19"/>
              </w:rPr>
              <w:t>0.794</w:t>
            </w:r>
          </w:p>
        </w:tc>
        <w:tc>
          <w:tcPr>
            <w:tcW w:type="dxa" w:w="2870"/>
            <w:vAlign w:val="center"/>
          </w:tcPr>
          <w:p>
            <w:pPr>
              <w:keepNext w:val="0"/>
              <w:spacing w:after="0" w:before="0" w:line="240" w:lineRule="auto"/>
              <w:jc w:val="right"/>
            </w:pPr>
            <w:r>
              <w:rPr>
                <w:rFonts w:ascii="Calibri" w:hAnsi="Calibri"/>
                <w:b w:val="0"/>
                <w:sz w:val="19"/>
              </w:rPr>
              <w:t>41.9%</w:t>
            </w:r>
          </w:p>
        </w:tc>
      </w:tr>
      <w:tr>
        <w:trPr>
          <w:cantSplit/>
        </w:trPr>
        <w:tc>
          <w:tcPr>
            <w:tcW w:type="dxa" w:w="1613"/>
            <w:vAlign w:val="center"/>
          </w:tcPr>
          <w:p>
            <w:pPr>
              <w:keepNext w:val="0"/>
              <w:spacing w:after="0" w:before="0" w:line="240" w:lineRule="auto"/>
              <w:jc w:val="right"/>
            </w:pPr>
            <w:r>
              <w:rPr>
                <w:rFonts w:ascii="Calibri" w:hAnsi="Calibri"/>
                <w:b w:val="0"/>
                <w:sz w:val="19"/>
              </w:rPr>
              <w:t>2</w:t>
            </w:r>
          </w:p>
        </w:tc>
        <w:tc>
          <w:tcPr>
            <w:tcW w:type="dxa" w:w="2870"/>
            <w:vAlign w:val="center"/>
          </w:tcPr>
          <w:p>
            <w:pPr>
              <w:keepNext w:val="0"/>
              <w:spacing w:after="0" w:before="0" w:line="240" w:lineRule="auto"/>
              <w:jc w:val="right"/>
            </w:pPr>
            <w:r>
              <w:rPr>
                <w:rFonts w:ascii="Calibri" w:hAnsi="Calibri"/>
                <w:b w:val="0"/>
                <w:sz w:val="19"/>
              </w:rPr>
              <w:t>82.2%</w:t>
            </w:r>
          </w:p>
        </w:tc>
        <w:tc>
          <w:tcPr>
            <w:tcW w:type="dxa" w:w="2870"/>
            <w:vAlign w:val="center"/>
          </w:tcPr>
          <w:p>
            <w:pPr>
              <w:keepNext w:val="0"/>
              <w:spacing w:after="0" w:before="0" w:line="240" w:lineRule="auto"/>
              <w:jc w:val="right"/>
            </w:pPr>
            <w:r>
              <w:rPr>
                <w:rFonts w:ascii="Calibri" w:hAnsi="Calibri"/>
                <w:b w:val="0"/>
                <w:sz w:val="19"/>
              </w:rPr>
              <w:t>0.684</w:t>
            </w:r>
          </w:p>
        </w:tc>
        <w:tc>
          <w:tcPr>
            <w:tcW w:type="dxa" w:w="2870"/>
            <w:vAlign w:val="center"/>
          </w:tcPr>
          <w:p>
            <w:pPr>
              <w:keepNext w:val="0"/>
              <w:spacing w:after="0" w:before="0" w:line="240" w:lineRule="auto"/>
              <w:jc w:val="right"/>
            </w:pPr>
            <w:r>
              <w:rPr>
                <w:rFonts w:ascii="Calibri" w:hAnsi="Calibri"/>
                <w:b w:val="0"/>
                <w:sz w:val="19"/>
              </w:rPr>
              <w:t>41.9%</w:t>
            </w:r>
          </w:p>
        </w:tc>
      </w:tr>
      <w:tr>
        <w:trPr>
          <w:cantSplit/>
        </w:trPr>
        <w:tc>
          <w:tcPr>
            <w:tcW w:type="dxa" w:w="1613"/>
            <w:vAlign w:val="center"/>
          </w:tcPr>
          <w:p>
            <w:pPr>
              <w:keepNext w:val="0"/>
              <w:spacing w:after="0" w:before="0" w:line="240" w:lineRule="auto"/>
              <w:jc w:val="right"/>
            </w:pPr>
            <w:r>
              <w:rPr>
                <w:rFonts w:ascii="Calibri" w:hAnsi="Calibri"/>
                <w:b w:val="0"/>
                <w:sz w:val="19"/>
              </w:rPr>
              <w:t>3</w:t>
            </w:r>
          </w:p>
        </w:tc>
        <w:tc>
          <w:tcPr>
            <w:tcW w:type="dxa" w:w="2870"/>
            <w:vAlign w:val="center"/>
          </w:tcPr>
          <w:p>
            <w:pPr>
              <w:keepNext w:val="0"/>
              <w:spacing w:after="0" w:before="0" w:line="240" w:lineRule="auto"/>
              <w:jc w:val="right"/>
            </w:pPr>
            <w:r>
              <w:rPr>
                <w:rFonts w:ascii="Calibri" w:hAnsi="Calibri"/>
                <w:b w:val="0"/>
                <w:sz w:val="19"/>
              </w:rPr>
              <w:t>82.9%</w:t>
            </w:r>
          </w:p>
        </w:tc>
        <w:tc>
          <w:tcPr>
            <w:tcW w:type="dxa" w:w="2870"/>
            <w:vAlign w:val="center"/>
          </w:tcPr>
          <w:p>
            <w:pPr>
              <w:keepNext w:val="0"/>
              <w:spacing w:after="0" w:before="0" w:line="240" w:lineRule="auto"/>
              <w:jc w:val="right"/>
            </w:pPr>
            <w:r>
              <w:rPr>
                <w:rFonts w:ascii="Calibri" w:hAnsi="Calibri"/>
                <w:b w:val="0"/>
                <w:sz w:val="19"/>
              </w:rPr>
              <w:t>0.642</w:t>
            </w:r>
          </w:p>
        </w:tc>
        <w:tc>
          <w:tcPr>
            <w:tcW w:type="dxa" w:w="2870"/>
            <w:vAlign w:val="center"/>
          </w:tcPr>
          <w:p>
            <w:pPr>
              <w:keepNext w:val="0"/>
              <w:spacing w:after="0" w:before="0" w:line="240" w:lineRule="auto"/>
              <w:jc w:val="right"/>
            </w:pPr>
            <w:r>
              <w:rPr>
                <w:rFonts w:ascii="Calibri" w:hAnsi="Calibri"/>
                <w:b w:val="0"/>
                <w:sz w:val="19"/>
              </w:rPr>
              <w:t>41.8%</w:t>
            </w:r>
          </w:p>
        </w:tc>
      </w:tr>
      <w:tr>
        <w:trPr>
          <w:cantSplit/>
        </w:trPr>
        <w:tc>
          <w:tcPr>
            <w:tcW w:type="dxa" w:w="1613"/>
            <w:vAlign w:val="center"/>
          </w:tcPr>
          <w:p>
            <w:pPr>
              <w:keepNext w:val="0"/>
              <w:spacing w:after="0" w:before="0" w:line="240" w:lineRule="auto"/>
              <w:jc w:val="right"/>
            </w:pPr>
            <w:r>
              <w:rPr>
                <w:rFonts w:ascii="Calibri" w:hAnsi="Calibri"/>
                <w:b w:val="0"/>
                <w:sz w:val="19"/>
              </w:rPr>
              <w:t>4</w:t>
            </w:r>
          </w:p>
        </w:tc>
        <w:tc>
          <w:tcPr>
            <w:tcW w:type="dxa" w:w="2870"/>
            <w:vAlign w:val="center"/>
          </w:tcPr>
          <w:p>
            <w:pPr>
              <w:keepNext w:val="0"/>
              <w:spacing w:after="0" w:before="0" w:line="240" w:lineRule="auto"/>
              <w:jc w:val="right"/>
            </w:pPr>
            <w:r>
              <w:rPr>
                <w:rFonts w:ascii="Calibri" w:hAnsi="Calibri"/>
                <w:b w:val="0"/>
                <w:sz w:val="19"/>
              </w:rPr>
              <w:t>84.5%</w:t>
            </w:r>
          </w:p>
        </w:tc>
        <w:tc>
          <w:tcPr>
            <w:tcW w:type="dxa" w:w="2870"/>
            <w:vAlign w:val="center"/>
          </w:tcPr>
          <w:p>
            <w:pPr>
              <w:keepNext w:val="0"/>
              <w:spacing w:after="0" w:before="0" w:line="240" w:lineRule="auto"/>
              <w:jc w:val="right"/>
            </w:pPr>
            <w:r>
              <w:rPr>
                <w:rFonts w:ascii="Calibri" w:hAnsi="Calibri"/>
                <w:b w:val="0"/>
                <w:sz w:val="19"/>
              </w:rPr>
              <w:t>0.581</w:t>
            </w:r>
          </w:p>
        </w:tc>
        <w:tc>
          <w:tcPr>
            <w:tcW w:type="dxa" w:w="2870"/>
            <w:vAlign w:val="center"/>
          </w:tcPr>
          <w:p>
            <w:pPr>
              <w:keepNext w:val="0"/>
              <w:spacing w:after="0" w:before="0" w:line="240" w:lineRule="auto"/>
              <w:jc w:val="right"/>
            </w:pPr>
            <w:r>
              <w:rPr>
                <w:rFonts w:ascii="Calibri" w:hAnsi="Calibri"/>
                <w:b w:val="0"/>
                <w:sz w:val="19"/>
              </w:rPr>
              <w:t>40.6%</w:t>
            </w:r>
          </w:p>
        </w:tc>
      </w:tr>
      <w:tr>
        <w:trPr>
          <w:cantSplit/>
        </w:trPr>
        <w:tc>
          <w:tcPr>
            <w:tcW w:type="dxa" w:w="1613"/>
            <w:vAlign w:val="center"/>
          </w:tcPr>
          <w:p>
            <w:pPr>
              <w:keepNext/>
              <w:spacing w:after="0" w:before="0" w:line="240" w:lineRule="auto"/>
              <w:jc w:val="right"/>
            </w:pPr>
            <w:r>
              <w:rPr>
                <w:rFonts w:ascii="Calibri" w:hAnsi="Calibri"/>
                <w:b w:val="0"/>
                <w:sz w:val="19"/>
              </w:rPr>
              <w:t>5</w:t>
            </w:r>
          </w:p>
        </w:tc>
        <w:tc>
          <w:tcPr>
            <w:tcW w:type="dxa" w:w="2870"/>
            <w:vAlign w:val="center"/>
          </w:tcPr>
          <w:p>
            <w:pPr>
              <w:keepNext/>
              <w:spacing w:after="0" w:before="0" w:line="240" w:lineRule="auto"/>
              <w:jc w:val="right"/>
            </w:pPr>
            <w:r>
              <w:rPr>
                <w:rFonts w:ascii="Calibri" w:hAnsi="Calibri"/>
                <w:b w:val="0"/>
                <w:sz w:val="19"/>
              </w:rPr>
              <w:t>86.5%</w:t>
            </w:r>
          </w:p>
        </w:tc>
        <w:tc>
          <w:tcPr>
            <w:tcW w:type="dxa" w:w="2870"/>
            <w:vAlign w:val="center"/>
          </w:tcPr>
          <w:p>
            <w:pPr>
              <w:keepNext/>
              <w:spacing w:after="0" w:before="0" w:line="240" w:lineRule="auto"/>
              <w:jc w:val="right"/>
            </w:pPr>
            <w:r>
              <w:rPr>
                <w:rFonts w:ascii="Calibri" w:hAnsi="Calibri"/>
                <w:b w:val="0"/>
                <w:sz w:val="19"/>
              </w:rPr>
              <w:t>0.544</w:t>
            </w:r>
          </w:p>
        </w:tc>
        <w:tc>
          <w:tcPr>
            <w:tcW w:type="dxa" w:w="2870"/>
            <w:vAlign w:val="center"/>
          </w:tcPr>
          <w:p>
            <w:pPr>
              <w:keepNext/>
              <w:spacing w:after="0" w:before="0" w:line="240" w:lineRule="auto"/>
              <w:jc w:val="right"/>
            </w:pPr>
            <w:r>
              <w:rPr>
                <w:rFonts w:ascii="Calibri" w:hAnsi="Calibri"/>
                <w:b w:val="0"/>
                <w:sz w:val="19"/>
              </w:rPr>
              <w:t>38.6%</w:t>
            </w:r>
          </w:p>
        </w:tc>
      </w:tr>
    </w:tbl>
    <w:p>
      <w:pPr>
        <w:keepLines/>
        <w:spacing w:before="60" w:after="120"/>
      </w:pPr>
      <w:r>
        <w:rPr>
          <w:sz w:val="18"/>
        </w:rPr>
        <w:t>Recorded Bengalese finch sequences. Cross-entropy is in bits.</w:t>
      </w:r>
    </w:p>
    <w:p>
      <w:r>
        <w:t>A particularly clear example concerns the current syllable “i”. After S→i, the next syllable is again i in approximately 97.7% of cases; after d→i, it is a in approximately 95.5%. The Jensen–Shannon divergence between these next-syllable distributions is approximately 0.887 bit.</w:t>
      </w:r>
    </w:p>
    <w:p>
      <w:r>
        <w:t>The current syllable alone therefore does not identify the predictive state in these recorded sequences.</w:t>
      </w:r>
    </w:p>
    <w:p>
      <w:pPr>
        <w:pStyle w:val="Heading2"/>
      </w:pPr>
      <w:r>
        <w:t>3.5 REAL-WAGGLE-001 and QS-GRAPH-001 Continuous and relational communication data</w:t>
      </w:r>
    </w:p>
    <w:p>
      <w:pPr>
        <w:pStyle w:val="Heading3"/>
      </w:pPr>
      <w:r>
        <w:t>3.5.1 Continuous direction signals in honeybee dance</w:t>
      </w:r>
    </w:p>
    <w:p>
      <w:pPr>
        <w:pStyle w:val="Caption"/>
        <w:keepNext/>
      </w:pPr>
      <w:r>
        <w:t>Table 11. Honeybee direction prediction.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Predictor</w:t>
            </w:r>
          </w:p>
        </w:tc>
        <w:tc>
          <w:tcPr>
            <w:tcW w:type="dxa" w:w="3240"/>
            <w:vAlign w:val="center"/>
            <w:shd w:fill="F2F2F2"/>
          </w:tcPr>
          <w:p>
            <w:pPr>
              <w:keepNext/>
              <w:spacing w:after="0" w:before="0" w:line="240" w:lineRule="auto"/>
            </w:pPr>
            <w:r>
              <w:rPr>
                <w:rFonts w:ascii="Calibri" w:hAnsi="Calibri"/>
                <w:b/>
                <w:sz w:val="19"/>
              </w:rPr>
              <w:t>Mean angular error</w:t>
            </w:r>
          </w:p>
        </w:tc>
        <w:tc>
          <w:tcPr>
            <w:tcW w:type="dxa" w:w="3240"/>
            <w:vAlign w:val="center"/>
            <w:shd w:fill="F2F2F2"/>
          </w:tcPr>
          <w:p>
            <w:pPr>
              <w:keepNext/>
              <w:spacing w:after="0" w:before="0" w:line="240" w:lineRule="auto"/>
            </w:pPr>
            <w:r>
              <w:rPr>
                <w:rFonts w:ascii="Calibri" w:hAnsi="Calibri"/>
                <w:b/>
                <w:sz w:val="19"/>
              </w:rPr>
              <w:t>Median</w:t>
            </w:r>
          </w:p>
        </w:tc>
      </w:tr>
      <w:tr>
        <w:trPr>
          <w:cantSplit/>
        </w:trPr>
        <w:tc>
          <w:tcPr>
            <w:tcW w:type="dxa" w:w="3744"/>
            <w:vAlign w:val="center"/>
          </w:tcPr>
          <w:p>
            <w:pPr>
              <w:keepNext w:val="0"/>
              <w:spacing w:after="0" w:before="0" w:line="240" w:lineRule="auto"/>
            </w:pPr>
            <w:r>
              <w:rPr>
                <w:rFonts w:ascii="Calibri" w:hAnsi="Calibri"/>
                <w:b w:val="0"/>
                <w:sz w:val="19"/>
              </w:rPr>
              <w:t>Global circular mean</w:t>
            </w:r>
          </w:p>
        </w:tc>
        <w:tc>
          <w:tcPr>
            <w:tcW w:type="dxa" w:w="3240"/>
            <w:vAlign w:val="center"/>
          </w:tcPr>
          <w:p>
            <w:pPr>
              <w:keepNext w:val="0"/>
              <w:spacing w:after="0" w:before="0" w:line="240" w:lineRule="auto"/>
              <w:jc w:val="right"/>
            </w:pPr>
            <w:r>
              <w:rPr>
                <w:rFonts w:ascii="Calibri" w:hAnsi="Calibri"/>
                <w:b w:val="0"/>
                <w:sz w:val="19"/>
              </w:rPr>
              <w:t>45.6°</w:t>
            </w:r>
          </w:p>
        </w:tc>
        <w:tc>
          <w:tcPr>
            <w:tcW w:type="dxa" w:w="3240"/>
            <w:vAlign w:val="center"/>
          </w:tcPr>
          <w:p>
            <w:pPr>
              <w:keepNext w:val="0"/>
              <w:spacing w:after="0" w:before="0" w:line="240" w:lineRule="auto"/>
              <w:jc w:val="right"/>
            </w:pPr>
            <w:r>
              <w:rPr>
                <w:rFonts w:ascii="Calibri" w:hAnsi="Calibri"/>
                <w:b w:val="0"/>
                <w:sz w:val="19"/>
              </w:rPr>
              <w:t>24.8°</w:t>
            </w:r>
          </w:p>
        </w:tc>
      </w:tr>
      <w:tr>
        <w:trPr>
          <w:cantSplit/>
        </w:trPr>
        <w:tc>
          <w:tcPr>
            <w:tcW w:type="dxa" w:w="3744"/>
            <w:vAlign w:val="center"/>
          </w:tcPr>
          <w:p>
            <w:pPr>
              <w:keepNext w:val="0"/>
              <w:spacing w:after="0" w:before="0" w:line="240" w:lineRule="auto"/>
            </w:pPr>
            <w:r>
              <w:rPr>
                <w:rFonts w:ascii="Calibri" w:hAnsi="Calibri"/>
                <w:b w:val="0"/>
                <w:sz w:val="19"/>
              </w:rPr>
              <w:t>Previous waggle run</w:t>
            </w:r>
          </w:p>
        </w:tc>
        <w:tc>
          <w:tcPr>
            <w:tcW w:type="dxa" w:w="3240"/>
            <w:vAlign w:val="center"/>
          </w:tcPr>
          <w:p>
            <w:pPr>
              <w:keepNext w:val="0"/>
              <w:spacing w:after="0" w:before="0" w:line="240" w:lineRule="auto"/>
              <w:jc w:val="right"/>
            </w:pPr>
            <w:r>
              <w:rPr>
                <w:rFonts w:ascii="Calibri" w:hAnsi="Calibri"/>
                <w:b w:val="0"/>
                <w:sz w:val="19"/>
              </w:rPr>
              <w:t>35.3°</w:t>
            </w:r>
          </w:p>
        </w:tc>
        <w:tc>
          <w:tcPr>
            <w:tcW w:type="dxa" w:w="3240"/>
            <w:vAlign w:val="center"/>
          </w:tcPr>
          <w:p>
            <w:pPr>
              <w:keepNext w:val="0"/>
              <w:spacing w:after="0" w:before="0" w:line="240" w:lineRule="auto"/>
              <w:jc w:val="right"/>
            </w:pPr>
            <w:r>
              <w:rPr>
                <w:rFonts w:ascii="Calibri" w:hAnsi="Calibri"/>
                <w:b w:val="0"/>
                <w:sz w:val="19"/>
              </w:rPr>
              <w:t>19.2°</w:t>
            </w:r>
          </w:p>
        </w:tc>
      </w:tr>
      <w:tr>
        <w:trPr>
          <w:cantSplit/>
        </w:trPr>
        <w:tc>
          <w:tcPr>
            <w:tcW w:type="dxa" w:w="3744"/>
            <w:vAlign w:val="center"/>
          </w:tcPr>
          <w:p>
            <w:pPr>
              <w:keepNext/>
              <w:spacing w:after="0" w:before="0" w:line="240" w:lineRule="auto"/>
            </w:pPr>
            <w:r>
              <w:rPr>
                <w:rFonts w:ascii="Calibri" w:hAnsi="Calibri"/>
                <w:b w:val="0"/>
                <w:sz w:val="19"/>
              </w:rPr>
              <w:t>Two-step constant angular velocity</w:t>
            </w:r>
          </w:p>
        </w:tc>
        <w:tc>
          <w:tcPr>
            <w:tcW w:type="dxa" w:w="3240"/>
            <w:vAlign w:val="center"/>
          </w:tcPr>
          <w:p>
            <w:pPr>
              <w:keepNext/>
              <w:spacing w:after="0" w:before="0" w:line="240" w:lineRule="auto"/>
              <w:jc w:val="right"/>
            </w:pPr>
            <w:r>
              <w:rPr>
                <w:rFonts w:ascii="Calibri" w:hAnsi="Calibri"/>
                <w:b w:val="0"/>
                <w:sz w:val="19"/>
              </w:rPr>
              <w:t>55.8°</w:t>
            </w:r>
          </w:p>
        </w:tc>
        <w:tc>
          <w:tcPr>
            <w:tcW w:type="dxa" w:w="3240"/>
            <w:vAlign w:val="center"/>
          </w:tcPr>
          <w:p>
            <w:pPr>
              <w:keepNext/>
              <w:spacing w:after="0" w:before="0" w:line="240" w:lineRule="auto"/>
              <w:jc w:val="right"/>
            </w:pPr>
            <w:r>
              <w:rPr>
                <w:rFonts w:ascii="Calibri" w:hAnsi="Calibri"/>
                <w:b w:val="0"/>
                <w:sz w:val="19"/>
              </w:rPr>
              <w:t>36.1°</w:t>
            </w:r>
          </w:p>
        </w:tc>
      </w:tr>
    </w:tbl>
    <w:p>
      <w:pPr>
        <w:keepLines/>
        <w:spacing w:before="60" w:after="120"/>
      </w:pPr>
      <w:r>
        <w:rPr>
          <w:sz w:val="18"/>
        </w:rPr>
        <w:t>Recorded honeybee directions. Angular errors are in degrees.</w:t>
      </w:r>
    </w:p>
    <w:p>
      <w:r>
        <w:t>The previous waggle run predicts direction more accurately than the global history-free baseline. Two-step constant-angular-velocity extrapolation performs worse. Within-group dispersion is approximately 27.5°, compared with a mean separation of approximately 65.0° between group centres. These measurements are consistent with an episode-conditioned directional process.</w:t>
      </w:r>
    </w:p>
    <w:p>
      <w:pPr>
        <w:pStyle w:val="Heading3"/>
      </w:pPr>
      <w:r>
        <w:t>3.5.2 Relations among quorum-sensing signals and functions</w:t>
      </w:r>
    </w:p>
    <w:p>
      <w:pPr>
        <w:pStyle w:val="Caption"/>
        <w:keepNext/>
      </w:pPr>
      <w:r>
        <w:t>Table 12. Quorum-sensing family and role information.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Quantity</w:t>
            </w:r>
          </w:p>
        </w:tc>
        <w:tc>
          <w:tcPr>
            <w:tcW w:type="dxa" w:w="6984"/>
            <w:vAlign w:val="center"/>
            <w:shd w:fill="F2F2F2"/>
          </w:tcPr>
          <w:p>
            <w:pPr>
              <w:keepNext/>
              <w:spacing w:after="0" w:before="0" w:line="240" w:lineRule="auto"/>
            </w:pPr>
            <w:r>
              <w:rPr>
                <w:rFonts w:ascii="Calibri" w:hAnsi="Calibri"/>
                <w:b/>
                <w:sz w:val="19"/>
              </w:rPr>
              <w:t>Value</w:t>
            </w:r>
          </w:p>
        </w:tc>
      </w:tr>
      <w:tr>
        <w:trPr>
          <w:cantSplit/>
        </w:trPr>
        <w:tc>
          <w:tcPr>
            <w:tcW w:type="dxa" w:w="3240"/>
            <w:vAlign w:val="center"/>
          </w:tcPr>
          <w:p>
            <w:pPr>
              <w:keepNext w:val="0"/>
              <w:spacing w:after="0" w:before="0" w:line="240" w:lineRule="auto"/>
            </w:pPr>
            <w:r>
              <w:rPr>
                <w:rFonts w:ascii="Calibri" w:hAnsi="Calibri"/>
                <w:b w:val="0"/>
                <w:sz w:val="19"/>
              </w:rPr>
              <w:t>QS gene/function entries</w:t>
            </w:r>
          </w:p>
        </w:tc>
        <w:tc>
          <w:tcPr>
            <w:tcW w:type="dxa" w:w="6984"/>
            <w:vAlign w:val="center"/>
          </w:tcPr>
          <w:p>
            <w:pPr>
              <w:keepNext w:val="0"/>
              <w:spacing w:after="0" w:before="0" w:line="240" w:lineRule="auto"/>
              <w:jc w:val="right"/>
            </w:pPr>
            <w:r>
              <w:rPr>
                <w:rFonts w:ascii="Calibri" w:hAnsi="Calibri"/>
                <w:b w:val="0"/>
                <w:sz w:val="19"/>
              </w:rPr>
              <w:t>134</w:t>
            </w:r>
          </w:p>
        </w:tc>
      </w:tr>
      <w:tr>
        <w:trPr>
          <w:cantSplit/>
        </w:trPr>
        <w:tc>
          <w:tcPr>
            <w:tcW w:type="dxa" w:w="3240"/>
            <w:vAlign w:val="center"/>
          </w:tcPr>
          <w:p>
            <w:pPr>
              <w:keepNext w:val="0"/>
              <w:spacing w:after="0" w:before="0" w:line="240" w:lineRule="auto"/>
            </w:pPr>
            <w:r>
              <w:rPr>
                <w:rFonts w:ascii="Calibri" w:hAnsi="Calibri"/>
                <w:b w:val="0"/>
                <w:sz w:val="19"/>
              </w:rPr>
              <w:t>Signal families</w:t>
            </w:r>
          </w:p>
        </w:tc>
        <w:tc>
          <w:tcPr>
            <w:tcW w:type="dxa" w:w="6984"/>
            <w:vAlign w:val="center"/>
          </w:tcPr>
          <w:p>
            <w:pPr>
              <w:keepNext w:val="0"/>
              <w:spacing w:after="0" w:before="0" w:line="240" w:lineRule="auto"/>
              <w:jc w:val="right"/>
            </w:pPr>
            <w:r>
              <w:rPr>
                <w:rFonts w:ascii="Calibri" w:hAnsi="Calibri"/>
                <w:b w:val="0"/>
                <w:sz w:val="19"/>
              </w:rPr>
              <w:t>7</w:t>
            </w:r>
          </w:p>
        </w:tc>
      </w:tr>
      <w:tr>
        <w:trPr>
          <w:cantSplit/>
        </w:trPr>
        <w:tc>
          <w:tcPr>
            <w:tcW w:type="dxa" w:w="3240"/>
            <w:vAlign w:val="center"/>
          </w:tcPr>
          <w:p>
            <w:pPr>
              <w:keepNext w:val="0"/>
              <w:spacing w:after="0" w:before="0" w:line="240" w:lineRule="auto"/>
            </w:pPr>
            <w:r>
              <w:rPr>
                <w:rFonts w:ascii="Calibri" w:hAnsi="Calibri"/>
                <w:b w:val="0"/>
                <w:sz w:val="19"/>
              </w:rPr>
              <w:t>Functional roles</w:t>
            </w:r>
          </w:p>
        </w:tc>
        <w:tc>
          <w:tcPr>
            <w:tcW w:type="dxa" w:w="6984"/>
            <w:vAlign w:val="center"/>
          </w:tcPr>
          <w:p>
            <w:pPr>
              <w:keepNext w:val="0"/>
              <w:spacing w:after="0" w:before="0" w:line="240" w:lineRule="auto"/>
            </w:pPr>
            <w:r>
              <w:rPr>
                <w:rFonts w:ascii="Calibri" w:hAnsi="Calibri"/>
                <w:b w:val="0"/>
                <w:sz w:val="19"/>
              </w:rPr>
              <w:t>Synthesis / Receptor / Quenching</w:t>
            </w:r>
          </w:p>
        </w:tc>
      </w:tr>
      <w:tr>
        <w:trPr>
          <w:cantSplit/>
        </w:trPr>
        <w:tc>
          <w:tcPr>
            <w:tcW w:type="dxa" w:w="3240"/>
            <w:vAlign w:val="center"/>
          </w:tcPr>
          <w:p>
            <w:pPr>
              <w:keepNext w:val="0"/>
              <w:spacing w:after="0" w:before="0" w:line="240" w:lineRule="auto"/>
            </w:pPr>
            <w:r>
              <w:rPr>
                <w:rFonts w:ascii="Calibri" w:hAnsi="Calibri"/>
                <w:b w:val="0"/>
                <w:sz w:val="19"/>
              </w:rPr>
              <w:t>H(role)</w:t>
            </w:r>
          </w:p>
        </w:tc>
        <w:tc>
          <w:tcPr>
            <w:tcW w:type="dxa" w:w="6984"/>
            <w:vAlign w:val="center"/>
          </w:tcPr>
          <w:p>
            <w:pPr>
              <w:keepNext w:val="0"/>
              <w:spacing w:after="0" w:before="0" w:line="240" w:lineRule="auto"/>
            </w:pPr>
            <w:r>
              <w:rPr>
                <w:rFonts w:ascii="Calibri" w:hAnsi="Calibri"/>
                <w:b w:val="0"/>
                <w:sz w:val="19"/>
              </w:rPr>
              <w:t>1.389 bit</w:t>
            </w:r>
          </w:p>
        </w:tc>
      </w:tr>
      <w:tr>
        <w:trPr>
          <w:cantSplit/>
        </w:trPr>
        <w:tc>
          <w:tcPr>
            <w:tcW w:type="dxa" w:w="3240"/>
            <w:vAlign w:val="center"/>
          </w:tcPr>
          <w:p>
            <w:pPr>
              <w:keepNext w:val="0"/>
              <w:spacing w:after="0" w:before="0" w:line="240" w:lineRule="auto"/>
            </w:pPr>
            <w:r>
              <w:rPr>
                <w:rFonts w:ascii="Calibri" w:hAnsi="Calibri"/>
                <w:b w:val="0"/>
                <w:sz w:val="19"/>
              </w:rPr>
              <w:t>H(role | signal family)</w:t>
            </w:r>
          </w:p>
        </w:tc>
        <w:tc>
          <w:tcPr>
            <w:tcW w:type="dxa" w:w="6984"/>
            <w:vAlign w:val="center"/>
          </w:tcPr>
          <w:p>
            <w:pPr>
              <w:keepNext w:val="0"/>
              <w:spacing w:after="0" w:before="0" w:line="240" w:lineRule="auto"/>
            </w:pPr>
            <w:r>
              <w:rPr>
                <w:rFonts w:ascii="Calibri" w:hAnsi="Calibri"/>
                <w:b w:val="0"/>
                <w:sz w:val="19"/>
              </w:rPr>
              <w:t>0.982 bit</w:t>
            </w:r>
          </w:p>
        </w:tc>
      </w:tr>
      <w:tr>
        <w:trPr>
          <w:cantSplit/>
        </w:trPr>
        <w:tc>
          <w:tcPr>
            <w:tcW w:type="dxa" w:w="3240"/>
            <w:vAlign w:val="center"/>
          </w:tcPr>
          <w:p>
            <w:pPr>
              <w:keepNext/>
              <w:spacing w:after="0" w:before="0" w:line="240" w:lineRule="auto"/>
            </w:pPr>
            <w:r>
              <w:rPr>
                <w:rFonts w:ascii="Calibri" w:hAnsi="Calibri"/>
                <w:b w:val="0"/>
                <w:sz w:val="19"/>
              </w:rPr>
              <w:t>I(signal family; role)</w:t>
            </w:r>
          </w:p>
        </w:tc>
        <w:tc>
          <w:tcPr>
            <w:tcW w:type="dxa" w:w="6984"/>
            <w:vAlign w:val="center"/>
          </w:tcPr>
          <w:p>
            <w:pPr>
              <w:keepNext/>
              <w:spacing w:after="0" w:before="0" w:line="240" w:lineRule="auto"/>
            </w:pPr>
            <w:r>
              <w:rPr>
                <w:rFonts w:ascii="Calibri" w:hAnsi="Calibri"/>
                <w:b w:val="0"/>
                <w:sz w:val="19"/>
              </w:rPr>
              <w:t>0.408 bit</w:t>
            </w:r>
          </w:p>
        </w:tc>
      </w:tr>
    </w:tbl>
    <w:p>
      <w:pPr>
        <w:keepLines/>
        <w:spacing w:before="60" w:after="120"/>
      </w:pPr>
      <w:r>
        <w:rPr>
          <w:sz w:val="18"/>
        </w:rPr>
        <w:t>QSDB records. Entropy and mutual information are in bits.</w:t>
      </w:r>
    </w:p>
    <w:p>
      <w:r>
        <w:t>These records support a species–signal–receptor–response representation. The observed family–role dependence provides a relational constraint for modelling; it is distinct from a next-token sequence task.</w:t>
      </w:r>
    </w:p>
    <w:p>
      <w:pPr>
        <w:pStyle w:val="Heading2"/>
      </w:pPr>
      <w:r>
        <w:t>3.6 WORLD-RULE-001 Predicting continuous physical transitions</w:t>
      </w:r>
    </w:p>
    <w:p>
      <w:r>
        <w:t>The controlled physical model receives four past frames and predicts the next state, followed by autoregressive rollout. The simulator includes multiple objects with positions and velocities, gravity, drag, rotation, a central field, pairwise interactions, wind, mass and charge. This is a state-prediction experiment with a fixed target trajectory.</w:t>
      </w:r>
    </w:p>
    <w:p>
      <w:pPr>
        <w:pStyle w:val="Caption"/>
        <w:keepNext/>
      </w:pPr>
      <w:r>
        <w:t>Table 13. Physical prediction by direct and generated-rule models.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Metric</w:t>
            </w:r>
          </w:p>
        </w:tc>
        <w:tc>
          <w:tcPr>
            <w:tcW w:type="dxa" w:w="3240"/>
            <w:vAlign w:val="center"/>
            <w:shd w:fill="F2F2F2"/>
          </w:tcPr>
          <w:p>
            <w:pPr>
              <w:keepNext/>
              <w:spacing w:after="0" w:before="0" w:line="240" w:lineRule="auto"/>
            </w:pPr>
            <w:r>
              <w:rPr>
                <w:rFonts w:ascii="Calibri" w:hAnsi="Calibri"/>
                <w:b/>
                <w:sz w:val="19"/>
              </w:rPr>
              <w:t>Direct predictor</w:t>
            </w:r>
          </w:p>
        </w:tc>
        <w:tc>
          <w:tcPr>
            <w:tcW w:type="dxa" w:w="3240"/>
            <w:vAlign w:val="center"/>
            <w:shd w:fill="F2F2F2"/>
          </w:tcPr>
          <w:p>
            <w:pPr>
              <w:keepNext/>
              <w:spacing w:after="0" w:before="0" w:line="240" w:lineRule="auto"/>
            </w:pPr>
            <w:r>
              <w:rPr>
                <w:rFonts w:ascii="Calibri" w:hAnsi="Calibri"/>
                <w:b/>
                <w:sz w:val="19"/>
              </w:rPr>
              <w:t>Rule Generator</w:t>
            </w:r>
          </w:p>
        </w:tc>
      </w:tr>
      <w:tr>
        <w:trPr>
          <w:cantSplit/>
        </w:trPr>
        <w:tc>
          <w:tcPr>
            <w:tcW w:type="dxa" w:w="3744"/>
            <w:vAlign w:val="center"/>
          </w:tcPr>
          <w:p>
            <w:pPr>
              <w:keepNext w:val="0"/>
              <w:spacing w:after="0" w:before="0" w:line="240" w:lineRule="auto"/>
            </w:pPr>
            <w:r>
              <w:rPr>
                <w:rFonts w:ascii="Calibri" w:hAnsi="Calibri"/>
                <w:b w:val="0"/>
                <w:sz w:val="19"/>
              </w:rPr>
              <w:t>One-step MSE</w:t>
            </w:r>
          </w:p>
        </w:tc>
        <w:tc>
          <w:tcPr>
            <w:tcW w:type="dxa" w:w="3240"/>
            <w:vAlign w:val="center"/>
          </w:tcPr>
          <w:p>
            <w:pPr>
              <w:keepNext w:val="0"/>
              <w:spacing w:after="0" w:before="0" w:line="240" w:lineRule="auto"/>
              <w:jc w:val="right"/>
            </w:pPr>
            <w:r>
              <w:rPr>
                <w:rFonts w:ascii="Calibri" w:hAnsi="Calibri"/>
                <w:b w:val="0"/>
                <w:sz w:val="19"/>
              </w:rPr>
              <w:t>5.06e-4</w:t>
            </w:r>
          </w:p>
        </w:tc>
        <w:tc>
          <w:tcPr>
            <w:tcW w:type="dxa" w:w="3240"/>
            <w:vAlign w:val="center"/>
          </w:tcPr>
          <w:p>
            <w:pPr>
              <w:keepNext w:val="0"/>
              <w:spacing w:after="0" w:before="0" w:line="240" w:lineRule="auto"/>
              <w:jc w:val="right"/>
            </w:pPr>
            <w:r>
              <w:rPr>
                <w:rFonts w:ascii="Calibri" w:hAnsi="Calibri"/>
                <w:b w:val="0"/>
                <w:sz w:val="19"/>
              </w:rPr>
              <w:t>5.39e-6</w:t>
            </w:r>
          </w:p>
        </w:tc>
      </w:tr>
      <w:tr>
        <w:trPr>
          <w:cantSplit/>
        </w:trPr>
        <w:tc>
          <w:tcPr>
            <w:tcW w:type="dxa" w:w="3744"/>
            <w:vAlign w:val="center"/>
          </w:tcPr>
          <w:p>
            <w:pPr>
              <w:keepNext w:val="0"/>
              <w:spacing w:after="0" w:before="0" w:line="240" w:lineRule="auto"/>
            </w:pPr>
            <w:r>
              <w:rPr>
                <w:rFonts w:ascii="Calibri" w:hAnsi="Calibri"/>
                <w:b w:val="0"/>
                <w:sz w:val="19"/>
              </w:rPr>
              <w:t>3-step rollout MSE</w:t>
            </w:r>
          </w:p>
        </w:tc>
        <w:tc>
          <w:tcPr>
            <w:tcW w:type="dxa" w:w="3240"/>
            <w:vAlign w:val="center"/>
          </w:tcPr>
          <w:p>
            <w:pPr>
              <w:keepNext w:val="0"/>
              <w:spacing w:after="0" w:before="0" w:line="240" w:lineRule="auto"/>
              <w:jc w:val="right"/>
            </w:pPr>
            <w:r>
              <w:rPr>
                <w:rFonts w:ascii="Calibri" w:hAnsi="Calibri"/>
                <w:b w:val="0"/>
                <w:sz w:val="19"/>
              </w:rPr>
              <w:t>0.00753</w:t>
            </w:r>
          </w:p>
        </w:tc>
        <w:tc>
          <w:tcPr>
            <w:tcW w:type="dxa" w:w="3240"/>
            <w:vAlign w:val="center"/>
          </w:tcPr>
          <w:p>
            <w:pPr>
              <w:keepNext w:val="0"/>
              <w:spacing w:after="0" w:before="0" w:line="240" w:lineRule="auto"/>
              <w:jc w:val="right"/>
            </w:pPr>
            <w:r>
              <w:rPr>
                <w:rFonts w:ascii="Calibri" w:hAnsi="Calibri"/>
                <w:b w:val="0"/>
                <w:sz w:val="19"/>
              </w:rPr>
              <w:t>0.000353</w:t>
            </w:r>
          </w:p>
        </w:tc>
      </w:tr>
      <w:tr>
        <w:trPr>
          <w:cantSplit/>
        </w:trPr>
        <w:tc>
          <w:tcPr>
            <w:tcW w:type="dxa" w:w="3744"/>
            <w:vAlign w:val="center"/>
          </w:tcPr>
          <w:p>
            <w:pPr>
              <w:keepNext w:val="0"/>
              <w:spacing w:after="0" w:before="0" w:line="240" w:lineRule="auto"/>
            </w:pPr>
            <w:r>
              <w:rPr>
                <w:rFonts w:ascii="Calibri" w:hAnsi="Calibri"/>
                <w:b w:val="0"/>
                <w:sz w:val="19"/>
              </w:rPr>
              <w:t>5-step rollout MSE</w:t>
            </w:r>
          </w:p>
        </w:tc>
        <w:tc>
          <w:tcPr>
            <w:tcW w:type="dxa" w:w="3240"/>
            <w:vAlign w:val="center"/>
          </w:tcPr>
          <w:p>
            <w:pPr>
              <w:keepNext w:val="0"/>
              <w:spacing w:after="0" w:before="0" w:line="240" w:lineRule="auto"/>
              <w:jc w:val="right"/>
            </w:pPr>
            <w:r>
              <w:rPr>
                <w:rFonts w:ascii="Calibri" w:hAnsi="Calibri"/>
                <w:b w:val="0"/>
                <w:sz w:val="19"/>
              </w:rPr>
              <w:t>0.0368</w:t>
            </w:r>
          </w:p>
        </w:tc>
        <w:tc>
          <w:tcPr>
            <w:tcW w:type="dxa" w:w="3240"/>
            <w:vAlign w:val="center"/>
          </w:tcPr>
          <w:p>
            <w:pPr>
              <w:keepNext w:val="0"/>
              <w:spacing w:after="0" w:before="0" w:line="240" w:lineRule="auto"/>
              <w:jc w:val="right"/>
            </w:pPr>
            <w:r>
              <w:rPr>
                <w:rFonts w:ascii="Calibri" w:hAnsi="Calibri"/>
                <w:b w:val="0"/>
                <w:sz w:val="19"/>
              </w:rPr>
              <w:t>0.00385</w:t>
            </w:r>
          </w:p>
        </w:tc>
      </w:tr>
      <w:tr>
        <w:trPr>
          <w:cantSplit/>
        </w:trPr>
        <w:tc>
          <w:tcPr>
            <w:tcW w:type="dxa" w:w="3744"/>
            <w:vAlign w:val="center"/>
          </w:tcPr>
          <w:p>
            <w:pPr>
              <w:keepNext/>
              <w:spacing w:after="0" w:before="0" w:line="240" w:lineRule="auto"/>
            </w:pPr>
            <w:r>
              <w:rPr>
                <w:rFonts w:ascii="Calibri" w:hAnsi="Calibri"/>
                <w:b w:val="0"/>
                <w:sz w:val="19"/>
              </w:rPr>
              <w:t>9-step rollout MSE</w:t>
            </w:r>
          </w:p>
        </w:tc>
        <w:tc>
          <w:tcPr>
            <w:tcW w:type="dxa" w:w="3240"/>
            <w:vAlign w:val="center"/>
          </w:tcPr>
          <w:p>
            <w:pPr>
              <w:keepNext/>
              <w:spacing w:after="0" w:before="0" w:line="240" w:lineRule="auto"/>
              <w:jc w:val="right"/>
            </w:pPr>
            <w:r>
              <w:rPr>
                <w:rFonts w:ascii="Calibri" w:hAnsi="Calibri"/>
                <w:b w:val="0"/>
                <w:sz w:val="19"/>
              </w:rPr>
              <w:t>0.2577</w:t>
            </w:r>
          </w:p>
        </w:tc>
        <w:tc>
          <w:tcPr>
            <w:tcW w:type="dxa" w:w="3240"/>
            <w:vAlign w:val="center"/>
          </w:tcPr>
          <w:p>
            <w:pPr>
              <w:keepNext/>
              <w:spacing w:after="0" w:before="0" w:line="240" w:lineRule="auto"/>
              <w:jc w:val="right"/>
            </w:pPr>
            <w:r>
              <w:rPr>
                <w:rFonts w:ascii="Calibri" w:hAnsi="Calibri"/>
                <w:b w:val="0"/>
                <w:sz w:val="19"/>
              </w:rPr>
              <w:t>0.0672</w:t>
            </w:r>
          </w:p>
        </w:tc>
      </w:tr>
    </w:tbl>
    <w:p>
      <w:pPr>
        <w:keepLines/>
        <w:spacing w:before="60" w:after="120"/>
      </w:pPr>
      <w:r>
        <w:rPr>
          <w:sz w:val="18"/>
        </w:rPr>
        <w:t>Controlled simulation. Lower MSE indicates lower prediction error within the same task and target scaling.</w:t>
      </w:r>
    </w:p>
    <w:p>
      <w:r>
        <w:t>The Rule Generator uses the predictive state to construct a local transition function and then applies that function to the observed world state. Its one-step MSE is approximately 94 times lower than that of the direct predictor, and its advantage persists through the reported rollout horizons.</w:t>
      </w:r>
    </w:p>
    <w:p>
      <w:pPr>
        <w:pStyle w:val="Caption"/>
        <w:keepNext/>
      </w:pPr>
      <w:r>
        <w:t>Table 14. State and rule response geometry.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Geometry</w:t>
            </w:r>
          </w:p>
        </w:tc>
        <w:tc>
          <w:tcPr>
            <w:tcW w:type="dxa" w:w="6984"/>
            <w:vAlign w:val="center"/>
            <w:shd w:fill="F2F2F2"/>
          </w:tcPr>
          <w:p>
            <w:pPr>
              <w:keepNext/>
              <w:spacing w:after="0" w:before="0" w:line="240" w:lineRule="auto"/>
            </w:pPr>
            <w:r>
              <w:rPr>
                <w:rFonts w:ascii="Calibri" w:hAnsi="Calibri"/>
                <w:b/>
                <w:sz w:val="19"/>
              </w:rPr>
              <w:t>Result</w:t>
            </w:r>
          </w:p>
        </w:tc>
      </w:tr>
      <w:tr>
        <w:trPr>
          <w:cantSplit/>
        </w:trPr>
        <w:tc>
          <w:tcPr>
            <w:tcW w:type="dxa" w:w="3240"/>
            <w:vAlign w:val="center"/>
          </w:tcPr>
          <w:p>
            <w:pPr>
              <w:keepNext w:val="0"/>
              <w:spacing w:after="0" w:before="0" w:line="240" w:lineRule="auto"/>
            </w:pPr>
            <w:r>
              <w:rPr>
                <w:rFonts w:ascii="Calibri" w:hAnsi="Calibri"/>
                <w:b w:val="0"/>
                <w:sz w:val="19"/>
              </w:rPr>
              <w:t>Predictive-state r95</w:t>
            </w:r>
          </w:p>
        </w:tc>
        <w:tc>
          <w:tcPr>
            <w:tcW w:type="dxa" w:w="6984"/>
            <w:vAlign w:val="center"/>
          </w:tcPr>
          <w:p>
            <w:pPr>
              <w:keepNext w:val="0"/>
              <w:spacing w:after="0" w:before="0" w:line="240" w:lineRule="auto"/>
              <w:jc w:val="right"/>
            </w:pPr>
            <w:r>
              <w:rPr>
                <w:rFonts w:ascii="Calibri" w:hAnsi="Calibri"/>
                <w:b w:val="0"/>
                <w:sz w:val="19"/>
              </w:rPr>
              <w:t>≈14</w:t>
            </w:r>
          </w:p>
        </w:tc>
      </w:tr>
      <w:tr>
        <w:trPr>
          <w:cantSplit/>
        </w:trPr>
        <w:tc>
          <w:tcPr>
            <w:tcW w:type="dxa" w:w="3240"/>
            <w:vAlign w:val="center"/>
          </w:tcPr>
          <w:p>
            <w:pPr>
              <w:keepNext w:val="0"/>
              <w:spacing w:after="0" w:before="0" w:line="240" w:lineRule="auto"/>
            </w:pPr>
            <w:r>
              <w:rPr>
                <w:rFonts w:ascii="Calibri" w:hAnsi="Calibri"/>
                <w:b w:val="0"/>
                <w:sz w:val="19"/>
              </w:rPr>
              <w:t>Predictive-state stable rank</w:t>
            </w:r>
          </w:p>
        </w:tc>
        <w:tc>
          <w:tcPr>
            <w:tcW w:type="dxa" w:w="6984"/>
            <w:vAlign w:val="center"/>
          </w:tcPr>
          <w:p>
            <w:pPr>
              <w:keepNext w:val="0"/>
              <w:spacing w:after="0" w:before="0" w:line="240" w:lineRule="auto"/>
              <w:jc w:val="right"/>
            </w:pPr>
            <w:r>
              <w:rPr>
                <w:rFonts w:ascii="Calibri" w:hAnsi="Calibri"/>
                <w:b w:val="0"/>
                <w:sz w:val="19"/>
              </w:rPr>
              <w:t>≈7.88</w:t>
            </w:r>
          </w:p>
        </w:tc>
      </w:tr>
      <w:tr>
        <w:trPr>
          <w:cantSplit/>
        </w:trPr>
        <w:tc>
          <w:tcPr>
            <w:tcW w:type="dxa" w:w="3240"/>
            <w:vAlign w:val="center"/>
          </w:tcPr>
          <w:p>
            <w:pPr>
              <w:keepNext w:val="0"/>
              <w:spacing w:after="0" w:before="0" w:line="240" w:lineRule="auto"/>
            </w:pPr>
            <w:r>
              <w:rPr>
                <w:rFonts w:ascii="Calibri" w:hAnsi="Calibri"/>
                <w:b w:val="0"/>
                <w:sz w:val="19"/>
              </w:rPr>
              <w:t>Functional rule-mode r95</w:t>
            </w:r>
          </w:p>
        </w:tc>
        <w:tc>
          <w:tcPr>
            <w:tcW w:type="dxa" w:w="6984"/>
            <w:vAlign w:val="center"/>
          </w:tcPr>
          <w:p>
            <w:pPr>
              <w:keepNext w:val="0"/>
              <w:spacing w:after="0" w:before="0" w:line="240" w:lineRule="auto"/>
              <w:jc w:val="right"/>
            </w:pPr>
            <w:r>
              <w:rPr>
                <w:rFonts w:ascii="Calibri" w:hAnsi="Calibri"/>
                <w:b w:val="0"/>
                <w:sz w:val="19"/>
              </w:rPr>
              <w:t>≈15</w:t>
            </w:r>
          </w:p>
        </w:tc>
      </w:tr>
      <w:tr>
        <w:trPr>
          <w:cantSplit/>
        </w:trPr>
        <w:tc>
          <w:tcPr>
            <w:tcW w:type="dxa" w:w="3240"/>
            <w:vAlign w:val="center"/>
          </w:tcPr>
          <w:p>
            <w:pPr>
              <w:keepNext/>
              <w:spacing w:after="0" w:before="0" w:line="240" w:lineRule="auto"/>
            </w:pPr>
            <w:r>
              <w:rPr>
                <w:rFonts w:ascii="Calibri" w:hAnsi="Calibri"/>
                <w:b w:val="0"/>
                <w:sz w:val="19"/>
              </w:rPr>
              <w:t>Functional rule-mode stable rank</w:t>
            </w:r>
          </w:p>
        </w:tc>
        <w:tc>
          <w:tcPr>
            <w:tcW w:type="dxa" w:w="6984"/>
            <w:vAlign w:val="center"/>
          </w:tcPr>
          <w:p>
            <w:pPr>
              <w:keepNext/>
              <w:spacing w:after="0" w:before="0" w:line="240" w:lineRule="auto"/>
              <w:jc w:val="right"/>
            </w:pPr>
            <w:r>
              <w:rPr>
                <w:rFonts w:ascii="Calibri" w:hAnsi="Calibri"/>
                <w:b w:val="0"/>
                <w:sz w:val="19"/>
              </w:rPr>
              <w:t>≈9.37</w:t>
            </w:r>
          </w:p>
        </w:tc>
      </w:tr>
    </w:tbl>
    <w:p>
      <w:pPr>
        <w:keepLines/>
        <w:spacing w:before="60" w:after="120"/>
      </w:pPr>
      <w:r>
        <w:rPr>
          <w:sz w:val="18"/>
        </w:rPr>
        <w:t>Controlled simulation.</w:t>
      </w:r>
    </w:p>
    <w:p>
      <w:r>
        <w:t>The measured result concerns iterative state forecasting through generated transition rules. Such forecasts can provide inputs to a separate planning procedure, but the present comparison evaluates prediction accuracy.</w:t>
      </w:r>
    </w:p>
    <w:p>
      <w:pPr>
        <w:pStyle w:val="Heading2"/>
      </w:pPr>
      <w:r>
        <w:t>3.7 WORLD-MOE-002 Routing under homogeneous and heterogeneous transition laws</w:t>
      </w:r>
    </w:p>
    <w:p>
      <w:pPr>
        <w:keepNext/>
        <w:spacing w:after="60"/>
        <w:jc w:val="center"/>
      </w:pPr>
      <w:r>
        <w:drawing>
          <wp:inline xmlns:a="http://schemas.openxmlformats.org/drawingml/2006/main" xmlns:pic="http://schemas.openxmlformats.org/drawingml/2006/picture">
            <wp:extent cx="6309360" cy="4056017"/>
            <wp:docPr id="5" name="Picture 5"/>
            <wp:cNvGraphicFramePr>
              <a:graphicFrameLocks noChangeAspect="1"/>
            </wp:cNvGraphicFramePr>
            <a:graphic>
              <a:graphicData uri="http://schemas.openxmlformats.org/drawingml/2006/picture">
                <pic:pic>
                  <pic:nvPicPr>
                    <pic:cNvPr id="0" name="05_image5.png"/>
                    <pic:cNvPicPr/>
                  </pic:nvPicPr>
                  <pic:blipFill>
                    <a:blip r:embed="rId13"/>
                    <a:stretch>
                      <a:fillRect/>
                    </a:stretch>
                  </pic:blipFill>
                  <pic:spPr>
                    <a:xfrm>
                      <a:off x="0" y="0"/>
                      <a:ext cx="6309360" cy="4056017"/>
                    </a:xfrm>
                    <a:prstGeom prst="rect"/>
                  </pic:spPr>
                </pic:pic>
              </a:graphicData>
            </a:graphic>
          </wp:inline>
        </w:drawing>
      </w:r>
    </w:p>
    <w:p>
      <w:pPr>
        <w:pStyle w:val="Caption"/>
      </w:pPr>
      <w:r>
        <w:t>Figure 5. Controlled homogeneous-law comparison. GeneratedRule improves substantially over Direct. The matched-budget MoE has similar rollout error to GeneratedRule, showing that multiple visible phenomena do not by themselves establish a benefit from expert separation.</w:t>
      </w:r>
    </w:p>
    <w:p>
      <w:pPr>
        <w:pStyle w:val="Heading3"/>
      </w:pPr>
      <w:r>
        <w:t>3.7.1 Homogeneous transition law</w:t>
      </w:r>
    </w:p>
    <w:p>
      <w:pPr>
        <w:pStyle w:val="Caption"/>
        <w:keepNext/>
      </w:pPr>
      <w:r>
        <w:t>Table 15. Homogeneous-law model comparison.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Model</w:t>
            </w:r>
          </w:p>
        </w:tc>
        <w:tc>
          <w:tcPr>
            <w:tcW w:type="dxa" w:w="3240"/>
            <w:vAlign w:val="center"/>
            <w:shd w:fill="F2F2F2"/>
          </w:tcPr>
          <w:p>
            <w:pPr>
              <w:keepNext/>
              <w:spacing w:after="0" w:before="0" w:line="240" w:lineRule="auto"/>
            </w:pPr>
            <w:r>
              <w:rPr>
                <w:rFonts w:ascii="Calibri" w:hAnsi="Calibri"/>
                <w:b/>
                <w:sz w:val="19"/>
              </w:rPr>
              <w:t>One-step MSE</w:t>
            </w:r>
          </w:p>
        </w:tc>
        <w:tc>
          <w:tcPr>
            <w:tcW w:type="dxa" w:w="3240"/>
            <w:vAlign w:val="center"/>
            <w:shd w:fill="F2F2F2"/>
          </w:tcPr>
          <w:p>
            <w:pPr>
              <w:keepNext/>
              <w:spacing w:after="0" w:before="0" w:line="240" w:lineRule="auto"/>
            </w:pPr>
            <w:r>
              <w:rPr>
                <w:rFonts w:ascii="Calibri" w:hAnsi="Calibri"/>
                <w:b/>
                <w:sz w:val="19"/>
              </w:rPr>
              <w:t>8-step rollout MSE</w:t>
            </w:r>
          </w:p>
        </w:tc>
      </w:tr>
      <w:tr>
        <w:trPr>
          <w:cantSplit/>
        </w:trPr>
        <w:tc>
          <w:tcPr>
            <w:tcW w:type="dxa" w:w="3744"/>
            <w:vAlign w:val="center"/>
          </w:tcPr>
          <w:p>
            <w:pPr>
              <w:keepNext w:val="0"/>
              <w:spacing w:after="0" w:before="0" w:line="240" w:lineRule="auto"/>
            </w:pPr>
            <w:r>
              <w:rPr>
                <w:rFonts w:ascii="Calibri" w:hAnsi="Calibri"/>
                <w:b w:val="0"/>
                <w:sz w:val="19"/>
              </w:rPr>
              <w:t>Direct</w:t>
            </w:r>
          </w:p>
        </w:tc>
        <w:tc>
          <w:tcPr>
            <w:tcW w:type="dxa" w:w="3240"/>
            <w:vAlign w:val="center"/>
          </w:tcPr>
          <w:p>
            <w:pPr>
              <w:keepNext w:val="0"/>
              <w:spacing w:after="0" w:before="0" w:line="240" w:lineRule="auto"/>
              <w:jc w:val="right"/>
            </w:pPr>
            <w:r>
              <w:rPr>
                <w:rFonts w:ascii="Calibri" w:hAnsi="Calibri"/>
                <w:b w:val="0"/>
                <w:sz w:val="19"/>
              </w:rPr>
              <w:t>0.04735</w:t>
            </w:r>
          </w:p>
        </w:tc>
        <w:tc>
          <w:tcPr>
            <w:tcW w:type="dxa" w:w="3240"/>
            <w:vAlign w:val="center"/>
          </w:tcPr>
          <w:p>
            <w:pPr>
              <w:keepNext w:val="0"/>
              <w:spacing w:after="0" w:before="0" w:line="240" w:lineRule="auto"/>
              <w:jc w:val="right"/>
            </w:pPr>
            <w:r>
              <w:rPr>
                <w:rFonts w:ascii="Calibri" w:hAnsi="Calibri"/>
                <w:b w:val="0"/>
                <w:sz w:val="19"/>
              </w:rPr>
              <w:t>0.67512</w:t>
            </w:r>
          </w:p>
        </w:tc>
      </w:tr>
      <w:tr>
        <w:trPr>
          <w:cantSplit/>
        </w:trPr>
        <w:tc>
          <w:tcPr>
            <w:tcW w:type="dxa" w:w="3744"/>
            <w:vAlign w:val="center"/>
          </w:tcPr>
          <w:p>
            <w:pPr>
              <w:keepNext w:val="0"/>
              <w:spacing w:after="0" w:before="0" w:line="240" w:lineRule="auto"/>
            </w:pPr>
            <w:r>
              <w:rPr>
                <w:rFonts w:ascii="Calibri" w:hAnsi="Calibri"/>
                <w:b w:val="0"/>
                <w:sz w:val="19"/>
              </w:rPr>
              <w:t>GeneratedRule</w:t>
            </w:r>
          </w:p>
        </w:tc>
        <w:tc>
          <w:tcPr>
            <w:tcW w:type="dxa" w:w="3240"/>
            <w:vAlign w:val="center"/>
          </w:tcPr>
          <w:p>
            <w:pPr>
              <w:keepNext w:val="0"/>
              <w:spacing w:after="0" w:before="0" w:line="240" w:lineRule="auto"/>
              <w:jc w:val="right"/>
            </w:pPr>
            <w:r>
              <w:rPr>
                <w:rFonts w:ascii="Calibri" w:hAnsi="Calibri"/>
                <w:b w:val="0"/>
                <w:sz w:val="19"/>
              </w:rPr>
              <w:t>0.01363</w:t>
            </w:r>
          </w:p>
        </w:tc>
        <w:tc>
          <w:tcPr>
            <w:tcW w:type="dxa" w:w="3240"/>
            <w:vAlign w:val="center"/>
          </w:tcPr>
          <w:p>
            <w:pPr>
              <w:keepNext w:val="0"/>
              <w:spacing w:after="0" w:before="0" w:line="240" w:lineRule="auto"/>
              <w:jc w:val="right"/>
            </w:pPr>
            <w:r>
              <w:rPr>
                <w:rFonts w:ascii="Calibri" w:hAnsi="Calibri"/>
                <w:b w:val="0"/>
                <w:sz w:val="19"/>
              </w:rPr>
              <w:t>0.35012</w:t>
            </w:r>
          </w:p>
        </w:tc>
      </w:tr>
      <w:tr>
        <w:trPr>
          <w:cantSplit/>
        </w:trPr>
        <w:tc>
          <w:tcPr>
            <w:tcW w:type="dxa" w:w="3744"/>
            <w:vAlign w:val="center"/>
          </w:tcPr>
          <w:p>
            <w:pPr>
              <w:keepNext/>
              <w:spacing w:after="0" w:before="0" w:line="240" w:lineRule="auto"/>
            </w:pPr>
            <w:r>
              <w:rPr>
                <w:rFonts w:ascii="Calibri" w:hAnsi="Calibri"/>
                <w:b w:val="0"/>
                <w:sz w:val="19"/>
              </w:rPr>
              <w:t>MoE-Rule</w:t>
            </w:r>
          </w:p>
        </w:tc>
        <w:tc>
          <w:tcPr>
            <w:tcW w:type="dxa" w:w="3240"/>
            <w:vAlign w:val="center"/>
          </w:tcPr>
          <w:p>
            <w:pPr>
              <w:keepNext/>
              <w:spacing w:after="0" w:before="0" w:line="240" w:lineRule="auto"/>
              <w:jc w:val="right"/>
            </w:pPr>
            <w:r>
              <w:rPr>
                <w:rFonts w:ascii="Calibri" w:hAnsi="Calibri"/>
                <w:b w:val="0"/>
                <w:sz w:val="19"/>
              </w:rPr>
              <w:t>0.01416</w:t>
            </w:r>
          </w:p>
        </w:tc>
        <w:tc>
          <w:tcPr>
            <w:tcW w:type="dxa" w:w="3240"/>
            <w:vAlign w:val="center"/>
          </w:tcPr>
          <w:p>
            <w:pPr>
              <w:keepNext/>
              <w:spacing w:after="0" w:before="0" w:line="240" w:lineRule="auto"/>
              <w:jc w:val="right"/>
            </w:pPr>
            <w:r>
              <w:rPr>
                <w:rFonts w:ascii="Calibri" w:hAnsi="Calibri"/>
                <w:b w:val="0"/>
                <w:sz w:val="19"/>
              </w:rPr>
              <w:t>0.34874</w:t>
            </w:r>
          </w:p>
        </w:tc>
      </w:tr>
    </w:tbl>
    <w:p>
      <w:pPr>
        <w:keepLines/>
        <w:spacing w:before="60" w:after="120"/>
      </w:pPr>
      <w:r>
        <w:rPr>
          <w:sz w:val="18"/>
        </w:rPr>
        <w:t>Controlled simulation. Lower MSE indicates lower prediction error within the same task and target scaling.</w:t>
      </w:r>
    </w:p>
    <w:p>
      <w:r>
        <w:t>The small matched-budget MoE provides little additional benefit over a single GeneratedRule, and routing can approach a uniform allocation. The result distinguishes complexity within one transition law from heterogeneity among laws.</w:t>
      </w:r>
    </w:p>
    <w:p>
      <w:pPr>
        <w:pStyle w:val="Heading3"/>
      </w:pPr>
      <w:r>
        <w:t>3.7.2 Heterogeneous transition laws</w:t>
      </w:r>
    </w:p>
    <w:p>
      <w:pPr>
        <w:keepNext/>
        <w:spacing w:after="60"/>
        <w:jc w:val="center"/>
      </w:pPr>
      <w:r>
        <w:drawing>
          <wp:inline xmlns:a="http://schemas.openxmlformats.org/drawingml/2006/main" xmlns:pic="http://schemas.openxmlformats.org/drawingml/2006/picture">
            <wp:extent cx="6309360" cy="4368018"/>
            <wp:docPr id="6" name="Picture 6"/>
            <wp:cNvGraphicFramePr>
              <a:graphicFrameLocks noChangeAspect="1"/>
            </wp:cNvGraphicFramePr>
            <a:graphic>
              <a:graphicData uri="http://schemas.openxmlformats.org/drawingml/2006/picture">
                <pic:pic>
                  <pic:nvPicPr>
                    <pic:cNvPr id="0" name="06_image6.png"/>
                    <pic:cNvPicPr/>
                  </pic:nvPicPr>
                  <pic:blipFill>
                    <a:blip r:embed="rId14"/>
                    <a:stretch>
                      <a:fillRect/>
                    </a:stretch>
                  </pic:blipFill>
                  <pic:spPr>
                    <a:xfrm>
                      <a:off x="0" y="0"/>
                      <a:ext cx="6309360" cy="4368018"/>
                    </a:xfrm>
                    <a:prstGeom prst="rect"/>
                  </pic:spPr>
                </pic:pic>
              </a:graphicData>
            </a:graphic>
          </wp:inline>
        </w:drawing>
      </w:r>
    </w:p>
    <w:p>
      <w:pPr>
        <w:pStyle w:val="Caption"/>
      </w:pPr>
      <w:r>
        <w:t>Figure 6. Controlled heterogeneous-law comparison. The observation format is held constant as the underlying law family changes. WorldMoE uses fewer parameters than GeneratedRule and achieves lower eight-step rollout MSE, despite slightly higher one-step and four-step error.</w:t>
      </w:r>
    </w:p>
    <w:p>
      <w:pPr>
        <w:pStyle w:val="Caption"/>
        <w:keepNext/>
      </w:pPr>
      <w:r>
        <w:t>Table 16. Heterogeneous-law model comparison.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Model</w:t>
            </w:r>
          </w:p>
        </w:tc>
        <w:tc>
          <w:tcPr>
            <w:tcW w:type="dxa" w:w="2153"/>
            <w:vAlign w:val="center"/>
            <w:shd w:fill="F2F2F2"/>
          </w:tcPr>
          <w:p>
            <w:pPr>
              <w:keepNext/>
              <w:spacing w:after="0" w:before="0" w:line="240" w:lineRule="auto"/>
            </w:pPr>
            <w:r>
              <w:rPr>
                <w:rFonts w:ascii="Calibri" w:hAnsi="Calibri"/>
                <w:b/>
                <w:sz w:val="19"/>
              </w:rPr>
              <w:t>Params</w:t>
            </w:r>
          </w:p>
        </w:tc>
        <w:tc>
          <w:tcPr>
            <w:tcW w:type="dxa" w:w="2153"/>
            <w:vAlign w:val="center"/>
            <w:shd w:fill="F2F2F2"/>
          </w:tcPr>
          <w:p>
            <w:pPr>
              <w:keepNext/>
              <w:spacing w:after="0" w:before="0" w:line="240" w:lineRule="auto"/>
            </w:pPr>
            <w:r>
              <w:rPr>
                <w:rFonts w:ascii="Calibri" w:hAnsi="Calibri"/>
                <w:b/>
                <w:sz w:val="19"/>
              </w:rPr>
              <w:t>One-step MSE</w:t>
            </w:r>
          </w:p>
        </w:tc>
        <w:tc>
          <w:tcPr>
            <w:tcW w:type="dxa" w:w="2153"/>
            <w:vAlign w:val="center"/>
            <w:shd w:fill="F2F2F2"/>
          </w:tcPr>
          <w:p>
            <w:pPr>
              <w:keepNext/>
              <w:spacing w:after="0" w:before="0" w:line="240" w:lineRule="auto"/>
            </w:pPr>
            <w:r>
              <w:rPr>
                <w:rFonts w:ascii="Calibri" w:hAnsi="Calibri"/>
                <w:b/>
                <w:sz w:val="19"/>
              </w:rPr>
              <w:t>4-step</w:t>
            </w:r>
          </w:p>
        </w:tc>
        <w:tc>
          <w:tcPr>
            <w:tcW w:type="dxa" w:w="2153"/>
            <w:vAlign w:val="center"/>
            <w:shd w:fill="F2F2F2"/>
          </w:tcPr>
          <w:p>
            <w:pPr>
              <w:keepNext/>
              <w:spacing w:after="0" w:before="0" w:line="240" w:lineRule="auto"/>
            </w:pPr>
            <w:r>
              <w:rPr>
                <w:rFonts w:ascii="Calibri" w:hAnsi="Calibri"/>
                <w:b/>
                <w:sz w:val="19"/>
              </w:rPr>
              <w:t>8-step</w:t>
            </w:r>
          </w:p>
        </w:tc>
      </w:tr>
      <w:tr>
        <w:trPr>
          <w:cantSplit/>
        </w:trPr>
        <w:tc>
          <w:tcPr>
            <w:tcW w:type="dxa" w:w="1613"/>
            <w:vAlign w:val="center"/>
          </w:tcPr>
          <w:p>
            <w:pPr>
              <w:keepNext w:val="0"/>
              <w:spacing w:after="0" w:before="0" w:line="240" w:lineRule="auto"/>
            </w:pPr>
            <w:r>
              <w:rPr>
                <w:rFonts w:ascii="Calibri" w:hAnsi="Calibri"/>
                <w:b w:val="0"/>
                <w:sz w:val="19"/>
              </w:rPr>
              <w:t>GeneratedRule</w:t>
            </w:r>
          </w:p>
        </w:tc>
        <w:tc>
          <w:tcPr>
            <w:tcW w:type="dxa" w:w="2153"/>
            <w:vAlign w:val="center"/>
          </w:tcPr>
          <w:p>
            <w:pPr>
              <w:keepNext w:val="0"/>
              <w:spacing w:after="0" w:before="0" w:line="240" w:lineRule="auto"/>
              <w:jc w:val="right"/>
            </w:pPr>
            <w:r>
              <w:rPr>
                <w:rFonts w:ascii="Calibri" w:hAnsi="Calibri"/>
                <w:b w:val="0"/>
                <w:sz w:val="19"/>
              </w:rPr>
              <w:t>42,088</w:t>
            </w:r>
          </w:p>
        </w:tc>
        <w:tc>
          <w:tcPr>
            <w:tcW w:type="dxa" w:w="2153"/>
            <w:vAlign w:val="center"/>
          </w:tcPr>
          <w:p>
            <w:pPr>
              <w:keepNext w:val="0"/>
              <w:spacing w:after="0" w:before="0" w:line="240" w:lineRule="auto"/>
              <w:jc w:val="right"/>
            </w:pPr>
            <w:r>
              <w:rPr>
                <w:rFonts w:ascii="Calibri" w:hAnsi="Calibri"/>
                <w:b w:val="0"/>
                <w:sz w:val="19"/>
              </w:rPr>
              <w:t>0.01468</w:t>
            </w:r>
          </w:p>
        </w:tc>
        <w:tc>
          <w:tcPr>
            <w:tcW w:type="dxa" w:w="2153"/>
            <w:vAlign w:val="center"/>
          </w:tcPr>
          <w:p>
            <w:pPr>
              <w:keepNext w:val="0"/>
              <w:spacing w:after="0" w:before="0" w:line="240" w:lineRule="auto"/>
              <w:jc w:val="right"/>
            </w:pPr>
            <w:r>
              <w:rPr>
                <w:rFonts w:ascii="Calibri" w:hAnsi="Calibri"/>
                <w:b w:val="0"/>
                <w:sz w:val="19"/>
              </w:rPr>
              <w:t>0.24161</w:t>
            </w:r>
          </w:p>
        </w:tc>
        <w:tc>
          <w:tcPr>
            <w:tcW w:type="dxa" w:w="2153"/>
            <w:vAlign w:val="center"/>
          </w:tcPr>
          <w:p>
            <w:pPr>
              <w:keepNext w:val="0"/>
              <w:spacing w:after="0" w:before="0" w:line="240" w:lineRule="auto"/>
              <w:jc w:val="right"/>
            </w:pPr>
            <w:r>
              <w:rPr>
                <w:rFonts w:ascii="Calibri" w:hAnsi="Calibri"/>
                <w:b w:val="0"/>
                <w:sz w:val="19"/>
              </w:rPr>
              <w:t>0.53892</w:t>
            </w:r>
          </w:p>
        </w:tc>
      </w:tr>
      <w:tr>
        <w:trPr>
          <w:cantSplit/>
        </w:trPr>
        <w:tc>
          <w:tcPr>
            <w:tcW w:type="dxa" w:w="1613"/>
            <w:vAlign w:val="center"/>
          </w:tcPr>
          <w:p>
            <w:pPr>
              <w:keepNext/>
              <w:spacing w:after="0" w:before="0" w:line="240" w:lineRule="auto"/>
            </w:pPr>
            <w:r>
              <w:rPr>
                <w:rFonts w:ascii="Calibri" w:hAnsi="Calibri"/>
                <w:b w:val="0"/>
                <w:sz w:val="19"/>
              </w:rPr>
              <w:t>WorldMoE</w:t>
            </w:r>
          </w:p>
        </w:tc>
        <w:tc>
          <w:tcPr>
            <w:tcW w:type="dxa" w:w="2153"/>
            <w:vAlign w:val="center"/>
          </w:tcPr>
          <w:p>
            <w:pPr>
              <w:keepNext/>
              <w:spacing w:after="0" w:before="0" w:line="240" w:lineRule="auto"/>
              <w:jc w:val="right"/>
            </w:pPr>
            <w:r>
              <w:rPr>
                <w:rFonts w:ascii="Calibri" w:hAnsi="Calibri"/>
                <w:b w:val="0"/>
                <w:sz w:val="19"/>
              </w:rPr>
              <w:t>37,794</w:t>
            </w:r>
          </w:p>
        </w:tc>
        <w:tc>
          <w:tcPr>
            <w:tcW w:type="dxa" w:w="2153"/>
            <w:vAlign w:val="center"/>
          </w:tcPr>
          <w:p>
            <w:pPr>
              <w:keepNext/>
              <w:spacing w:after="0" w:before="0" w:line="240" w:lineRule="auto"/>
              <w:jc w:val="right"/>
            </w:pPr>
            <w:r>
              <w:rPr>
                <w:rFonts w:ascii="Calibri" w:hAnsi="Calibri"/>
                <w:b w:val="0"/>
                <w:sz w:val="19"/>
              </w:rPr>
              <w:t>0.01538</w:t>
            </w:r>
          </w:p>
        </w:tc>
        <w:tc>
          <w:tcPr>
            <w:tcW w:type="dxa" w:w="2153"/>
            <w:vAlign w:val="center"/>
          </w:tcPr>
          <w:p>
            <w:pPr>
              <w:keepNext/>
              <w:spacing w:after="0" w:before="0" w:line="240" w:lineRule="auto"/>
              <w:jc w:val="right"/>
            </w:pPr>
            <w:r>
              <w:rPr>
                <w:rFonts w:ascii="Calibri" w:hAnsi="Calibri"/>
                <w:b w:val="0"/>
                <w:sz w:val="19"/>
              </w:rPr>
              <w:t>0.24467</w:t>
            </w:r>
          </w:p>
        </w:tc>
        <w:tc>
          <w:tcPr>
            <w:tcW w:type="dxa" w:w="2153"/>
            <w:vAlign w:val="center"/>
          </w:tcPr>
          <w:p>
            <w:pPr>
              <w:keepNext/>
              <w:spacing w:after="0" w:before="0" w:line="240" w:lineRule="auto"/>
              <w:jc w:val="right"/>
            </w:pPr>
            <w:r>
              <w:rPr>
                <w:rFonts w:ascii="Calibri" w:hAnsi="Calibri"/>
                <w:b w:val="0"/>
                <w:sz w:val="19"/>
              </w:rPr>
              <w:t>0.50963</w:t>
            </w:r>
          </w:p>
        </w:tc>
      </w:tr>
    </w:tbl>
    <w:p>
      <w:pPr>
        <w:keepLines/>
        <w:spacing w:before="60" w:after="120"/>
      </w:pPr>
      <w:r>
        <w:rPr>
          <w:sz w:val="18"/>
        </w:rPr>
        <w:t>Controlled simulation. Lower MSE indicates lower prediction error within the same task and target scaling.</w:t>
      </w:r>
    </w:p>
    <w:p>
      <w:pPr>
        <w:pStyle w:val="Caption"/>
        <w:keepNext/>
      </w:pPr>
      <w:r>
        <w:t>Table 17. Routing interventions.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Router intervention</w:t>
            </w:r>
          </w:p>
        </w:tc>
        <w:tc>
          <w:tcPr>
            <w:tcW w:type="dxa" w:w="6984"/>
            <w:vAlign w:val="center"/>
            <w:shd w:fill="F2F2F2"/>
          </w:tcPr>
          <w:p>
            <w:pPr>
              <w:keepNext/>
              <w:spacing w:after="0" w:before="0" w:line="240" w:lineRule="auto"/>
            </w:pPr>
            <w:r>
              <w:rPr>
                <w:rFonts w:ascii="Calibri" w:hAnsi="Calibri"/>
                <w:b/>
                <w:sz w:val="19"/>
              </w:rPr>
              <w:t>Mean 8-step penalty</w:t>
            </w:r>
          </w:p>
        </w:tc>
      </w:tr>
      <w:tr>
        <w:trPr>
          <w:cantSplit/>
        </w:trPr>
        <w:tc>
          <w:tcPr>
            <w:tcW w:type="dxa" w:w="3240"/>
            <w:vAlign w:val="center"/>
          </w:tcPr>
          <w:p>
            <w:pPr>
              <w:keepNext w:val="0"/>
              <w:spacing w:after="0" w:before="0" w:line="240" w:lineRule="auto"/>
            </w:pPr>
            <w:r>
              <w:rPr>
                <w:rFonts w:ascii="Calibri" w:hAnsi="Calibri"/>
                <w:b w:val="0"/>
                <w:sz w:val="19"/>
              </w:rPr>
              <w:t>Uniform routing</w:t>
            </w:r>
          </w:p>
        </w:tc>
        <w:tc>
          <w:tcPr>
            <w:tcW w:type="dxa" w:w="6984"/>
            <w:vAlign w:val="center"/>
          </w:tcPr>
          <w:p>
            <w:pPr>
              <w:keepNext w:val="0"/>
              <w:spacing w:after="0" w:before="0" w:line="240" w:lineRule="auto"/>
              <w:jc w:val="right"/>
            </w:pPr>
            <w:r>
              <w:rPr>
                <w:rFonts w:ascii="Calibri" w:hAnsi="Calibri"/>
                <w:b w:val="0"/>
                <w:sz w:val="19"/>
              </w:rPr>
              <w:t>+10.94%</w:t>
            </w:r>
          </w:p>
        </w:tc>
      </w:tr>
      <w:tr>
        <w:trPr>
          <w:cantSplit/>
        </w:trPr>
        <w:tc>
          <w:tcPr>
            <w:tcW w:type="dxa" w:w="3240"/>
            <w:vAlign w:val="center"/>
          </w:tcPr>
          <w:p>
            <w:pPr>
              <w:keepNext/>
              <w:spacing w:after="0" w:before="0" w:line="240" w:lineRule="auto"/>
            </w:pPr>
            <w:r>
              <w:rPr>
                <w:rFonts w:ascii="Calibri" w:hAnsi="Calibri"/>
                <w:b w:val="0"/>
                <w:sz w:val="19"/>
              </w:rPr>
              <w:t>Shuffle routing across worlds</w:t>
            </w:r>
          </w:p>
        </w:tc>
        <w:tc>
          <w:tcPr>
            <w:tcW w:type="dxa" w:w="6984"/>
            <w:vAlign w:val="center"/>
          </w:tcPr>
          <w:p>
            <w:pPr>
              <w:keepNext/>
              <w:spacing w:after="0" w:before="0" w:line="240" w:lineRule="auto"/>
              <w:jc w:val="right"/>
            </w:pPr>
            <w:r>
              <w:rPr>
                <w:rFonts w:ascii="Calibri" w:hAnsi="Calibri"/>
                <w:b w:val="0"/>
                <w:sz w:val="19"/>
              </w:rPr>
              <w:t>+19.91%</w:t>
            </w:r>
          </w:p>
        </w:tc>
      </w:tr>
    </w:tbl>
    <w:p>
      <w:pPr>
        <w:keepLines/>
        <w:spacing w:before="60" w:after="120"/>
      </w:pPr>
      <w:r>
        <w:rPr>
          <w:sz w:val="18"/>
        </w:rPr>
        <w:t>Controlled simulation.</w:t>
      </w:r>
    </w:p>
    <w:p>
      <w:r>
        <w:t>WorldMoE has slightly higher one-step error but lower eight-step rollout error. Replacing its router with uniform weights or shuffling routing across worlds increases error, establishing a functional role for routing in this trained model.</w:t>
      </w:r>
    </w:p>
    <w:p>
      <w:r>
        <w:t>The value of routing in these comparisons depends on transition-law structure and evaluation horizon.</w:t>
      </w:r>
    </w:p>
    <w:p>
      <w:pPr>
        <w:pStyle w:val="Heading3"/>
      </w:pPr>
      <w:r>
        <w:t>3.7.3 Expert roles and simulator labels</w:t>
      </w:r>
    </w:p>
    <w:p>
      <w:r>
        <w:t>Normalized mutual information between the router's argmax and the four simulator law families is approximately 0.0087. The learned partition therefore has little alignment with the labels gravity, rotation, pairwise interaction and oscillation. The routing interventions establish predictive relevance; the low label agreement alone does not identify the alternative partition learned by the experts.</w:t>
      </w:r>
    </w:p>
    <w:p>
      <w:r>
        <w:t>Expert roles can be characterized with removal, exchange and downstream-response probes. These measurements are more informative about computation than assigning semantic names to hidden units.</w:t>
      </w:r>
    </w:p>
    <w:p>
      <w:pPr>
        <w:pStyle w:val="Heading1"/>
        <w:pageBreakBefore w:val="0"/>
      </w:pPr>
      <w:r>
        <w:t>4. Conditional modelling principles</w:t>
      </w:r>
    </w:p>
    <w:p>
      <w:r>
        <w:t>The preceding comparisons motivate a candidate modelling design: a predictive state with adequate representational capacity, native encoders for the observed structures, and local transition modules combined according to the current state. Each component requires task-specific validation.</w:t>
      </w:r>
    </w:p>
    <w:p>
      <w:r>
        <w:t>Conditional modular computation includes more than top-k feed-forward experts in a Transformer. Neural fields, graph modules, recurrent components and specialized simulators can share this organization when the predictive state determines their contribution. This is an architectural family, not a claim that every data source requires the same implementation.</w:t>
      </w:r>
    </w:p>
    <w:p>
      <w:pPr>
        <w:pStyle w:val="Heading2"/>
      </w:pPr>
      <w:r>
        <w:t>4.1 Empirical reasons to evaluate modular designs</w:t>
      </w:r>
    </w:p>
    <w:p>
      <w:pPr>
        <w:pStyle w:val="ListBullet"/>
      </w:pPr>
      <w:r>
        <w:t>Capacity matching. Generating mechanisms can differ in effective dimension and local response complexity. Comparisons should therefore assess the capacity available to each active module.</w:t>
      </w:r>
    </w:p>
    <w:p>
      <w:pPr>
        <w:pStyle w:val="ListBullet"/>
      </w:pPr>
      <w:r>
        <w:t>State separation. Sufficient capacity can reduce aliasing between histories with different futures; specialization is one candidate way to allocate that capacity.</w:t>
      </w:r>
    </w:p>
    <w:p>
      <w:pPr>
        <w:pStyle w:val="ListBullet"/>
      </w:pPr>
      <w:r>
        <w:t>Native structure. Sequence, graph, set, hierarchy and field encoders can preserve the relationships used by the prediction task.</w:t>
      </w:r>
    </w:p>
    <w:p>
      <w:pPr>
        <w:pStyle w:val="ListBullet"/>
      </w:pPr>
      <w:r>
        <w:t>Rollout stability. Small local transition errors can accumulate. WORLD-MOE-002 shows why one-step and long-horizon outcomes should be evaluated separately.</w:t>
      </w:r>
    </w:p>
    <w:p>
      <w:pPr>
        <w:pStyle w:val="ListBullet"/>
      </w:pPr>
      <w:r>
        <w:t>Sharing across modalities is a design hypothesis when representations support comparable future-response queries. The experiments here motivate testing that compatibility; they do not establish a single shared expert across language, vision, statistics and movement.</w:t>
      </w:r>
    </w:p>
    <w:p>
      <w:pPr>
        <w:pStyle w:val="Heading2"/>
      </w:pPr>
      <w:r>
        <w:t>4.2 A modelling formulation</w:t>
      </w:r>
    </w:p>
    <w:p>
      <w:pPr>
        <w:spacing w:before="60" w:after="140"/>
        <w:jc w:val="center"/>
      </w:pPr>
      <m:oMath>
        <m:sSubSup>
          <m:e>
            <m:r>
              <m:t>e</m:t>
            </m:r>
          </m:e>
          <m:sub>
            <m:r>
              <m:t>t</m:t>
            </m:r>
          </m:sub>
          <m:sup>
            <m:r>
              <m:t>(m)</m:t>
            </m:r>
          </m:sup>
        </m:sSubSup>
        <m:r>
          <m:t> = </m:t>
        </m:r>
        <m:sSub>
          <m:e>
            <m:r>
              <m:t>E</m:t>
            </m:r>
          </m:e>
          <m:sub>
            <m:r>
              <m:t>m</m:t>
            </m:r>
          </m:sub>
        </m:sSub>
        <m:r>
          <m:t>(</m:t>
        </m:r>
        <m:sSubSup>
          <m:e>
            <m:r>
              <m:t>o</m:t>
            </m:r>
          </m:e>
          <m:sub>
            <m:r>
              <m:t>t</m:t>
            </m:r>
          </m:sub>
          <m:sup>
            <m:r>
              <m:t>(m)</m:t>
            </m:r>
          </m:sup>
        </m:sSubSup>
        <m:r>
          <m:t>)</m:t>
        </m:r>
      </m:oMath>
    </w:p>
    <w:p>
      <w:pPr>
        <w:spacing w:before="60" w:after="140"/>
        <w:jc w:val="center"/>
      </w:pPr>
      <m:oMath>
        <m:sSub>
          <m:e>
            <m:r>
              <m:t>s</m:t>
            </m:r>
          </m:e>
          <m:sub>
            <m:r>
              <m:t>t</m:t>
            </m:r>
          </m:sub>
        </m:sSub>
        <m:r>
          <m:t> = U(</m:t>
        </m:r>
        <m:sSub>
          <m:e>
            <m:r>
              <m:t>s</m:t>
            </m:r>
          </m:e>
          <m:sub>
            <m:r>
              <m:t>t−1</m:t>
            </m:r>
          </m:sub>
        </m:sSub>
        <m:r>
          <m:t>, </m:t>
        </m:r>
        <m:sSub>
          <m:e>
            <m:r>
              <m:t>e</m:t>
            </m:r>
          </m:e>
          <m:sub>
            <m:r>
              <m:t>t</m:t>
            </m:r>
          </m:sub>
        </m:sSub>
        <m:r>
          <m:t>)</m:t>
        </m:r>
      </m:oMath>
    </w:p>
    <w:p>
      <w:pPr>
        <w:spacing w:before="60" w:after="140"/>
        <w:jc w:val="center"/>
      </w:pPr>
      <m:oMath>
        <m:sSub>
          <m:e>
            <m:r>
              <m:t>r</m:t>
            </m:r>
          </m:e>
          <m:sub>
            <m:r>
              <m:t>t</m:t>
            </m:r>
          </m:sub>
        </m:sSub>
        <m:r>
          <m:t> = Router(</m:t>
        </m:r>
        <m:sSub>
          <m:e>
            <m:r>
              <m:t>s</m:t>
            </m:r>
          </m:e>
          <m:sub>
            <m:r>
              <m:t>t</m:t>
            </m:r>
          </m:sub>
        </m:sSub>
        <m:r>
          <m:t>, </m:t>
        </m:r>
        <m:sSub>
          <m:e>
            <m:r>
              <m:t>o</m:t>
            </m:r>
          </m:e>
          <m:sub>
            <m:r>
              <m:t>t</m:t>
            </m:r>
          </m:sub>
        </m:sSub>
        <m:r>
          <m:t>)</m:t>
        </m:r>
      </m:oMath>
    </w:p>
    <w:p>
      <w:pPr>
        <w:spacing w:before="60" w:after="140"/>
        <w:jc w:val="center"/>
      </w:pPr>
      <m:oMath>
        <m:sSub>
          <m:e>
            <m:r>
              <m:t>F</m:t>
            </m:r>
          </m:e>
          <m:sub>
            <m:r>
              <m:t>t</m:t>
            </m:r>
          </m:sub>
        </m:sSub>
        <m:r>
          <m:t> = </m:t>
        </m:r>
        <m:sSub>
          <m:e>
            <m:r>
              <m:t>∑</m:t>
            </m:r>
          </m:e>
          <m:sub>
            <m:r>
              <m:t>j</m:t>
            </m:r>
          </m:sub>
        </m:sSub>
        <m:r>
          <m:t> </m:t>
        </m:r>
        <m:sSub>
          <m:e>
            <m:r>
              <m:t>r</m:t>
            </m:r>
          </m:e>
          <m:sub>
            <m:r>
              <m:t>t,j</m:t>
            </m:r>
          </m:sub>
        </m:sSub>
        <m:r>
          <m:t> </m:t>
        </m:r>
        <m:sSub>
          <m:e>
            <m:r>
              <m:t>F</m:t>
            </m:r>
          </m:e>
          <m:sub>
            <m:r>
              <m:t>j</m:t>
            </m:r>
          </m:sub>
        </m:sSub>
        <m:r>
          <m:t>(</m:t>
        </m:r>
        <m:sSub>
          <m:e>
            <m:r>
              <m:t>s</m:t>
            </m:r>
          </m:e>
          <m:sub>
            <m:r>
              <m:t>t</m:t>
            </m:r>
          </m:sub>
        </m:sSub>
        <m:r>
          <m:t>)</m:t>
        </m:r>
      </m:oMath>
    </w:p>
    <w:p>
      <w:pPr>
        <w:spacing w:before="60" w:after="140"/>
        <w:jc w:val="center"/>
      </w:pPr>
      <m:oMath>
        <m:sSub>
          <m:e>
            <m:r>
              <m:t>ô</m:t>
            </m:r>
          </m:e>
          <m:sub>
            <m:r>
              <m:t>t+1</m:t>
            </m:r>
          </m:sub>
        </m:sSub>
        <m:r>
          <m:t> = </m:t>
        </m:r>
        <m:sSub>
          <m:e>
            <m:r>
              <m:t>F</m:t>
            </m:r>
          </m:e>
          <m:sub>
            <m:r>
              <m:t>t</m:t>
            </m:r>
          </m:sub>
        </m:sSub>
        <m:r>
          <m:t>(</m:t>
        </m:r>
        <m:sSub>
          <m:e>
            <m:r>
              <m:t>o</m:t>
            </m:r>
          </m:e>
          <m:sub>
            <m:r>
              <m:t>t−H+1:t</m:t>
            </m:r>
          </m:sub>
        </m:sSub>
        <m:r>
          <m:t>)</m:t>
        </m:r>
      </m:oMath>
    </w:p>
    <w:p>
      <w:r>
        <w:t>E_m preserves the native structure of modality m. The update U forms a predictive state s_t from history. The router uses the current state to weight local transition functions F_j. Shared states and modules are justified by their performance on the specified future-response tasks.</w:t>
      </w:r>
    </w:p>
    <w:p>
      <w:pPr>
        <w:pStyle w:val="Heading2"/>
      </w:pPr>
      <w:r>
        <w:t>4.3 Transition prediction as a modelling objective</w:t>
      </w:r>
    </w:p>
    <w:p>
      <w:r>
        <w:t>The physical studies evaluate whether a model can generate reliable state trajectories from observation history. The prediction pipeline is:</w:t>
      </w:r>
    </w:p>
    <w:p>
      <w:r>
        <w:t>The observed world state is encoded as a predictive state, which generates the transition rule used to predict the next world state.</w:t>
      </w:r>
    </w:p>
    <w:p>
      <w:r>
        <w:t>The sequence and physical experiments use a common history-to-future interface but have different measured response geometry. A separate planner could compare predicted trajectories against a goal. Predictive adequacy would then need evaluation within that closed-loop task, in addition to the forecasting tests reported here.</w:t>
      </w:r>
    </w:p>
    <w:p>
      <w:pPr>
        <w:pStyle w:val="Heading2"/>
      </w:pPr>
      <w:r>
        <w:t>4.4 Hypotheses and empirical tests</w:t>
      </w:r>
    </w:p>
    <w:p>
      <w:r>
        <w:t>The following comparisons make the proposed design criteria testable. The cross-modal alignment and closed-loop planning rows specify evaluation criteria; the present chapter's direct results concern the tasks documented in the experiment sections.</w:t>
      </w:r>
    </w:p>
    <w:p>
      <w:pPr>
        <w:pStyle w:val="Caption"/>
        <w:keepNext/>
      </w:pPr>
      <w:r>
        <w:t>Table 18. Propositions and empirical tests.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Proposition</w:t>
            </w:r>
          </w:p>
        </w:tc>
        <w:tc>
          <w:tcPr>
            <w:tcW w:type="dxa" w:w="6984"/>
            <w:vAlign w:val="center"/>
            <w:shd w:fill="F2F2F2"/>
          </w:tcPr>
          <w:p>
            <w:pPr>
              <w:keepNext/>
              <w:spacing w:after="0" w:before="0" w:line="240" w:lineRule="auto"/>
            </w:pPr>
            <w:r>
              <w:rPr>
                <w:rFonts w:ascii="Calibri" w:hAnsi="Calibri"/>
                <w:b/>
                <w:sz w:val="19"/>
              </w:rPr>
              <w:t>Comparison and interpretation</w:t>
            </w:r>
          </w:p>
        </w:tc>
      </w:tr>
      <w:tr>
        <w:trPr>
          <w:cantSplit/>
        </w:trPr>
        <w:tc>
          <w:tcPr>
            <w:tcW w:type="dxa" w:w="3240"/>
            <w:vAlign w:val="center"/>
          </w:tcPr>
          <w:p>
            <w:pPr>
              <w:keepNext w:val="0"/>
              <w:spacing w:after="0" w:before="0" w:line="240" w:lineRule="auto"/>
            </w:pPr>
            <w:r>
              <w:rPr>
                <w:rFonts w:ascii="Calibri" w:hAnsi="Calibri"/>
                <w:b w:val="0"/>
                <w:sz w:val="19"/>
              </w:rPr>
              <w:t>Conditional routing helps under heterogeneity</w:t>
            </w:r>
          </w:p>
        </w:tc>
        <w:tc>
          <w:tcPr>
            <w:tcW w:type="dxa" w:w="6984"/>
            <w:vAlign w:val="center"/>
          </w:tcPr>
          <w:p>
            <w:pPr>
              <w:keepNext w:val="0"/>
              <w:spacing w:after="0" w:before="0" w:line="240" w:lineRule="auto"/>
            </w:pPr>
            <w:r>
              <w:rPr>
                <w:rFonts w:ascii="Calibri" w:hAnsi="Calibri"/>
                <w:b w:val="0"/>
                <w:sz w:val="19"/>
              </w:rPr>
              <w:t>Compare matched-budget long rollout with a shared model; test uniform and shuffled routing. Equal shared-model performance with insensitive routing would weaken the proposed benefit.</w:t>
            </w:r>
          </w:p>
        </w:tc>
      </w:tr>
      <w:tr>
        <w:trPr>
          <w:cantSplit/>
        </w:trPr>
        <w:tc>
          <w:tcPr>
            <w:tcW w:type="dxa" w:w="3240"/>
            <w:vAlign w:val="center"/>
          </w:tcPr>
          <w:p>
            <w:pPr>
              <w:keepNext w:val="0"/>
              <w:spacing w:after="0" w:before="0" w:line="240" w:lineRule="auto"/>
            </w:pPr>
            <w:r>
              <w:rPr>
                <w:rFonts w:ascii="Calibri" w:hAnsi="Calibri"/>
                <w:b w:val="0"/>
                <w:sz w:val="19"/>
              </w:rPr>
              <w:t>Experts have distinct functional roles</w:t>
            </w:r>
          </w:p>
        </w:tc>
        <w:tc>
          <w:tcPr>
            <w:tcW w:type="dxa" w:w="6984"/>
            <w:vAlign w:val="center"/>
          </w:tcPr>
          <w:p>
            <w:pPr>
              <w:keepNext w:val="0"/>
              <w:spacing w:after="0" w:before="0" w:line="240" w:lineRule="auto"/>
            </w:pPr>
            <w:r>
              <w:rPr>
                <w:rFonts w:ascii="Calibri" w:hAnsi="Calibri"/>
                <w:b w:val="0"/>
                <w:sz w:val="19"/>
              </w:rPr>
              <w:t>Remove or exchange experts and measure downstream responses. Complete interchangeability under the probe set would weaken a role-specific interpretation.</w:t>
            </w:r>
          </w:p>
        </w:tc>
      </w:tr>
      <w:tr>
        <w:trPr>
          <w:cantSplit/>
        </w:trPr>
        <w:tc>
          <w:tcPr>
            <w:tcW w:type="dxa" w:w="3240"/>
            <w:vAlign w:val="center"/>
          </w:tcPr>
          <w:p>
            <w:pPr>
              <w:keepNext w:val="0"/>
              <w:spacing w:after="0" w:before="0" w:line="240" w:lineRule="auto"/>
            </w:pPr>
            <w:r>
              <w:rPr>
                <w:rFonts w:ascii="Calibri" w:hAnsi="Calibri"/>
                <w:b w:val="0"/>
                <w:sz w:val="19"/>
              </w:rPr>
              <w:t>Predictive states can be shared across modalities</w:t>
            </w:r>
          </w:p>
        </w:tc>
        <w:tc>
          <w:tcPr>
            <w:tcW w:type="dxa" w:w="6984"/>
            <w:vAlign w:val="center"/>
          </w:tcPr>
          <w:p>
            <w:pPr>
              <w:keepNext w:val="0"/>
              <w:spacing w:after="0" w:before="0" w:line="240" w:lineRule="auto"/>
            </w:pPr>
            <w:r>
              <w:rPr>
                <w:rFonts w:ascii="Calibri" w:hAnsi="Calibri"/>
                <w:b w:val="0"/>
                <w:sz w:val="19"/>
              </w:rPr>
              <w:t>Test alignment of future-​equivalent states using a common query set. This is a proposed cross-modal test.</w:t>
            </w:r>
          </w:p>
        </w:tc>
      </w:tr>
      <w:tr>
        <w:trPr>
          <w:cantSplit/>
        </w:trPr>
        <w:tc>
          <w:tcPr>
            <w:tcW w:type="dxa" w:w="3240"/>
            <w:vAlign w:val="center"/>
          </w:tcPr>
          <w:p>
            <w:pPr>
              <w:keepNext w:val="0"/>
              <w:spacing w:after="0" w:before="0" w:line="240" w:lineRule="auto"/>
            </w:pPr>
            <w:r>
              <w:rPr>
                <w:rFonts w:ascii="Calibri" w:hAnsi="Calibri"/>
                <w:b w:val="0"/>
                <w:sz w:val="19"/>
              </w:rPr>
              <w:t>Capacity reduces state aliasing</w:t>
            </w:r>
          </w:p>
        </w:tc>
        <w:tc>
          <w:tcPr>
            <w:tcW w:type="dxa" w:w="6984"/>
            <w:vAlign w:val="center"/>
          </w:tcPr>
          <w:p>
            <w:pPr>
              <w:keepNext w:val="0"/>
              <w:spacing w:after="0" w:before="0" w:line="240" w:lineRule="auto"/>
            </w:pPr>
            <w:r>
              <w:rPr>
                <w:rFonts w:ascii="Calibri" w:hAnsi="Calibri"/>
                <w:b w:val="0"/>
                <w:sz w:val="19"/>
              </w:rPr>
              <w:t>Measure coordinate-aware state separation and future-response robustness across capacity. Separation alone is insufficient if predictive behaviour does not improve.</w:t>
            </w:r>
          </w:p>
        </w:tc>
      </w:tr>
      <w:tr>
        <w:trPr>
          <w:cantSplit/>
        </w:trPr>
        <w:tc>
          <w:tcPr>
            <w:tcW w:type="dxa" w:w="3240"/>
            <w:vAlign w:val="center"/>
          </w:tcPr>
          <w:p>
            <w:pPr>
              <w:keepNext w:val="0"/>
              <w:spacing w:after="0" w:before="0" w:line="240" w:lineRule="auto"/>
            </w:pPr>
            <w:r>
              <w:rPr>
                <w:rFonts w:ascii="Calibri" w:hAnsi="Calibri"/>
                <w:b w:val="0"/>
                <w:sz w:val="19"/>
              </w:rPr>
              <w:t>Generated transitions help planning</w:t>
            </w:r>
          </w:p>
        </w:tc>
        <w:tc>
          <w:tcPr>
            <w:tcW w:type="dxa" w:w="6984"/>
            <w:vAlign w:val="center"/>
          </w:tcPr>
          <w:p>
            <w:pPr>
              <w:keepNext w:val="0"/>
              <w:spacing w:after="0" w:before="0" w:line="240" w:lineRule="auto"/>
            </w:pPr>
            <w:r>
              <w:rPr>
                <w:rFonts w:ascii="Calibri" w:hAnsi="Calibri"/>
                <w:b w:val="0"/>
                <w:sz w:val="19"/>
              </w:rPr>
              <w:t>Compare closed-loop transfer, planning and out-​of-​distribution rollout with and without rule generation. Closed-loop benefit is a separate evaluation target.</w:t>
            </w:r>
          </w:p>
        </w:tc>
      </w:tr>
    </w:tbl>
    <w:p>
      <w:pPr>
        <w:pStyle w:val="Heading2"/>
        <w:spacing w:before="100"/>
      </w:pPr>
      <w:r>
        <w:t>4.5 Synthesis of the foundational comparisons</w:t>
      </w:r>
    </w:p>
    <w:p>
      <w:r>
        <w:t>The foundational results connect modular design choices to measurable properties of the data-generating process.</w:t>
      </w:r>
    </w:p>
    <w:p>
      <w:r>
        <w:t>A single transition law can be modelled effectively by a shared rule generator. Under the tested heterogeneous laws, conditional routing contributes to long-horizon prediction. The benefit depends on state identification, local capacity and the training objective.</w:t>
      </w:r>
    </w:p>
    <w:p>
      <w:r>
        <w:t>The resulting candidate design combines:</w:t>
      </w:r>
    </w:p>
    <w:p>
      <w:r>
        <w:t>adequate predictive-state capacity, native observation encoders, state-conditioned transition modules and generated local rules.</w:t>
      </w:r>
    </w:p>
    <w:p>
      <w:r>
        <w:t>This design preserves the structure of each data family and evaluates its representation through prediction. It supplies a common experimental vocabulary for comparing modelling choices across heterogeneous sources.</w:t>
      </w:r>
    </w:p>
    <w:p>
      <w:pPr>
        <w:pStyle w:val="Heading2"/>
      </w:pPr>
      <w:r>
        <w:t>4.6 Scope of the foundational evidence</w:t>
      </w:r>
    </w:p>
    <w:p>
      <w:pPr>
        <w:pStyle w:val="ListBullet"/>
      </w:pPr>
      <w:r>
        <w:t>The evidence supports conditional design criteria for the studied prediction tasks. Controlled generators permit interventions on mechanism, capacity and routing; recorded data establish observed temporal and relational structure.</w:t>
      </w:r>
    </w:p>
    <w:p>
      <w:pPr>
        <w:pStyle w:val="ListBullet"/>
      </w:pPr>
      <w:r>
        <w:t>The chemical compositional holdout is a synthetic structured-signal result.</w:t>
      </w:r>
    </w:p>
    <w:p>
      <w:pPr>
        <w:pStyle w:val="ListBullet"/>
      </w:pPr>
      <w:r>
        <w:t>The Bengalese finch analysis establishes history-dependent next-syllable distributions in the recorded song sequences.</w:t>
      </w:r>
    </w:p>
    <w:p>
      <w:pPr>
        <w:pStyle w:val="ListBullet"/>
      </w:pPr>
      <w:r>
        <w:t>The honeybee analysis measures episode-conditioned directional structure in the signal; receiver and follower behaviour are separate outcomes.</w:t>
      </w:r>
    </w:p>
    <w:p>
      <w:pPr>
        <w:pStyle w:val="ListBullet"/>
      </w:pPr>
      <w:r>
        <w:t>The QSDB analysis measures signal-family and functional-role dependence. Its contribution is a relational constraint rather than a trained graph generator.</w:t>
      </w:r>
    </w:p>
    <w:p>
      <w:pPr>
        <w:pStyle w:val="ListBullet"/>
      </w:pPr>
      <w:r>
        <w:t>WorldMoE is evaluated in controlled synthetic physics. Routing interventions demonstrate a functional contribution to prediction, and the low router–label NMI records weak alignment with the chosen simulator categories.</w:t>
      </w:r>
    </w:p>
    <w:p>
      <w:pPr>
        <w:pStyle w:val="ListBullet"/>
      </w:pPr>
      <w:r>
        <w:t>In STAT-SCALE-001, coverage combines unique-world diversity and repetitions per world. Width comparisons therefore provide the more directly isolated capacity result.</w:t>
      </w:r>
    </w:p>
    <w:p>
      <w:pPr>
        <w:pStyle w:val="Heading2"/>
      </w:pPr>
      <w:r>
        <w:t>4.7 Data sources and foundational evidence records</w:t>
      </w:r>
    </w:p>
    <w:p>
      <w:pPr>
        <w:pStyle w:val="Caption"/>
        <w:keepNext/>
      </w:pPr>
      <w:r>
        <w:t>Table 19. Source and evidence references.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5112"/>
        <w:gridCol w:w="2880"/>
      </w:tblGrid>
      <w:tr>
        <w:trPr>
          <w:cantSplit/>
          <w:tblHeader/>
        </w:trPr>
        <w:tc>
          <w:tcPr>
            <w:tcW w:type="dxa" w:w="2232"/>
            <w:vAlign w:val="center"/>
            <w:shd w:fill="F2F2F2"/>
          </w:tcPr>
          <w:p>
            <w:pPr>
              <w:keepNext/>
              <w:spacing w:after="0" w:before="0" w:line="240" w:lineRule="auto"/>
            </w:pPr>
            <w:r>
              <w:rPr>
                <w:rFonts w:ascii="Calibri" w:hAnsi="Calibri"/>
                <w:b/>
                <w:sz w:val="19"/>
              </w:rPr>
              <w:t>Source or experiment</w:t>
            </w:r>
          </w:p>
        </w:tc>
        <w:tc>
          <w:tcPr>
            <w:tcW w:type="dxa" w:w="5112"/>
            <w:vAlign w:val="center"/>
            <w:shd w:fill="F2F2F2"/>
          </w:tcPr>
          <w:p>
            <w:pPr>
              <w:keepNext/>
              <w:spacing w:after="0" w:before="0" w:line="240" w:lineRule="auto"/>
            </w:pPr>
            <w:r>
              <w:rPr>
                <w:rFonts w:ascii="Calibri" w:hAnsi="Calibri"/>
                <w:b/>
                <w:sz w:val="19"/>
              </w:rPr>
              <w:t>Evidence reference</w:t>
            </w:r>
          </w:p>
        </w:tc>
        <w:tc>
          <w:tcPr>
            <w:tcW w:type="dxa" w:w="2880"/>
            <w:vAlign w:val="center"/>
            <w:shd w:fill="F2F2F2"/>
          </w:tcPr>
          <w:p>
            <w:pPr>
              <w:keepNext/>
              <w:spacing w:after="0" w:before="0" w:line="240" w:lineRule="auto"/>
            </w:pPr>
            <w:r>
              <w:rPr>
                <w:rFonts w:ascii="Calibri" w:hAnsi="Calibri"/>
                <w:b/>
                <w:sz w:val="19"/>
              </w:rPr>
              <w:t>Use</w:t>
            </w:r>
          </w:p>
        </w:tc>
      </w:tr>
      <w:tr>
        <w:trPr>
          <w:cantSplit/>
        </w:trPr>
        <w:tc>
          <w:tcPr>
            <w:tcW w:type="dxa" w:w="2232"/>
            <w:vAlign w:val="center"/>
          </w:tcPr>
          <w:p>
            <w:pPr>
              <w:keepNext w:val="0"/>
              <w:spacing w:after="0" w:before="0" w:line="240" w:lineRule="auto"/>
            </w:pPr>
            <w:r>
              <w:rPr>
                <w:rFonts w:ascii="Calibri" w:hAnsi="Calibri"/>
                <w:b w:val="0"/>
                <w:sz w:val="19"/>
              </w:rPr>
              <w:t>SEMIOTIC-​CHEMICAL-​GRAMMAR-​001</w:t>
            </w:r>
          </w:p>
        </w:tc>
        <w:tc>
          <w:tcPr>
            <w:tcW w:type="dxa" w:w="5112"/>
            <w:vAlign w:val="center"/>
          </w:tcPr>
          <w:p>
            <w:pPr>
              <w:keepNext w:val="0"/>
              <w:spacing w:after="0" w:before="0" w:line="240" w:lineRule="auto"/>
            </w:pPr>
            <w:r>
              <w:rPr>
                <w:rFonts w:ascii="Calibri" w:hAnsi="Calibri"/>
                <w:b w:val="0"/>
                <w:sz w:val="19"/>
              </w:rPr>
              <w:t>SEMIOTIC_​CHEMICAL_​GRAMMAR_​001_​bundle.zip</w:t>
            </w:r>
          </w:p>
        </w:tc>
        <w:tc>
          <w:tcPr>
            <w:tcW w:type="dxa" w:w="2880"/>
            <w:vAlign w:val="center"/>
          </w:tcPr>
          <w:p>
            <w:pPr>
              <w:keepNext w:val="0"/>
              <w:spacing w:after="0" w:before="0" w:line="240" w:lineRule="auto"/>
            </w:pPr>
            <w:r>
              <w:rPr>
                <w:rFonts w:ascii="Calibri" w:hAnsi="Calibri"/>
                <w:b w:val="0"/>
                <w:sz w:val="19"/>
              </w:rPr>
              <w:t>zero-shot molecule / latent state / control geometry</w:t>
            </w:r>
          </w:p>
        </w:tc>
      </w:tr>
      <w:tr>
        <w:trPr>
          <w:cantSplit/>
        </w:trPr>
        <w:tc>
          <w:tcPr>
            <w:tcW w:type="dxa" w:w="2232"/>
            <w:vAlign w:val="center"/>
          </w:tcPr>
          <w:p>
            <w:pPr>
              <w:keepNext w:val="0"/>
              <w:spacing w:after="0" w:before="0" w:line="240" w:lineRule="auto"/>
            </w:pPr>
            <w:r>
              <w:rPr>
                <w:rFonts w:ascii="Calibri" w:hAnsi="Calibri"/>
                <w:b w:val="0"/>
                <w:sz w:val="19"/>
              </w:rPr>
              <w:t>WORLD-​RULE-​MOE-​002</w:t>
            </w:r>
          </w:p>
        </w:tc>
        <w:tc>
          <w:tcPr>
            <w:tcW w:type="dxa" w:w="5112"/>
            <w:vAlign w:val="center"/>
          </w:tcPr>
          <w:p>
            <w:pPr>
              <w:keepNext w:val="0"/>
              <w:spacing w:after="0" w:before="0" w:line="240" w:lineRule="auto"/>
            </w:pPr>
            <w:r>
              <w:rPr>
                <w:rFonts w:ascii="Calibri" w:hAnsi="Calibri"/>
                <w:b w:val="0"/>
                <w:sz w:val="19"/>
              </w:rPr>
              <w:t>WORLD_​RULE_​MOE_​002_​bundle.zip</w:t>
            </w:r>
          </w:p>
        </w:tc>
        <w:tc>
          <w:tcPr>
            <w:tcW w:type="dxa" w:w="2880"/>
            <w:vAlign w:val="center"/>
          </w:tcPr>
          <w:p>
            <w:pPr>
              <w:keepNext w:val="0"/>
              <w:spacing w:after="0" w:before="0" w:line="240" w:lineRule="auto"/>
            </w:pPr>
            <w:r>
              <w:rPr>
                <w:rFonts w:ascii="Calibri" w:hAnsi="Calibri"/>
                <w:b w:val="0"/>
                <w:sz w:val="19"/>
              </w:rPr>
              <w:t>homogeneous vs heterogeneous law / router ablation</w:t>
            </w:r>
          </w:p>
        </w:tc>
      </w:tr>
      <w:tr>
        <w:trPr>
          <w:cantSplit/>
        </w:trPr>
        <w:tc>
          <w:tcPr>
            <w:tcW w:type="dxa" w:w="2232"/>
            <w:vAlign w:val="center"/>
          </w:tcPr>
          <w:p>
            <w:pPr>
              <w:keepNext w:val="0"/>
              <w:spacing w:after="0" w:before="0" w:line="240" w:lineRule="auto"/>
            </w:pPr>
            <w:r>
              <w:rPr>
                <w:rFonts w:ascii="Calibri" w:hAnsi="Calibri"/>
                <w:b w:val="0"/>
                <w:sz w:val="19"/>
              </w:rPr>
              <w:t>Bengalese finch</w:t>
            </w:r>
          </w:p>
        </w:tc>
        <w:tc>
          <w:tcPr>
            <w:tcW w:type="dxa" w:w="5112"/>
            <w:vAlign w:val="center"/>
          </w:tcPr>
          <w:p>
            <w:pPr>
              <w:keepNext w:val="0"/>
              <w:spacing w:after="0" w:before="0" w:line="240" w:lineRule="auto"/>
            </w:pPr>
            <w:r>
              <w:rPr>
                <w:rFonts w:ascii="Calibri" w:hAnsi="Calibri"/>
                <w:b w:val="0"/>
                <w:sz w:val="19"/>
              </w:rPr>
              <w:t>NickleDave/pomma → bl26lb16_​sequences.txt</w:t>
            </w:r>
          </w:p>
        </w:tc>
        <w:tc>
          <w:tcPr>
            <w:tcW w:type="dxa" w:w="2880"/>
            <w:vAlign w:val="center"/>
          </w:tcPr>
          <w:p>
            <w:pPr>
              <w:keepNext w:val="0"/>
              <w:spacing w:after="0" w:before="0" w:line="240" w:lineRule="auto"/>
            </w:pPr>
            <w:r>
              <w:rPr>
                <w:rFonts w:ascii="Calibri" w:hAnsi="Calibri"/>
                <w:b w:val="0"/>
                <w:sz w:val="19"/>
              </w:rPr>
              <w:t>Recorded syllable sequences</w:t>
            </w:r>
          </w:p>
        </w:tc>
      </w:tr>
      <w:tr>
        <w:trPr>
          <w:cantSplit/>
        </w:trPr>
        <w:tc>
          <w:tcPr>
            <w:tcW w:type="dxa" w:w="2232"/>
            <w:vAlign w:val="center"/>
          </w:tcPr>
          <w:p>
            <w:pPr>
              <w:keepNext w:val="0"/>
              <w:spacing w:after="0" w:before="0" w:line="240" w:lineRule="auto"/>
            </w:pPr>
            <w:r>
              <w:rPr>
                <w:rFonts w:ascii="Calibri" w:hAnsi="Calibri"/>
                <w:b w:val="0"/>
                <w:sz w:val="19"/>
              </w:rPr>
              <w:t>Honeybee WDD</w:t>
            </w:r>
          </w:p>
        </w:tc>
        <w:tc>
          <w:tcPr>
            <w:tcW w:type="dxa" w:w="5112"/>
            <w:vAlign w:val="center"/>
          </w:tcPr>
          <w:p>
            <w:pPr>
              <w:keepNext w:val="0"/>
              <w:spacing w:after="0" w:before="0" w:line="240" w:lineRule="auto"/>
            </w:pPr>
            <w:r>
              <w:rPr>
                <w:rFonts w:ascii="Calibri" w:hAnsi="Calibri"/>
                <w:b w:val="0"/>
                <w:sz w:val="19"/>
              </w:rPr>
              <w:t>Biorobotics​Lab/​WDD_​paper → Ground​Truth​Data/​GTAverage.csv</w:t>
            </w:r>
          </w:p>
        </w:tc>
        <w:tc>
          <w:tcPr>
            <w:tcW w:type="dxa" w:w="2880"/>
            <w:vAlign w:val="center"/>
          </w:tcPr>
          <w:p>
            <w:pPr>
              <w:keepNext w:val="0"/>
              <w:spacing w:after="0" w:before="0" w:line="240" w:lineRule="auto"/>
            </w:pPr>
            <w:r>
              <w:rPr>
                <w:rFonts w:ascii="Calibri" w:hAnsi="Calibri"/>
                <w:b w:val="0"/>
                <w:sz w:val="19"/>
              </w:rPr>
              <w:t>waggle direction sequence proxy</w:t>
            </w:r>
          </w:p>
        </w:tc>
      </w:tr>
      <w:tr>
        <w:trPr>
          <w:cantSplit/>
        </w:trPr>
        <w:tc>
          <w:tcPr>
            <w:tcW w:type="dxa" w:w="2232"/>
            <w:vAlign w:val="center"/>
          </w:tcPr>
          <w:p>
            <w:pPr>
              <w:keepNext w:val="0"/>
              <w:spacing w:after="0" w:before="0" w:line="240" w:lineRule="auto"/>
            </w:pPr>
            <w:r>
              <w:rPr>
                <w:rFonts w:ascii="Calibri" w:hAnsi="Calibri"/>
                <w:b w:val="0"/>
                <w:sz w:val="19"/>
              </w:rPr>
              <w:t>QSDB</w:t>
            </w:r>
          </w:p>
        </w:tc>
        <w:tc>
          <w:tcPr>
            <w:tcW w:type="dxa" w:w="5112"/>
            <w:vAlign w:val="center"/>
          </w:tcPr>
          <w:p>
            <w:pPr>
              <w:keepNext w:val="0"/>
              <w:spacing w:after="0" w:before="0" w:line="240" w:lineRule="auto"/>
            </w:pPr>
            <w:r>
              <w:rPr>
                <w:rFonts w:ascii="Calibri" w:hAnsi="Calibri"/>
                <w:b w:val="0"/>
                <w:sz w:val="19"/>
              </w:rPr>
              <w:t>qhmu/QSDB → data/​QSDB_​qsgroups.txt</w:t>
            </w:r>
          </w:p>
        </w:tc>
        <w:tc>
          <w:tcPr>
            <w:tcW w:type="dxa" w:w="2880"/>
            <w:vAlign w:val="center"/>
          </w:tcPr>
          <w:p>
            <w:pPr>
              <w:keepNext w:val="0"/>
              <w:spacing w:after="0" w:before="0" w:line="240" w:lineRule="auto"/>
            </w:pPr>
            <w:r>
              <w:rPr>
                <w:rFonts w:ascii="Calibri" w:hAnsi="Calibri"/>
                <w:b w:val="0"/>
                <w:sz w:val="19"/>
              </w:rPr>
              <w:t>signal-family × function graph</w:t>
            </w:r>
          </w:p>
        </w:tc>
      </w:tr>
      <w:tr>
        <w:trPr>
          <w:cantSplit/>
        </w:trPr>
        <w:tc>
          <w:tcPr>
            <w:tcW w:type="dxa" w:w="2232"/>
            <w:vAlign w:val="center"/>
          </w:tcPr>
          <w:p>
            <w:pPr>
              <w:keepNext w:val="0"/>
              <w:spacing w:after="0" w:before="0" w:line="240" w:lineRule="auto"/>
            </w:pPr>
            <w:r>
              <w:rPr>
                <w:rFonts w:ascii="Calibri" w:hAnsi="Calibri"/>
                <w:b w:val="0"/>
                <w:sz w:val="19"/>
              </w:rPr>
              <w:t>Berlin2019 waggle/follower</w:t>
            </w:r>
          </w:p>
        </w:tc>
        <w:tc>
          <w:tcPr>
            <w:tcW w:type="dxa" w:w="5112"/>
            <w:vAlign w:val="center"/>
          </w:tcPr>
          <w:p>
            <w:pPr>
              <w:keepNext w:val="0"/>
              <w:spacing w:after="0" w:before="0" w:line="240" w:lineRule="auto"/>
            </w:pPr>
            <w:r>
              <w:rPr>
                <w:rFonts w:ascii="Calibri" w:hAnsi="Calibri"/>
                <w:b w:val="0"/>
                <w:sz w:val="19"/>
              </w:rPr>
              <w:t>Zenodo 7928121</w:t>
            </w:r>
          </w:p>
        </w:tc>
        <w:tc>
          <w:tcPr>
            <w:tcW w:type="dxa" w:w="2880"/>
            <w:vAlign w:val="center"/>
          </w:tcPr>
          <w:p>
            <w:pPr>
              <w:keepNext w:val="0"/>
              <w:spacing w:after="0" w:before="0" w:line="240" w:lineRule="auto"/>
            </w:pPr>
            <w:r>
              <w:rPr>
                <w:rFonts w:ascii="Calibri" w:hAnsi="Calibri"/>
                <w:b w:val="0"/>
                <w:sz w:val="19"/>
              </w:rPr>
              <w:t>Related receiver / follower dataset</w:t>
            </w:r>
          </w:p>
        </w:tc>
      </w:tr>
    </w:tbl>
    <w:p>
      <w:pPr>
        <w:spacing w:before="100"/>
      </w:pPr>
      <w:r>
        <w:t>External data sources: Bengalese Finch / pomma and the Bengalese Finch Song Repository.</w:t>
      </w:r>
      <w:r>
        <w:t xml:space="preserve"> </w:t>
      </w:r>
      <w:hyperlink r:id="rId15">
        <w:r>
          <w:rPr>
            <w:u w:val="single"/>
          </w:rPr>
          <w:t>pomma</w:t>
        </w:r>
      </w:hyperlink>
      <w:r>
        <w:t xml:space="preserve"> · </w:t>
      </w:r>
      <w:hyperlink r:id="rId16">
        <w:r>
          <w:rPr>
            <w:u w:val="single"/>
          </w:rPr>
          <w:t>Bengalese Finch Song Repository</w:t>
        </w:r>
      </w:hyperlink>
    </w:p>
    <w:p>
      <w:r>
        <w:t>Waggle Dance Detection paper data and QSDB.</w:t>
      </w:r>
      <w:r>
        <w:t xml:space="preserve"> </w:t>
      </w:r>
      <w:hyperlink r:id="rId17">
        <w:r>
          <w:rPr>
            <w:u w:val="single"/>
          </w:rPr>
          <w:t>WDD paper data</w:t>
        </w:r>
      </w:hyperlink>
      <w:r>
        <w:t xml:space="preserve"> · </w:t>
      </w:r>
      <w:hyperlink r:id="rId18">
        <w:r>
          <w:rPr>
            <w:u w:val="single"/>
          </w:rPr>
          <w:t>QSDB</w:t>
        </w:r>
      </w:hyperlink>
    </w:p>
    <w:p>
      <w:r>
        <w:t>Berlin2019 waggle/follower data are a related source for receiver-response analysis; the reported directional analysis uses the WDD data identified above.</w:t>
      </w:r>
      <w:r>
        <w:t xml:space="preserve"> </w:t>
      </w:r>
      <w:hyperlink r:id="rId19">
        <w:r>
          <w:rPr>
            <w:u w:val="single"/>
          </w:rPr>
          <w:t>Zenodo 7928121</w:t>
        </w:r>
      </w:hyperlink>
    </w:p>
    <w:p>
      <w:pPr>
        <w:pStyle w:val="Heading1"/>
        <w:pageBreakBefore w:val="0"/>
      </w:pPr>
      <w:r>
        <w:t>5. Data geometry and parameter sharing</w:t>
      </w:r>
    </w:p>
    <w:p>
      <w:pPr>
        <w:pStyle w:val="Heading2"/>
      </w:pPr>
      <w:r>
        <w:t>5.1 WORLD-DATA-GEOMETRY-003 Dimension memory and transition-law heterogeneity</w:t>
      </w:r>
    </w:p>
    <w:p>
      <w:r>
        <w:t>Mechanism heterogeneity motivates evaluating specialization; effective dimension helps determine the capacity needed within each module. History can identify the active generator as well as reconstruct past state.</w:t>
      </w:r>
    </w:p>
    <w:p>
      <w:pPr>
        <w:pStyle w:val="Heading3"/>
      </w:pPr>
      <w:r>
        <w:t>5.1.1 Experimental factors</w:t>
      </w:r>
    </w:p>
    <w:p>
      <w:r>
        <w:t>WORLD-MOE-002 established a functional role for routing under heterogeneous laws. This factorial experiment isolates three properties of the generated data to test when a shared block or separate modules provide better predictions.</w:t>
      </w:r>
    </w:p>
    <w:p>
      <w:pPr>
        <w:pStyle w:val="ListBullet"/>
      </w:pPr>
      <w:r>
        <w:t>Intrinsic dimension: latent d=3 or d=14, with 20 observed dimensions. Observed PCA d95 is approximately 3 or 13, respectively.</w:t>
      </w:r>
    </w:p>
    <w:p>
      <w:pPr>
        <w:pStyle w:val="ListBullet"/>
      </w:pPr>
      <w:r>
        <w:t>Dynamical memory: first-order Markov dynamics or four-step memory.</w:t>
      </w:r>
    </w:p>
    <w:p>
      <w:pPr>
        <w:pStyle w:val="ListBullet"/>
      </w:pPr>
      <w:r>
        <w:t>Generator heterogeneity: one transition law or four hidden law families. Learned models receive no law-identity labels.</w:t>
      </w:r>
    </w:p>
    <w:p>
      <w:r>
        <w:t>Each of the eight conditions is trained with two initializations. MonoBlock has approximately 10,688 parameters and the four-expert StateMoE approximately 10,332. Training minimizes next-state prediction loss; evaluation includes one-step error and four-step autoregressive rollout.</w:t>
      </w:r>
    </w:p>
    <w:p>
      <w:pPr>
        <w:pStyle w:val="Heading3"/>
      </w:pPr>
      <w:r>
        <w:t>5.1.2 Results under a matched total parameter budget</w:t>
      </w:r>
    </w:p>
    <w:p>
      <w:pPr>
        <w:pStyle w:val="Caption"/>
        <w:keepNext/>
      </w:pPr>
      <w:r>
        <w:t>Table 20. Factorial dimension memory and heterogeneity comparison.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Freedom</w:t>
            </w:r>
          </w:p>
        </w:tc>
        <w:tc>
          <w:tcPr>
            <w:tcW w:type="dxa" w:w="1722"/>
            <w:vAlign w:val="center"/>
            <w:shd w:fill="F2F2F2"/>
          </w:tcPr>
          <w:p>
            <w:pPr>
              <w:keepNext/>
              <w:spacing w:after="0" w:before="0" w:line="240" w:lineRule="auto"/>
            </w:pPr>
            <w:r>
              <w:rPr>
                <w:rFonts w:ascii="Calibri" w:hAnsi="Calibri"/>
                <w:b/>
                <w:sz w:val="19"/>
              </w:rPr>
              <w:t>Memory</w:t>
            </w:r>
          </w:p>
        </w:tc>
        <w:tc>
          <w:tcPr>
            <w:tcW w:type="dxa" w:w="1722"/>
            <w:vAlign w:val="center"/>
            <w:shd w:fill="F2F2F2"/>
          </w:tcPr>
          <w:p>
            <w:pPr>
              <w:keepNext/>
              <w:spacing w:after="0" w:before="0" w:line="240" w:lineRule="auto"/>
            </w:pPr>
            <w:r>
              <w:rPr>
                <w:rFonts w:ascii="Calibri" w:hAnsi="Calibri"/>
                <w:b/>
                <w:sz w:val="19"/>
              </w:rPr>
              <w:t>Generator</w:t>
            </w:r>
          </w:p>
        </w:tc>
        <w:tc>
          <w:tcPr>
            <w:tcW w:type="dxa" w:w="1722"/>
            <w:vAlign w:val="center"/>
            <w:shd w:fill="F2F2F2"/>
          </w:tcPr>
          <w:p>
            <w:pPr>
              <w:keepNext/>
              <w:spacing w:after="0" w:before="0" w:line="240" w:lineRule="auto"/>
            </w:pPr>
            <w:r>
              <w:rPr>
                <w:rFonts w:ascii="Calibri" w:hAnsi="Calibri"/>
                <w:b/>
                <w:sz w:val="19"/>
              </w:rPr>
              <w:t>d95</w:t>
            </w:r>
          </w:p>
        </w:tc>
        <w:tc>
          <w:tcPr>
            <w:tcW w:type="dxa" w:w="1722"/>
            <w:vAlign w:val="center"/>
            <w:shd w:fill="F2F2F2"/>
          </w:tcPr>
          <w:p>
            <w:pPr>
              <w:keepNext/>
              <w:spacing w:after="0" w:before="0" w:line="240" w:lineRule="auto"/>
            </w:pPr>
            <w:r>
              <w:rPr>
                <w:rFonts w:ascii="Calibri" w:hAnsi="Calibri"/>
                <w:b/>
                <w:sz w:val="19"/>
              </w:rPr>
              <w:t>History gain</w:t>
            </w:r>
          </w:p>
        </w:tc>
        <w:tc>
          <w:tcPr>
            <w:tcW w:type="dxa" w:w="1722"/>
            <w:vAlign w:val="center"/>
            <w:shd w:fill="F2F2F2"/>
          </w:tcPr>
          <w:p>
            <w:pPr>
              <w:keepNext/>
              <w:spacing w:after="0" w:before="0" w:line="240" w:lineRule="auto"/>
            </w:pPr>
            <w:r>
              <w:rPr>
                <w:rFonts w:ascii="Calibri" w:hAnsi="Calibri"/>
                <w:b/>
                <w:sz w:val="19"/>
              </w:rPr>
              <w:t>MoE rollout gain</w:t>
            </w:r>
          </w:p>
        </w:tc>
      </w:tr>
      <w:tr>
        <w:trPr>
          <w:cantSplit/>
        </w:trPr>
        <w:tc>
          <w:tcPr>
            <w:tcW w:type="dxa" w:w="1613"/>
            <w:vAlign w:val="center"/>
          </w:tcPr>
          <w:p>
            <w:pPr>
              <w:keepNext w:val="0"/>
              <w:spacing w:after="0" w:before="0" w:line="240" w:lineRule="auto"/>
            </w:pPr>
            <w:r>
              <w:rPr>
                <w:rFonts w:ascii="Calibri" w:hAnsi="Calibri"/>
                <w:b w:val="0"/>
                <w:sz w:val="19"/>
              </w:rPr>
              <w:t>d=3</w:t>
            </w:r>
          </w:p>
        </w:tc>
        <w:tc>
          <w:tcPr>
            <w:tcW w:type="dxa" w:w="1722"/>
            <w:vAlign w:val="center"/>
          </w:tcPr>
          <w:p>
            <w:pPr>
              <w:keepNext w:val="0"/>
              <w:spacing w:after="0" w:before="0" w:line="240" w:lineRule="auto"/>
            </w:pPr>
            <w:r>
              <w:rPr>
                <w:rFonts w:ascii="Calibri" w:hAnsi="Calibri"/>
                <w:b w:val="0"/>
                <w:sz w:val="19"/>
              </w:rPr>
              <w:t>m=1</w:t>
            </w:r>
          </w:p>
        </w:tc>
        <w:tc>
          <w:tcPr>
            <w:tcW w:type="dxa" w:w="1722"/>
            <w:vAlign w:val="center"/>
          </w:tcPr>
          <w:p>
            <w:pPr>
              <w:keepNext w:val="0"/>
              <w:spacing w:after="0" w:before="0" w:line="240" w:lineRule="auto"/>
            </w:pPr>
            <w:r>
              <w:rPr>
                <w:rFonts w:ascii="Calibri" w:hAnsi="Calibri"/>
                <w:b w:val="0"/>
                <w:sz w:val="19"/>
              </w:rPr>
              <w:t>laws=1</w:t>
            </w:r>
          </w:p>
        </w:tc>
        <w:tc>
          <w:tcPr>
            <w:tcW w:type="dxa" w:w="1722"/>
            <w:vAlign w:val="center"/>
          </w:tcPr>
          <w:p>
            <w:pPr>
              <w:keepNext w:val="0"/>
              <w:spacing w:after="0" w:before="0" w:line="240" w:lineRule="auto"/>
              <w:jc w:val="right"/>
            </w:pPr>
            <w:r>
              <w:rPr>
                <w:rFonts w:ascii="Calibri" w:hAnsi="Calibri"/>
                <w:b w:val="0"/>
                <w:sz w:val="19"/>
              </w:rPr>
              <w:t>3</w:t>
            </w:r>
          </w:p>
        </w:tc>
        <w:tc>
          <w:tcPr>
            <w:tcW w:type="dxa" w:w="1722"/>
            <w:vAlign w:val="center"/>
          </w:tcPr>
          <w:p>
            <w:pPr>
              <w:keepNext w:val="0"/>
              <w:spacing w:after="0" w:before="0" w:line="240" w:lineRule="auto"/>
              <w:jc w:val="right"/>
            </w:pPr>
            <w:r>
              <w:rPr>
                <w:rFonts w:ascii="Calibri" w:hAnsi="Calibri"/>
                <w:b w:val="0"/>
                <w:sz w:val="19"/>
              </w:rPr>
              <w:t>-5.5%</w:t>
            </w:r>
          </w:p>
        </w:tc>
        <w:tc>
          <w:tcPr>
            <w:tcW w:type="dxa" w:w="1722"/>
            <w:vAlign w:val="center"/>
          </w:tcPr>
          <w:p>
            <w:pPr>
              <w:keepNext w:val="0"/>
              <w:spacing w:after="0" w:before="0" w:line="240" w:lineRule="auto"/>
              <w:jc w:val="right"/>
            </w:pPr>
            <w:r>
              <w:rPr>
                <w:rFonts w:ascii="Calibri" w:hAnsi="Calibri"/>
                <w:b w:val="0"/>
                <w:sz w:val="19"/>
              </w:rPr>
              <w:t>+0.3%</w:t>
            </w:r>
          </w:p>
        </w:tc>
      </w:tr>
      <w:tr>
        <w:trPr>
          <w:cantSplit/>
        </w:trPr>
        <w:tc>
          <w:tcPr>
            <w:tcW w:type="dxa" w:w="1613"/>
            <w:vAlign w:val="center"/>
          </w:tcPr>
          <w:p>
            <w:pPr>
              <w:keepNext w:val="0"/>
              <w:spacing w:after="0" w:before="0" w:line="240" w:lineRule="auto"/>
            </w:pPr>
            <w:r>
              <w:rPr>
                <w:rFonts w:ascii="Calibri" w:hAnsi="Calibri"/>
                <w:b w:val="0"/>
                <w:sz w:val="19"/>
              </w:rPr>
              <w:t>d=3</w:t>
            </w:r>
          </w:p>
        </w:tc>
        <w:tc>
          <w:tcPr>
            <w:tcW w:type="dxa" w:w="1722"/>
            <w:vAlign w:val="center"/>
          </w:tcPr>
          <w:p>
            <w:pPr>
              <w:keepNext w:val="0"/>
              <w:spacing w:after="0" w:before="0" w:line="240" w:lineRule="auto"/>
            </w:pPr>
            <w:r>
              <w:rPr>
                <w:rFonts w:ascii="Calibri" w:hAnsi="Calibri"/>
                <w:b w:val="0"/>
                <w:sz w:val="19"/>
              </w:rPr>
              <w:t>m=1</w:t>
            </w:r>
          </w:p>
        </w:tc>
        <w:tc>
          <w:tcPr>
            <w:tcW w:type="dxa" w:w="1722"/>
            <w:vAlign w:val="center"/>
          </w:tcPr>
          <w:p>
            <w:pPr>
              <w:keepNext w:val="0"/>
              <w:spacing w:after="0" w:before="0" w:line="240" w:lineRule="auto"/>
            </w:pPr>
            <w:r>
              <w:rPr>
                <w:rFonts w:ascii="Calibri" w:hAnsi="Calibri"/>
                <w:b w:val="0"/>
                <w:sz w:val="19"/>
              </w:rPr>
              <w:t>laws=4</w:t>
            </w:r>
          </w:p>
        </w:tc>
        <w:tc>
          <w:tcPr>
            <w:tcW w:type="dxa" w:w="1722"/>
            <w:vAlign w:val="center"/>
          </w:tcPr>
          <w:p>
            <w:pPr>
              <w:keepNext w:val="0"/>
              <w:spacing w:after="0" w:before="0" w:line="240" w:lineRule="auto"/>
              <w:jc w:val="right"/>
            </w:pPr>
            <w:r>
              <w:rPr>
                <w:rFonts w:ascii="Calibri" w:hAnsi="Calibri"/>
                <w:b w:val="0"/>
                <w:sz w:val="19"/>
              </w:rPr>
              <w:t>3</w:t>
            </w:r>
          </w:p>
        </w:tc>
        <w:tc>
          <w:tcPr>
            <w:tcW w:type="dxa" w:w="1722"/>
            <w:vAlign w:val="center"/>
          </w:tcPr>
          <w:p>
            <w:pPr>
              <w:keepNext w:val="0"/>
              <w:spacing w:after="0" w:before="0" w:line="240" w:lineRule="auto"/>
              <w:jc w:val="right"/>
            </w:pPr>
            <w:r>
              <w:rPr>
                <w:rFonts w:ascii="Calibri" w:hAnsi="Calibri"/>
                <w:b w:val="0"/>
                <w:sz w:val="19"/>
              </w:rPr>
              <w:t>31.4%</w:t>
            </w:r>
          </w:p>
        </w:tc>
        <w:tc>
          <w:tcPr>
            <w:tcW w:type="dxa" w:w="1722"/>
            <w:vAlign w:val="center"/>
          </w:tcPr>
          <w:p>
            <w:pPr>
              <w:keepNext w:val="0"/>
              <w:spacing w:after="0" w:before="0" w:line="240" w:lineRule="auto"/>
              <w:jc w:val="right"/>
            </w:pPr>
            <w:r>
              <w:rPr>
                <w:rFonts w:ascii="Calibri" w:hAnsi="Calibri"/>
                <w:b w:val="0"/>
                <w:sz w:val="19"/>
              </w:rPr>
              <w:t>-9.1%</w:t>
            </w:r>
          </w:p>
        </w:tc>
      </w:tr>
      <w:tr>
        <w:trPr>
          <w:cantSplit/>
        </w:trPr>
        <w:tc>
          <w:tcPr>
            <w:tcW w:type="dxa" w:w="1613"/>
            <w:vAlign w:val="center"/>
          </w:tcPr>
          <w:p>
            <w:pPr>
              <w:keepNext w:val="0"/>
              <w:spacing w:after="0" w:before="0" w:line="240" w:lineRule="auto"/>
            </w:pPr>
            <w:r>
              <w:rPr>
                <w:rFonts w:ascii="Calibri" w:hAnsi="Calibri"/>
                <w:b w:val="0"/>
                <w:sz w:val="19"/>
              </w:rPr>
              <w:t>d=3</w:t>
            </w:r>
          </w:p>
        </w:tc>
        <w:tc>
          <w:tcPr>
            <w:tcW w:type="dxa" w:w="1722"/>
            <w:vAlign w:val="center"/>
          </w:tcPr>
          <w:p>
            <w:pPr>
              <w:keepNext w:val="0"/>
              <w:spacing w:after="0" w:before="0" w:line="240" w:lineRule="auto"/>
            </w:pPr>
            <w:r>
              <w:rPr>
                <w:rFonts w:ascii="Calibri" w:hAnsi="Calibri"/>
                <w:b w:val="0"/>
                <w:sz w:val="19"/>
              </w:rPr>
              <w:t>m=4</w:t>
            </w:r>
          </w:p>
        </w:tc>
        <w:tc>
          <w:tcPr>
            <w:tcW w:type="dxa" w:w="1722"/>
            <w:vAlign w:val="center"/>
          </w:tcPr>
          <w:p>
            <w:pPr>
              <w:keepNext w:val="0"/>
              <w:spacing w:after="0" w:before="0" w:line="240" w:lineRule="auto"/>
            </w:pPr>
            <w:r>
              <w:rPr>
                <w:rFonts w:ascii="Calibri" w:hAnsi="Calibri"/>
                <w:b w:val="0"/>
                <w:sz w:val="19"/>
              </w:rPr>
              <w:t>laws=1</w:t>
            </w:r>
          </w:p>
        </w:tc>
        <w:tc>
          <w:tcPr>
            <w:tcW w:type="dxa" w:w="1722"/>
            <w:vAlign w:val="center"/>
          </w:tcPr>
          <w:p>
            <w:pPr>
              <w:keepNext w:val="0"/>
              <w:spacing w:after="0" w:before="0" w:line="240" w:lineRule="auto"/>
              <w:jc w:val="right"/>
            </w:pPr>
            <w:r>
              <w:rPr>
                <w:rFonts w:ascii="Calibri" w:hAnsi="Calibri"/>
                <w:b w:val="0"/>
                <w:sz w:val="19"/>
              </w:rPr>
              <w:t>3</w:t>
            </w:r>
          </w:p>
        </w:tc>
        <w:tc>
          <w:tcPr>
            <w:tcW w:type="dxa" w:w="1722"/>
            <w:vAlign w:val="center"/>
          </w:tcPr>
          <w:p>
            <w:pPr>
              <w:keepNext w:val="0"/>
              <w:spacing w:after="0" w:before="0" w:line="240" w:lineRule="auto"/>
              <w:jc w:val="right"/>
            </w:pPr>
            <w:r>
              <w:rPr>
                <w:rFonts w:ascii="Calibri" w:hAnsi="Calibri"/>
                <w:b w:val="0"/>
                <w:sz w:val="19"/>
              </w:rPr>
              <w:t>-0.7%</w:t>
            </w:r>
          </w:p>
        </w:tc>
        <w:tc>
          <w:tcPr>
            <w:tcW w:type="dxa" w:w="1722"/>
            <w:vAlign w:val="center"/>
          </w:tcPr>
          <w:p>
            <w:pPr>
              <w:keepNext w:val="0"/>
              <w:spacing w:after="0" w:before="0" w:line="240" w:lineRule="auto"/>
              <w:jc w:val="right"/>
            </w:pPr>
            <w:r>
              <w:rPr>
                <w:rFonts w:ascii="Calibri" w:hAnsi="Calibri"/>
                <w:b w:val="0"/>
                <w:sz w:val="19"/>
              </w:rPr>
              <w:t>-0.0%</w:t>
            </w:r>
          </w:p>
        </w:tc>
      </w:tr>
      <w:tr>
        <w:trPr>
          <w:cantSplit/>
        </w:trPr>
        <w:tc>
          <w:tcPr>
            <w:tcW w:type="dxa" w:w="1613"/>
            <w:vAlign w:val="center"/>
          </w:tcPr>
          <w:p>
            <w:pPr>
              <w:keepNext w:val="0"/>
              <w:spacing w:after="0" w:before="0" w:line="240" w:lineRule="auto"/>
            </w:pPr>
            <w:r>
              <w:rPr>
                <w:rFonts w:ascii="Calibri" w:hAnsi="Calibri"/>
                <w:b w:val="0"/>
                <w:sz w:val="19"/>
              </w:rPr>
              <w:t>d=3</w:t>
            </w:r>
          </w:p>
        </w:tc>
        <w:tc>
          <w:tcPr>
            <w:tcW w:type="dxa" w:w="1722"/>
            <w:vAlign w:val="center"/>
          </w:tcPr>
          <w:p>
            <w:pPr>
              <w:keepNext w:val="0"/>
              <w:spacing w:after="0" w:before="0" w:line="240" w:lineRule="auto"/>
            </w:pPr>
            <w:r>
              <w:rPr>
                <w:rFonts w:ascii="Calibri" w:hAnsi="Calibri"/>
                <w:b w:val="0"/>
                <w:sz w:val="19"/>
              </w:rPr>
              <w:t>m=4</w:t>
            </w:r>
          </w:p>
        </w:tc>
        <w:tc>
          <w:tcPr>
            <w:tcW w:type="dxa" w:w="1722"/>
            <w:vAlign w:val="center"/>
          </w:tcPr>
          <w:p>
            <w:pPr>
              <w:keepNext w:val="0"/>
              <w:spacing w:after="0" w:before="0" w:line="240" w:lineRule="auto"/>
            </w:pPr>
            <w:r>
              <w:rPr>
                <w:rFonts w:ascii="Calibri" w:hAnsi="Calibri"/>
                <w:b w:val="0"/>
                <w:sz w:val="19"/>
              </w:rPr>
              <w:t>laws=4</w:t>
            </w:r>
          </w:p>
        </w:tc>
        <w:tc>
          <w:tcPr>
            <w:tcW w:type="dxa" w:w="1722"/>
            <w:vAlign w:val="center"/>
          </w:tcPr>
          <w:p>
            <w:pPr>
              <w:keepNext w:val="0"/>
              <w:spacing w:after="0" w:before="0" w:line="240" w:lineRule="auto"/>
              <w:jc w:val="right"/>
            </w:pPr>
            <w:r>
              <w:rPr>
                <w:rFonts w:ascii="Calibri" w:hAnsi="Calibri"/>
                <w:b w:val="0"/>
                <w:sz w:val="19"/>
              </w:rPr>
              <w:t>3</w:t>
            </w:r>
          </w:p>
        </w:tc>
        <w:tc>
          <w:tcPr>
            <w:tcW w:type="dxa" w:w="1722"/>
            <w:vAlign w:val="center"/>
          </w:tcPr>
          <w:p>
            <w:pPr>
              <w:keepNext w:val="0"/>
              <w:spacing w:after="0" w:before="0" w:line="240" w:lineRule="auto"/>
              <w:jc w:val="right"/>
            </w:pPr>
            <w:r>
              <w:rPr>
                <w:rFonts w:ascii="Calibri" w:hAnsi="Calibri"/>
                <w:b w:val="0"/>
                <w:sz w:val="19"/>
              </w:rPr>
              <w:t>53.0%</w:t>
            </w:r>
          </w:p>
        </w:tc>
        <w:tc>
          <w:tcPr>
            <w:tcW w:type="dxa" w:w="1722"/>
            <w:vAlign w:val="center"/>
          </w:tcPr>
          <w:p>
            <w:pPr>
              <w:keepNext w:val="0"/>
              <w:spacing w:after="0" w:before="0" w:line="240" w:lineRule="auto"/>
              <w:jc w:val="right"/>
            </w:pPr>
            <w:r>
              <w:rPr>
                <w:rFonts w:ascii="Calibri" w:hAnsi="Calibri"/>
                <w:b w:val="0"/>
                <w:sz w:val="19"/>
              </w:rPr>
              <w:t>-13.1%</w:t>
            </w:r>
          </w:p>
        </w:tc>
      </w:tr>
      <w:tr>
        <w:trPr>
          <w:cantSplit/>
        </w:trPr>
        <w:tc>
          <w:tcPr>
            <w:tcW w:type="dxa" w:w="1613"/>
            <w:vAlign w:val="center"/>
          </w:tcPr>
          <w:p>
            <w:pPr>
              <w:keepNext w:val="0"/>
              <w:spacing w:after="0" w:before="0" w:line="240" w:lineRule="auto"/>
            </w:pPr>
            <w:r>
              <w:rPr>
                <w:rFonts w:ascii="Calibri" w:hAnsi="Calibri"/>
                <w:b w:val="0"/>
                <w:sz w:val="19"/>
              </w:rPr>
              <w:t>d=14</w:t>
            </w:r>
          </w:p>
        </w:tc>
        <w:tc>
          <w:tcPr>
            <w:tcW w:type="dxa" w:w="1722"/>
            <w:vAlign w:val="center"/>
          </w:tcPr>
          <w:p>
            <w:pPr>
              <w:keepNext w:val="0"/>
              <w:spacing w:after="0" w:before="0" w:line="240" w:lineRule="auto"/>
            </w:pPr>
            <w:r>
              <w:rPr>
                <w:rFonts w:ascii="Calibri" w:hAnsi="Calibri"/>
                <w:b w:val="0"/>
                <w:sz w:val="19"/>
              </w:rPr>
              <w:t>m=1</w:t>
            </w:r>
          </w:p>
        </w:tc>
        <w:tc>
          <w:tcPr>
            <w:tcW w:type="dxa" w:w="1722"/>
            <w:vAlign w:val="center"/>
          </w:tcPr>
          <w:p>
            <w:pPr>
              <w:keepNext w:val="0"/>
              <w:spacing w:after="0" w:before="0" w:line="240" w:lineRule="auto"/>
            </w:pPr>
            <w:r>
              <w:rPr>
                <w:rFonts w:ascii="Calibri" w:hAnsi="Calibri"/>
                <w:b w:val="0"/>
                <w:sz w:val="19"/>
              </w:rPr>
              <w:t>laws=1</w:t>
            </w:r>
          </w:p>
        </w:tc>
        <w:tc>
          <w:tcPr>
            <w:tcW w:type="dxa" w:w="1722"/>
            <w:vAlign w:val="center"/>
          </w:tcPr>
          <w:p>
            <w:pPr>
              <w:keepNext w:val="0"/>
              <w:spacing w:after="0" w:before="0" w:line="240" w:lineRule="auto"/>
              <w:jc w:val="right"/>
            </w:pPr>
            <w:r>
              <w:rPr>
                <w:rFonts w:ascii="Calibri" w:hAnsi="Calibri"/>
                <w:b w:val="0"/>
                <w:sz w:val="19"/>
              </w:rPr>
              <w:t>13</w:t>
            </w:r>
          </w:p>
        </w:tc>
        <w:tc>
          <w:tcPr>
            <w:tcW w:type="dxa" w:w="1722"/>
            <w:vAlign w:val="center"/>
          </w:tcPr>
          <w:p>
            <w:pPr>
              <w:keepNext w:val="0"/>
              <w:spacing w:after="0" w:before="0" w:line="240" w:lineRule="auto"/>
              <w:jc w:val="right"/>
            </w:pPr>
            <w:r>
              <w:rPr>
                <w:rFonts w:ascii="Calibri" w:hAnsi="Calibri"/>
                <w:b w:val="0"/>
                <w:sz w:val="19"/>
              </w:rPr>
              <w:t>-2.3%</w:t>
            </w:r>
          </w:p>
        </w:tc>
        <w:tc>
          <w:tcPr>
            <w:tcW w:type="dxa" w:w="1722"/>
            <w:vAlign w:val="center"/>
          </w:tcPr>
          <w:p>
            <w:pPr>
              <w:keepNext w:val="0"/>
              <w:spacing w:after="0" w:before="0" w:line="240" w:lineRule="auto"/>
              <w:jc w:val="right"/>
            </w:pPr>
            <w:r>
              <w:rPr>
                <w:rFonts w:ascii="Calibri" w:hAnsi="Calibri"/>
                <w:b w:val="0"/>
                <w:sz w:val="19"/>
              </w:rPr>
              <w:t>-33.6%</w:t>
            </w:r>
          </w:p>
        </w:tc>
      </w:tr>
      <w:tr>
        <w:trPr>
          <w:cantSplit/>
        </w:trPr>
        <w:tc>
          <w:tcPr>
            <w:tcW w:type="dxa" w:w="1613"/>
            <w:vAlign w:val="center"/>
          </w:tcPr>
          <w:p>
            <w:pPr>
              <w:keepNext w:val="0"/>
              <w:spacing w:after="0" w:before="0" w:line="240" w:lineRule="auto"/>
            </w:pPr>
            <w:r>
              <w:rPr>
                <w:rFonts w:ascii="Calibri" w:hAnsi="Calibri"/>
                <w:b w:val="0"/>
                <w:sz w:val="19"/>
              </w:rPr>
              <w:t>d=14</w:t>
            </w:r>
          </w:p>
        </w:tc>
        <w:tc>
          <w:tcPr>
            <w:tcW w:type="dxa" w:w="1722"/>
            <w:vAlign w:val="center"/>
          </w:tcPr>
          <w:p>
            <w:pPr>
              <w:keepNext w:val="0"/>
              <w:spacing w:after="0" w:before="0" w:line="240" w:lineRule="auto"/>
            </w:pPr>
            <w:r>
              <w:rPr>
                <w:rFonts w:ascii="Calibri" w:hAnsi="Calibri"/>
                <w:b w:val="0"/>
                <w:sz w:val="19"/>
              </w:rPr>
              <w:t>m=1</w:t>
            </w:r>
          </w:p>
        </w:tc>
        <w:tc>
          <w:tcPr>
            <w:tcW w:type="dxa" w:w="1722"/>
            <w:vAlign w:val="center"/>
          </w:tcPr>
          <w:p>
            <w:pPr>
              <w:keepNext w:val="0"/>
              <w:spacing w:after="0" w:before="0" w:line="240" w:lineRule="auto"/>
            </w:pPr>
            <w:r>
              <w:rPr>
                <w:rFonts w:ascii="Calibri" w:hAnsi="Calibri"/>
                <w:b w:val="0"/>
                <w:sz w:val="19"/>
              </w:rPr>
              <w:t>laws=4</w:t>
            </w:r>
          </w:p>
        </w:tc>
        <w:tc>
          <w:tcPr>
            <w:tcW w:type="dxa" w:w="1722"/>
            <w:vAlign w:val="center"/>
          </w:tcPr>
          <w:p>
            <w:pPr>
              <w:keepNext w:val="0"/>
              <w:spacing w:after="0" w:before="0" w:line="240" w:lineRule="auto"/>
              <w:jc w:val="right"/>
            </w:pPr>
            <w:r>
              <w:rPr>
                <w:rFonts w:ascii="Calibri" w:hAnsi="Calibri"/>
                <w:b w:val="0"/>
                <w:sz w:val="19"/>
              </w:rPr>
              <w:t>13</w:t>
            </w:r>
          </w:p>
        </w:tc>
        <w:tc>
          <w:tcPr>
            <w:tcW w:type="dxa" w:w="1722"/>
            <w:vAlign w:val="center"/>
          </w:tcPr>
          <w:p>
            <w:pPr>
              <w:keepNext w:val="0"/>
              <w:spacing w:after="0" w:before="0" w:line="240" w:lineRule="auto"/>
              <w:jc w:val="right"/>
            </w:pPr>
            <w:r>
              <w:rPr>
                <w:rFonts w:ascii="Calibri" w:hAnsi="Calibri"/>
                <w:b w:val="0"/>
                <w:sz w:val="19"/>
              </w:rPr>
              <w:t>39.7%</w:t>
            </w:r>
          </w:p>
        </w:tc>
        <w:tc>
          <w:tcPr>
            <w:tcW w:type="dxa" w:w="1722"/>
            <w:vAlign w:val="center"/>
          </w:tcPr>
          <w:p>
            <w:pPr>
              <w:keepNext w:val="0"/>
              <w:spacing w:after="0" w:before="0" w:line="240" w:lineRule="auto"/>
              <w:jc w:val="right"/>
            </w:pPr>
            <w:r>
              <w:rPr>
                <w:rFonts w:ascii="Calibri" w:hAnsi="Calibri"/>
                <w:b w:val="0"/>
                <w:sz w:val="19"/>
              </w:rPr>
              <w:t>-28.2%</w:t>
            </w:r>
          </w:p>
        </w:tc>
      </w:tr>
      <w:tr>
        <w:trPr>
          <w:cantSplit/>
        </w:trPr>
        <w:tc>
          <w:tcPr>
            <w:tcW w:type="dxa" w:w="1613"/>
            <w:vAlign w:val="center"/>
          </w:tcPr>
          <w:p>
            <w:pPr>
              <w:keepNext w:val="0"/>
              <w:spacing w:after="0" w:before="0" w:line="240" w:lineRule="auto"/>
            </w:pPr>
            <w:r>
              <w:rPr>
                <w:rFonts w:ascii="Calibri" w:hAnsi="Calibri"/>
                <w:b w:val="0"/>
                <w:sz w:val="19"/>
              </w:rPr>
              <w:t>d=14</w:t>
            </w:r>
          </w:p>
        </w:tc>
        <w:tc>
          <w:tcPr>
            <w:tcW w:type="dxa" w:w="1722"/>
            <w:vAlign w:val="center"/>
          </w:tcPr>
          <w:p>
            <w:pPr>
              <w:keepNext w:val="0"/>
              <w:spacing w:after="0" w:before="0" w:line="240" w:lineRule="auto"/>
            </w:pPr>
            <w:r>
              <w:rPr>
                <w:rFonts w:ascii="Calibri" w:hAnsi="Calibri"/>
                <w:b w:val="0"/>
                <w:sz w:val="19"/>
              </w:rPr>
              <w:t>m=4</w:t>
            </w:r>
          </w:p>
        </w:tc>
        <w:tc>
          <w:tcPr>
            <w:tcW w:type="dxa" w:w="1722"/>
            <w:vAlign w:val="center"/>
          </w:tcPr>
          <w:p>
            <w:pPr>
              <w:keepNext w:val="0"/>
              <w:spacing w:after="0" w:before="0" w:line="240" w:lineRule="auto"/>
            </w:pPr>
            <w:r>
              <w:rPr>
                <w:rFonts w:ascii="Calibri" w:hAnsi="Calibri"/>
                <w:b w:val="0"/>
                <w:sz w:val="19"/>
              </w:rPr>
              <w:t>laws=1</w:t>
            </w:r>
          </w:p>
        </w:tc>
        <w:tc>
          <w:tcPr>
            <w:tcW w:type="dxa" w:w="1722"/>
            <w:vAlign w:val="center"/>
          </w:tcPr>
          <w:p>
            <w:pPr>
              <w:keepNext w:val="0"/>
              <w:spacing w:after="0" w:before="0" w:line="240" w:lineRule="auto"/>
              <w:jc w:val="right"/>
            </w:pPr>
            <w:r>
              <w:rPr>
                <w:rFonts w:ascii="Calibri" w:hAnsi="Calibri"/>
                <w:b w:val="0"/>
                <w:sz w:val="19"/>
              </w:rPr>
              <w:t>13</w:t>
            </w:r>
          </w:p>
        </w:tc>
        <w:tc>
          <w:tcPr>
            <w:tcW w:type="dxa" w:w="1722"/>
            <w:vAlign w:val="center"/>
          </w:tcPr>
          <w:p>
            <w:pPr>
              <w:keepNext w:val="0"/>
              <w:spacing w:after="0" w:before="0" w:line="240" w:lineRule="auto"/>
              <w:jc w:val="right"/>
            </w:pPr>
            <w:r>
              <w:rPr>
                <w:rFonts w:ascii="Calibri" w:hAnsi="Calibri"/>
                <w:b w:val="0"/>
                <w:sz w:val="19"/>
              </w:rPr>
              <w:t>3.3%</w:t>
            </w:r>
          </w:p>
        </w:tc>
        <w:tc>
          <w:tcPr>
            <w:tcW w:type="dxa" w:w="1722"/>
            <w:vAlign w:val="center"/>
          </w:tcPr>
          <w:p>
            <w:pPr>
              <w:keepNext w:val="0"/>
              <w:spacing w:after="0" w:before="0" w:line="240" w:lineRule="auto"/>
              <w:jc w:val="right"/>
            </w:pPr>
            <w:r>
              <w:rPr>
                <w:rFonts w:ascii="Calibri" w:hAnsi="Calibri"/>
                <w:b w:val="0"/>
                <w:sz w:val="19"/>
              </w:rPr>
              <w:t>-52.9%</w:t>
            </w:r>
          </w:p>
        </w:tc>
      </w:tr>
      <w:tr>
        <w:trPr>
          <w:cantSplit/>
        </w:trPr>
        <w:tc>
          <w:tcPr>
            <w:tcW w:type="dxa" w:w="1613"/>
            <w:vAlign w:val="center"/>
          </w:tcPr>
          <w:p>
            <w:pPr>
              <w:keepNext/>
              <w:spacing w:after="0" w:before="0" w:line="240" w:lineRule="auto"/>
            </w:pPr>
            <w:r>
              <w:rPr>
                <w:rFonts w:ascii="Calibri" w:hAnsi="Calibri"/>
                <w:b w:val="0"/>
                <w:sz w:val="19"/>
              </w:rPr>
              <w:t>d=14</w:t>
            </w:r>
          </w:p>
        </w:tc>
        <w:tc>
          <w:tcPr>
            <w:tcW w:type="dxa" w:w="1722"/>
            <w:vAlign w:val="center"/>
          </w:tcPr>
          <w:p>
            <w:pPr>
              <w:keepNext/>
              <w:spacing w:after="0" w:before="0" w:line="240" w:lineRule="auto"/>
            </w:pPr>
            <w:r>
              <w:rPr>
                <w:rFonts w:ascii="Calibri" w:hAnsi="Calibri"/>
                <w:b w:val="0"/>
                <w:sz w:val="19"/>
              </w:rPr>
              <w:t>m=4</w:t>
            </w:r>
          </w:p>
        </w:tc>
        <w:tc>
          <w:tcPr>
            <w:tcW w:type="dxa" w:w="1722"/>
            <w:vAlign w:val="center"/>
          </w:tcPr>
          <w:p>
            <w:pPr>
              <w:keepNext/>
              <w:spacing w:after="0" w:before="0" w:line="240" w:lineRule="auto"/>
            </w:pPr>
            <w:r>
              <w:rPr>
                <w:rFonts w:ascii="Calibri" w:hAnsi="Calibri"/>
                <w:b w:val="0"/>
                <w:sz w:val="19"/>
              </w:rPr>
              <w:t>laws=4</w:t>
            </w:r>
          </w:p>
        </w:tc>
        <w:tc>
          <w:tcPr>
            <w:tcW w:type="dxa" w:w="1722"/>
            <w:vAlign w:val="center"/>
          </w:tcPr>
          <w:p>
            <w:pPr>
              <w:keepNext/>
              <w:spacing w:after="0" w:before="0" w:line="240" w:lineRule="auto"/>
              <w:jc w:val="right"/>
            </w:pPr>
            <w:r>
              <w:rPr>
                <w:rFonts w:ascii="Calibri" w:hAnsi="Calibri"/>
                <w:b w:val="0"/>
                <w:sz w:val="19"/>
              </w:rPr>
              <w:t>13</w:t>
            </w:r>
          </w:p>
        </w:tc>
        <w:tc>
          <w:tcPr>
            <w:tcW w:type="dxa" w:w="1722"/>
            <w:vAlign w:val="center"/>
          </w:tcPr>
          <w:p>
            <w:pPr>
              <w:keepNext/>
              <w:spacing w:after="0" w:before="0" w:line="240" w:lineRule="auto"/>
              <w:jc w:val="right"/>
            </w:pPr>
            <w:r>
              <w:rPr>
                <w:rFonts w:ascii="Calibri" w:hAnsi="Calibri"/>
                <w:b w:val="0"/>
                <w:sz w:val="19"/>
              </w:rPr>
              <w:t>35.2%</w:t>
            </w:r>
          </w:p>
        </w:tc>
        <w:tc>
          <w:tcPr>
            <w:tcW w:type="dxa" w:w="1722"/>
            <w:vAlign w:val="center"/>
          </w:tcPr>
          <w:p>
            <w:pPr>
              <w:keepNext/>
              <w:spacing w:after="0" w:before="0" w:line="240" w:lineRule="auto"/>
              <w:jc w:val="right"/>
            </w:pPr>
            <w:r>
              <w:rPr>
                <w:rFonts w:ascii="Calibri" w:hAnsi="Calibri"/>
                <w:b w:val="0"/>
                <w:sz w:val="19"/>
              </w:rPr>
              <w:t>-47.3%</w:t>
            </w:r>
          </w:p>
        </w:tc>
      </w:tr>
    </w:tbl>
    <w:p>
      <w:pPr>
        <w:keepLines/>
        <w:spacing w:before="60" w:after="120"/>
      </w:pPr>
      <w:r>
        <w:rPr>
          <w:sz w:val="18"/>
        </w:rPr>
        <w:t>Controlled simulation.</w:t>
      </w:r>
    </w:p>
    <w:p>
      <w:r>
        <w:t>Under low-dimensional, single-law conditions, the matched-budget MoE and monolithic model perform similarly. Dividing the fixed budget among four experts reduces the capacity of each active block. In the higher-dimensional conditions with d95≈13, StateMoE rollout error is approximately 28–53% higher than MonoBlock error.</w:t>
      </w:r>
    </w:p>
    <w:p>
      <w:pPr>
        <w:keepNext/>
        <w:spacing w:after="60"/>
        <w:jc w:val="center"/>
      </w:pPr>
      <w:r>
        <w:drawing>
          <wp:inline xmlns:a="http://schemas.openxmlformats.org/drawingml/2006/main" xmlns:pic="http://schemas.openxmlformats.org/drawingml/2006/picture">
            <wp:extent cx="6309360" cy="3695788"/>
            <wp:docPr id="7" name="Picture 7"/>
            <wp:cNvGraphicFramePr>
              <a:graphicFrameLocks noChangeAspect="1"/>
            </wp:cNvGraphicFramePr>
            <a:graphic>
              <a:graphicData uri="http://schemas.openxmlformats.org/drawingml/2006/picture">
                <pic:pic>
                  <pic:nvPicPr>
                    <pic:cNvPr id="0" name="07_image7.png"/>
                    <pic:cNvPicPr/>
                  </pic:nvPicPr>
                  <pic:blipFill>
                    <a:blip r:embed="rId20"/>
                    <a:stretch>
                      <a:fillRect/>
                    </a:stretch>
                  </pic:blipFill>
                  <pic:spPr>
                    <a:xfrm>
                      <a:off x="0" y="0"/>
                      <a:ext cx="6309360" cy="3695788"/>
                    </a:xfrm>
                    <a:prstGeom prst="rect"/>
                  </pic:spPr>
                </pic:pic>
              </a:graphicData>
            </a:graphic>
          </wp:inline>
        </w:drawing>
      </w:r>
    </w:p>
    <w:p>
      <w:pPr>
        <w:pStyle w:val="Caption"/>
      </w:pPr>
      <w:r>
        <w:t>Figure 7. Matched-budget MoE rollout gains across the synthetic 2×2×2 design. Negative gains indicate higher error after partitioning. Each condition uses two model initializations.</w:t>
      </w:r>
    </w:p>
    <w:p>
      <w:r>
        <w:t>Generator heterogeneity determines whether distinct local prediction functions may benefit from specialization.</w:t>
      </w:r>
    </w:p>
    <w:p>
      <w:r>
        <w:t>Intrinsic dimension contributes to the representational capacity needed within each specialist.</w:t>
      </w:r>
    </w:p>
    <w:p>
      <w:r>
        <w:t>Specialization must therefore be evaluated together with per-expert capacity. Routing among undersized modules can be functionally meaningful and still produce worse predictions than a single larger block.</w:t>
      </w:r>
    </w:p>
    <w:p>
      <w:pPr>
        <w:pStyle w:val="Heading3"/>
      </w:pPr>
      <w:r>
        <w:t>5.1.3 Routing interventions and overall model performance</w:t>
      </w:r>
    </w:p>
    <w:p>
      <w:pPr>
        <w:pStyle w:val="Caption"/>
        <w:keepNext/>
      </w:pPr>
      <w:r>
        <w:t>Table 21. Router diagnostics under multiple laws.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World</w:t>
            </w:r>
          </w:p>
        </w:tc>
        <w:tc>
          <w:tcPr>
            <w:tcW w:type="dxa" w:w="2153"/>
            <w:vAlign w:val="center"/>
            <w:shd w:fill="F2F2F2"/>
          </w:tcPr>
          <w:p>
            <w:pPr>
              <w:keepNext/>
              <w:spacing w:after="0" w:before="0" w:line="240" w:lineRule="auto"/>
            </w:pPr>
            <w:r>
              <w:rPr>
                <w:rFonts w:ascii="Calibri" w:hAnsi="Calibri"/>
                <w:b/>
                <w:sz w:val="19"/>
              </w:rPr>
              <w:t>Router-law NMI</w:t>
            </w:r>
          </w:p>
        </w:tc>
        <w:tc>
          <w:tcPr>
            <w:tcW w:type="dxa" w:w="2153"/>
            <w:vAlign w:val="center"/>
            <w:shd w:fill="F2F2F2"/>
          </w:tcPr>
          <w:p>
            <w:pPr>
              <w:keepNext/>
              <w:spacing w:after="0" w:before="0" w:line="240" w:lineRule="auto"/>
            </w:pPr>
            <w:r>
              <w:rPr>
                <w:rFonts w:ascii="Calibri" w:hAnsi="Calibri"/>
                <w:b/>
                <w:sz w:val="19"/>
              </w:rPr>
              <w:t>Norm. entropy</w:t>
            </w:r>
          </w:p>
        </w:tc>
        <w:tc>
          <w:tcPr>
            <w:tcW w:type="dxa" w:w="2153"/>
            <w:vAlign w:val="center"/>
            <w:shd w:fill="F2F2F2"/>
          </w:tcPr>
          <w:p>
            <w:pPr>
              <w:keepNext/>
              <w:spacing w:after="0" w:before="0" w:line="240" w:lineRule="auto"/>
            </w:pPr>
            <w:r>
              <w:rPr>
                <w:rFonts w:ascii="Calibri" w:hAnsi="Calibri"/>
                <w:b/>
                <w:sz w:val="19"/>
              </w:rPr>
              <w:t>Uniform penalty</w:t>
            </w:r>
          </w:p>
        </w:tc>
        <w:tc>
          <w:tcPr>
            <w:tcW w:type="dxa" w:w="2153"/>
            <w:vAlign w:val="center"/>
            <w:shd w:fill="F2F2F2"/>
          </w:tcPr>
          <w:p>
            <w:pPr>
              <w:keepNext/>
              <w:spacing w:after="0" w:before="0" w:line="240" w:lineRule="auto"/>
            </w:pPr>
            <w:r>
              <w:rPr>
                <w:rFonts w:ascii="Calibri" w:hAnsi="Calibri"/>
                <w:b/>
                <w:sz w:val="19"/>
              </w:rPr>
              <w:t>Shuffle penalty</w:t>
            </w:r>
          </w:p>
        </w:tc>
      </w:tr>
      <w:tr>
        <w:trPr>
          <w:cantSplit/>
        </w:trPr>
        <w:tc>
          <w:tcPr>
            <w:tcW w:type="dxa" w:w="1613"/>
            <w:vAlign w:val="center"/>
          </w:tcPr>
          <w:p>
            <w:pPr>
              <w:keepNext w:val="0"/>
              <w:spacing w:after="0" w:before="0" w:line="240" w:lineRule="auto"/>
            </w:pPr>
            <w:r>
              <w:rPr>
                <w:rFonts w:ascii="Calibri" w:hAnsi="Calibri"/>
                <w:b w:val="0"/>
                <w:sz w:val="19"/>
              </w:rPr>
              <w:t>d=3, m=1</w:t>
            </w:r>
          </w:p>
        </w:tc>
        <w:tc>
          <w:tcPr>
            <w:tcW w:type="dxa" w:w="2153"/>
            <w:vAlign w:val="center"/>
          </w:tcPr>
          <w:p>
            <w:pPr>
              <w:keepNext w:val="0"/>
              <w:spacing w:after="0" w:before="0" w:line="240" w:lineRule="auto"/>
              <w:jc w:val="right"/>
            </w:pPr>
            <w:r>
              <w:rPr>
                <w:rFonts w:ascii="Calibri" w:hAnsi="Calibri"/>
                <w:b w:val="0"/>
                <w:sz w:val="19"/>
              </w:rPr>
              <w:t>0.279</w:t>
            </w:r>
          </w:p>
        </w:tc>
        <w:tc>
          <w:tcPr>
            <w:tcW w:type="dxa" w:w="2153"/>
            <w:vAlign w:val="center"/>
          </w:tcPr>
          <w:p>
            <w:pPr>
              <w:keepNext w:val="0"/>
              <w:spacing w:after="0" w:before="0" w:line="240" w:lineRule="auto"/>
              <w:jc w:val="right"/>
            </w:pPr>
            <w:r>
              <w:rPr>
                <w:rFonts w:ascii="Calibri" w:hAnsi="Calibri"/>
                <w:b w:val="0"/>
                <w:sz w:val="19"/>
              </w:rPr>
              <w:t>0.976</w:t>
            </w:r>
          </w:p>
        </w:tc>
        <w:tc>
          <w:tcPr>
            <w:tcW w:type="dxa" w:w="2153"/>
            <w:vAlign w:val="center"/>
          </w:tcPr>
          <w:p>
            <w:pPr>
              <w:keepNext w:val="0"/>
              <w:spacing w:after="0" w:before="0" w:line="240" w:lineRule="auto"/>
              <w:jc w:val="right"/>
            </w:pPr>
            <w:r>
              <w:rPr>
                <w:rFonts w:ascii="Calibri" w:hAnsi="Calibri"/>
                <w:b w:val="0"/>
                <w:sz w:val="19"/>
              </w:rPr>
              <w:t>13.9%</w:t>
            </w:r>
          </w:p>
        </w:tc>
        <w:tc>
          <w:tcPr>
            <w:tcW w:type="dxa" w:w="2153"/>
            <w:vAlign w:val="center"/>
          </w:tcPr>
          <w:p>
            <w:pPr>
              <w:keepNext w:val="0"/>
              <w:spacing w:after="0" w:before="0" w:line="240" w:lineRule="auto"/>
              <w:jc w:val="right"/>
            </w:pPr>
            <w:r>
              <w:rPr>
                <w:rFonts w:ascii="Calibri" w:hAnsi="Calibri"/>
                <w:b w:val="0"/>
                <w:sz w:val="19"/>
              </w:rPr>
              <w:t>13.9%</w:t>
            </w:r>
          </w:p>
        </w:tc>
      </w:tr>
      <w:tr>
        <w:trPr>
          <w:cantSplit/>
        </w:trPr>
        <w:tc>
          <w:tcPr>
            <w:tcW w:type="dxa" w:w="1613"/>
            <w:vAlign w:val="center"/>
          </w:tcPr>
          <w:p>
            <w:pPr>
              <w:keepNext w:val="0"/>
              <w:spacing w:after="0" w:before="0" w:line="240" w:lineRule="auto"/>
            </w:pPr>
            <w:r>
              <w:rPr>
                <w:rFonts w:ascii="Calibri" w:hAnsi="Calibri"/>
                <w:b w:val="0"/>
                <w:sz w:val="19"/>
              </w:rPr>
              <w:t>d=3, m=4</w:t>
            </w:r>
          </w:p>
        </w:tc>
        <w:tc>
          <w:tcPr>
            <w:tcW w:type="dxa" w:w="2153"/>
            <w:vAlign w:val="center"/>
          </w:tcPr>
          <w:p>
            <w:pPr>
              <w:keepNext w:val="0"/>
              <w:spacing w:after="0" w:before="0" w:line="240" w:lineRule="auto"/>
              <w:jc w:val="right"/>
            </w:pPr>
            <w:r>
              <w:rPr>
                <w:rFonts w:ascii="Calibri" w:hAnsi="Calibri"/>
                <w:b w:val="0"/>
                <w:sz w:val="19"/>
              </w:rPr>
              <w:t>0.342</w:t>
            </w:r>
          </w:p>
        </w:tc>
        <w:tc>
          <w:tcPr>
            <w:tcW w:type="dxa" w:w="2153"/>
            <w:vAlign w:val="center"/>
          </w:tcPr>
          <w:p>
            <w:pPr>
              <w:keepNext w:val="0"/>
              <w:spacing w:after="0" w:before="0" w:line="240" w:lineRule="auto"/>
              <w:jc w:val="right"/>
            </w:pPr>
            <w:r>
              <w:rPr>
                <w:rFonts w:ascii="Calibri" w:hAnsi="Calibri"/>
                <w:b w:val="0"/>
                <w:sz w:val="19"/>
              </w:rPr>
              <w:t>0.921</w:t>
            </w:r>
          </w:p>
        </w:tc>
        <w:tc>
          <w:tcPr>
            <w:tcW w:type="dxa" w:w="2153"/>
            <w:vAlign w:val="center"/>
          </w:tcPr>
          <w:p>
            <w:pPr>
              <w:keepNext w:val="0"/>
              <w:spacing w:after="0" w:before="0" w:line="240" w:lineRule="auto"/>
              <w:jc w:val="right"/>
            </w:pPr>
            <w:r>
              <w:rPr>
                <w:rFonts w:ascii="Calibri" w:hAnsi="Calibri"/>
                <w:b w:val="0"/>
                <w:sz w:val="19"/>
              </w:rPr>
              <w:t>43.7%</w:t>
            </w:r>
          </w:p>
        </w:tc>
        <w:tc>
          <w:tcPr>
            <w:tcW w:type="dxa" w:w="2153"/>
            <w:vAlign w:val="center"/>
          </w:tcPr>
          <w:p>
            <w:pPr>
              <w:keepNext w:val="0"/>
              <w:spacing w:after="0" w:before="0" w:line="240" w:lineRule="auto"/>
              <w:jc w:val="right"/>
            </w:pPr>
            <w:r>
              <w:rPr>
                <w:rFonts w:ascii="Calibri" w:hAnsi="Calibri"/>
                <w:b w:val="0"/>
                <w:sz w:val="19"/>
              </w:rPr>
              <w:t>51.1%</w:t>
            </w:r>
          </w:p>
        </w:tc>
      </w:tr>
      <w:tr>
        <w:trPr>
          <w:cantSplit/>
        </w:trPr>
        <w:tc>
          <w:tcPr>
            <w:tcW w:type="dxa" w:w="1613"/>
            <w:vAlign w:val="center"/>
          </w:tcPr>
          <w:p>
            <w:pPr>
              <w:keepNext w:val="0"/>
              <w:spacing w:after="0" w:before="0" w:line="240" w:lineRule="auto"/>
            </w:pPr>
            <w:r>
              <w:rPr>
                <w:rFonts w:ascii="Calibri" w:hAnsi="Calibri"/>
                <w:b w:val="0"/>
                <w:sz w:val="19"/>
              </w:rPr>
              <w:t>d=14, m=1</w:t>
            </w:r>
          </w:p>
        </w:tc>
        <w:tc>
          <w:tcPr>
            <w:tcW w:type="dxa" w:w="2153"/>
            <w:vAlign w:val="center"/>
          </w:tcPr>
          <w:p>
            <w:pPr>
              <w:keepNext w:val="0"/>
              <w:spacing w:after="0" w:before="0" w:line="240" w:lineRule="auto"/>
              <w:jc w:val="right"/>
            </w:pPr>
            <w:r>
              <w:rPr>
                <w:rFonts w:ascii="Calibri" w:hAnsi="Calibri"/>
                <w:b w:val="0"/>
                <w:sz w:val="19"/>
              </w:rPr>
              <w:t>0.489</w:t>
            </w:r>
          </w:p>
        </w:tc>
        <w:tc>
          <w:tcPr>
            <w:tcW w:type="dxa" w:w="2153"/>
            <w:vAlign w:val="center"/>
          </w:tcPr>
          <w:p>
            <w:pPr>
              <w:keepNext w:val="0"/>
              <w:spacing w:after="0" w:before="0" w:line="240" w:lineRule="auto"/>
              <w:jc w:val="right"/>
            </w:pPr>
            <w:r>
              <w:rPr>
                <w:rFonts w:ascii="Calibri" w:hAnsi="Calibri"/>
                <w:b w:val="0"/>
                <w:sz w:val="19"/>
              </w:rPr>
              <w:t>0.853</w:t>
            </w:r>
          </w:p>
        </w:tc>
        <w:tc>
          <w:tcPr>
            <w:tcW w:type="dxa" w:w="2153"/>
            <w:vAlign w:val="center"/>
          </w:tcPr>
          <w:p>
            <w:pPr>
              <w:keepNext w:val="0"/>
              <w:spacing w:after="0" w:before="0" w:line="240" w:lineRule="auto"/>
              <w:jc w:val="right"/>
            </w:pPr>
            <w:r>
              <w:rPr>
                <w:rFonts w:ascii="Calibri" w:hAnsi="Calibri"/>
                <w:b w:val="0"/>
                <w:sz w:val="19"/>
              </w:rPr>
              <w:t>408.3%</w:t>
            </w:r>
          </w:p>
        </w:tc>
        <w:tc>
          <w:tcPr>
            <w:tcW w:type="dxa" w:w="2153"/>
            <w:vAlign w:val="center"/>
          </w:tcPr>
          <w:p>
            <w:pPr>
              <w:keepNext w:val="0"/>
              <w:spacing w:after="0" w:before="0" w:line="240" w:lineRule="auto"/>
              <w:jc w:val="right"/>
            </w:pPr>
            <w:r>
              <w:rPr>
                <w:rFonts w:ascii="Calibri" w:hAnsi="Calibri"/>
                <w:b w:val="0"/>
                <w:sz w:val="19"/>
              </w:rPr>
              <w:t>505.5%</w:t>
            </w:r>
          </w:p>
        </w:tc>
      </w:tr>
      <w:tr>
        <w:trPr>
          <w:cantSplit/>
        </w:trPr>
        <w:tc>
          <w:tcPr>
            <w:tcW w:type="dxa" w:w="1613"/>
            <w:vAlign w:val="center"/>
          </w:tcPr>
          <w:p>
            <w:pPr>
              <w:keepNext/>
              <w:spacing w:after="0" w:before="0" w:line="240" w:lineRule="auto"/>
            </w:pPr>
            <w:r>
              <w:rPr>
                <w:rFonts w:ascii="Calibri" w:hAnsi="Calibri"/>
                <w:b w:val="0"/>
                <w:sz w:val="19"/>
              </w:rPr>
              <w:t>d=14, m=4</w:t>
            </w:r>
          </w:p>
        </w:tc>
        <w:tc>
          <w:tcPr>
            <w:tcW w:type="dxa" w:w="2153"/>
            <w:vAlign w:val="center"/>
          </w:tcPr>
          <w:p>
            <w:pPr>
              <w:keepNext/>
              <w:spacing w:after="0" w:before="0" w:line="240" w:lineRule="auto"/>
              <w:jc w:val="right"/>
            </w:pPr>
            <w:r>
              <w:rPr>
                <w:rFonts w:ascii="Calibri" w:hAnsi="Calibri"/>
                <w:b w:val="0"/>
                <w:sz w:val="19"/>
              </w:rPr>
              <w:t>0.435</w:t>
            </w:r>
          </w:p>
        </w:tc>
        <w:tc>
          <w:tcPr>
            <w:tcW w:type="dxa" w:w="2153"/>
            <w:vAlign w:val="center"/>
          </w:tcPr>
          <w:p>
            <w:pPr>
              <w:keepNext/>
              <w:spacing w:after="0" w:before="0" w:line="240" w:lineRule="auto"/>
              <w:jc w:val="right"/>
            </w:pPr>
            <w:r>
              <w:rPr>
                <w:rFonts w:ascii="Calibri" w:hAnsi="Calibri"/>
                <w:b w:val="0"/>
                <w:sz w:val="19"/>
              </w:rPr>
              <w:t>0.908</w:t>
            </w:r>
          </w:p>
        </w:tc>
        <w:tc>
          <w:tcPr>
            <w:tcW w:type="dxa" w:w="2153"/>
            <w:vAlign w:val="center"/>
          </w:tcPr>
          <w:p>
            <w:pPr>
              <w:keepNext/>
              <w:spacing w:after="0" w:before="0" w:line="240" w:lineRule="auto"/>
              <w:jc w:val="right"/>
            </w:pPr>
            <w:r>
              <w:rPr>
                <w:rFonts w:ascii="Calibri" w:hAnsi="Calibri"/>
                <w:b w:val="0"/>
                <w:sz w:val="19"/>
              </w:rPr>
              <w:t>103.1%</w:t>
            </w:r>
          </w:p>
        </w:tc>
        <w:tc>
          <w:tcPr>
            <w:tcW w:type="dxa" w:w="2153"/>
            <w:vAlign w:val="center"/>
          </w:tcPr>
          <w:p>
            <w:pPr>
              <w:keepNext/>
              <w:spacing w:after="0" w:before="0" w:line="240" w:lineRule="auto"/>
              <w:jc w:val="right"/>
            </w:pPr>
            <w:r>
              <w:rPr>
                <w:rFonts w:ascii="Calibri" w:hAnsi="Calibri"/>
                <w:b w:val="0"/>
                <w:sz w:val="19"/>
              </w:rPr>
              <w:t>120.9%</w:t>
            </w:r>
          </w:p>
        </w:tc>
      </w:tr>
    </w:tbl>
    <w:p>
      <w:pPr>
        <w:keepLines/>
        <w:spacing w:before="60" w:after="120"/>
      </w:pPr>
      <w:r>
        <w:rPr>
          <w:sz w:val="18"/>
        </w:rPr>
        <w:t>Controlled simulation.</w:t>
      </w:r>
    </w:p>
    <w:p>
      <w:r>
        <w:t>In the multi-law conditions, router–family NMI is approximately 0.28–0.49. Replacing learned weights with uniform weights or exchanging them across samples increases rollout error by approximately 14–505%. These interventions establish that the router contributes to computation in the trained model.</w:t>
      </w:r>
    </w:p>
    <w:p>
      <w:pPr>
        <w:keepNext/>
        <w:spacing w:after="60"/>
        <w:jc w:val="center"/>
      </w:pPr>
      <w:r>
        <w:drawing>
          <wp:inline xmlns:a="http://schemas.openxmlformats.org/drawingml/2006/main" xmlns:pic="http://schemas.openxmlformats.org/drawingml/2006/picture">
            <wp:extent cx="6309360" cy="3706749"/>
            <wp:docPr id="8" name="Picture 8"/>
            <wp:cNvGraphicFramePr>
              <a:graphicFrameLocks noChangeAspect="1"/>
            </wp:cNvGraphicFramePr>
            <a:graphic>
              <a:graphicData uri="http://schemas.openxmlformats.org/drawingml/2006/picture">
                <pic:pic>
                  <pic:nvPicPr>
                    <pic:cNvPr id="0" name="08_image8.png"/>
                    <pic:cNvPicPr/>
                  </pic:nvPicPr>
                  <pic:blipFill>
                    <a:blip r:embed="rId21"/>
                    <a:stretch>
                      <a:fillRect/>
                    </a:stretch>
                  </pic:blipFill>
                  <pic:spPr>
                    <a:xfrm>
                      <a:off x="0" y="0"/>
                      <a:ext cx="6309360" cy="3706749"/>
                    </a:xfrm>
                    <a:prstGeom prst="rect"/>
                  </pic:spPr>
                </pic:pic>
              </a:graphicData>
            </a:graphic>
          </wp:inline>
        </w:drawing>
      </w:r>
    </w:p>
    <w:p>
      <w:pPr>
        <w:pStyle w:val="Caption"/>
      </w:pPr>
      <w:r>
        <w:t>Figure 8. Router interventions in synthetic multi-law conditions. Uniform and shuffled routing increase error even where the original MoE has higher overall error than MonoBlock. Routing contribution and architecture-level advantage are separate measurements.</w:t>
      </w:r>
    </w:p>
    <w:p>
      <w:r>
        <w:t>The capacity comparisons and routing interventions identify two distinct constraints: recognizing the appropriate transition regime and providing sufficient capacity to model it.</w:t>
      </w:r>
    </w:p>
    <w:p>
      <w:pPr>
        <w:pStyle w:val="Heading3"/>
      </w:pPr>
      <w:r>
        <w:t>5.1.4 Capacity and oracle-routing comparisons</w:t>
      </w:r>
    </w:p>
    <w:p>
      <w:pPr>
        <w:pStyle w:val="Caption"/>
        <w:keepNext/>
      </w:pPr>
      <w:r>
        <w:t>Table 22. Expert-capacity and oracle comparison.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d</w:t>
            </w:r>
          </w:p>
        </w:tc>
        <w:tc>
          <w:tcPr>
            <w:tcW w:type="dxa" w:w="2153"/>
            <w:vAlign w:val="center"/>
            <w:shd w:fill="F2F2F2"/>
          </w:tcPr>
          <w:p>
            <w:pPr>
              <w:keepNext/>
              <w:spacing w:after="0" w:before="0" w:line="240" w:lineRule="auto"/>
            </w:pPr>
            <w:r>
              <w:rPr>
                <w:rFonts w:ascii="Calibri" w:hAnsi="Calibri"/>
                <w:b/>
                <w:sz w:val="19"/>
              </w:rPr>
              <w:t>Model</w:t>
            </w:r>
          </w:p>
        </w:tc>
        <w:tc>
          <w:tcPr>
            <w:tcW w:type="dxa" w:w="2153"/>
            <w:vAlign w:val="center"/>
            <w:shd w:fill="F2F2F2"/>
          </w:tcPr>
          <w:p>
            <w:pPr>
              <w:keepNext/>
              <w:spacing w:after="0" w:before="0" w:line="240" w:lineRule="auto"/>
            </w:pPr>
            <w:r>
              <w:rPr>
                <w:rFonts w:ascii="Calibri" w:hAnsi="Calibri"/>
                <w:b/>
                <w:sz w:val="19"/>
              </w:rPr>
              <w:t>Params</w:t>
            </w:r>
          </w:p>
        </w:tc>
        <w:tc>
          <w:tcPr>
            <w:tcW w:type="dxa" w:w="2153"/>
            <w:vAlign w:val="center"/>
            <w:shd w:fill="F2F2F2"/>
          </w:tcPr>
          <w:p>
            <w:pPr>
              <w:keepNext/>
              <w:spacing w:after="0" w:before="0" w:line="240" w:lineRule="auto"/>
            </w:pPr>
            <w:r>
              <w:rPr>
                <w:rFonts w:ascii="Calibri" w:hAnsi="Calibri"/>
                <w:b/>
                <w:sz w:val="19"/>
              </w:rPr>
              <w:t>One-step MSE</w:t>
            </w:r>
          </w:p>
        </w:tc>
        <w:tc>
          <w:tcPr>
            <w:tcW w:type="dxa" w:w="2153"/>
            <w:vAlign w:val="center"/>
            <w:shd w:fill="F2F2F2"/>
          </w:tcPr>
          <w:p>
            <w:pPr>
              <w:keepNext/>
              <w:spacing w:after="0" w:before="0" w:line="240" w:lineRule="auto"/>
            </w:pPr>
            <w:r>
              <w:rPr>
                <w:rFonts w:ascii="Calibri" w:hAnsi="Calibri"/>
                <w:b/>
                <w:sz w:val="19"/>
              </w:rPr>
              <w:t>Long rollout MSE</w:t>
            </w:r>
          </w:p>
        </w:tc>
      </w:tr>
      <w:tr>
        <w:trPr>
          <w:cantSplit/>
        </w:trPr>
        <w:tc>
          <w:tcPr>
            <w:tcW w:type="dxa" w:w="1613"/>
            <w:vAlign w:val="center"/>
          </w:tcPr>
          <w:p>
            <w:pPr>
              <w:keepNext w:val="0"/>
              <w:spacing w:after="0" w:before="0" w:line="240" w:lineRule="auto"/>
              <w:jc w:val="right"/>
            </w:pPr>
            <w:r>
              <w:rPr>
                <w:rFonts w:ascii="Calibri" w:hAnsi="Calibri"/>
                <w:b w:val="0"/>
                <w:sz w:val="19"/>
              </w:rPr>
              <w:t>3</w:t>
            </w:r>
          </w:p>
        </w:tc>
        <w:tc>
          <w:tcPr>
            <w:tcW w:type="dxa" w:w="2153"/>
            <w:vAlign w:val="center"/>
          </w:tcPr>
          <w:p>
            <w:pPr>
              <w:keepNext w:val="0"/>
              <w:spacing w:after="0" w:before="0" w:line="240" w:lineRule="auto"/>
            </w:pPr>
            <w:r>
              <w:rPr>
                <w:rFonts w:ascii="Calibri" w:hAnsi="Calibri"/>
                <w:b w:val="0"/>
                <w:sz w:val="19"/>
              </w:rPr>
              <w:t>MonoBlock</w:t>
            </w:r>
          </w:p>
        </w:tc>
        <w:tc>
          <w:tcPr>
            <w:tcW w:type="dxa" w:w="2153"/>
            <w:vAlign w:val="center"/>
          </w:tcPr>
          <w:p>
            <w:pPr>
              <w:keepNext w:val="0"/>
              <w:spacing w:after="0" w:before="0" w:line="240" w:lineRule="auto"/>
              <w:jc w:val="right"/>
            </w:pPr>
            <w:r>
              <w:rPr>
                <w:rFonts w:ascii="Calibri" w:hAnsi="Calibri"/>
                <w:b w:val="0"/>
                <w:sz w:val="19"/>
              </w:rPr>
              <w:t>10,688</w:t>
            </w:r>
          </w:p>
        </w:tc>
        <w:tc>
          <w:tcPr>
            <w:tcW w:type="dxa" w:w="2153"/>
            <w:vAlign w:val="center"/>
          </w:tcPr>
          <w:p>
            <w:pPr>
              <w:keepNext w:val="0"/>
              <w:spacing w:after="0" w:before="0" w:line="240" w:lineRule="auto"/>
              <w:jc w:val="right"/>
            </w:pPr>
            <w:r>
              <w:rPr>
                <w:rFonts w:ascii="Calibri" w:hAnsi="Calibri"/>
                <w:b w:val="0"/>
                <w:sz w:val="19"/>
              </w:rPr>
              <w:t>0.01230</w:t>
            </w:r>
          </w:p>
        </w:tc>
        <w:tc>
          <w:tcPr>
            <w:tcW w:type="dxa" w:w="2153"/>
            <w:vAlign w:val="center"/>
          </w:tcPr>
          <w:p>
            <w:pPr>
              <w:keepNext w:val="0"/>
              <w:spacing w:after="0" w:before="0" w:line="240" w:lineRule="auto"/>
              <w:jc w:val="right"/>
            </w:pPr>
            <w:r>
              <w:rPr>
                <w:rFonts w:ascii="Calibri" w:hAnsi="Calibri"/>
                <w:b w:val="0"/>
                <w:sz w:val="19"/>
              </w:rPr>
              <w:t>0.05170</w:t>
            </w:r>
          </w:p>
        </w:tc>
      </w:tr>
      <w:tr>
        <w:trPr>
          <w:cantSplit/>
        </w:trPr>
        <w:tc>
          <w:tcPr>
            <w:tcW w:type="dxa" w:w="1613"/>
            <w:vAlign w:val="center"/>
          </w:tcPr>
          <w:p>
            <w:pPr>
              <w:keepNext w:val="0"/>
              <w:spacing w:after="0" w:before="0" w:line="240" w:lineRule="auto"/>
              <w:jc w:val="right"/>
            </w:pPr>
            <w:r>
              <w:rPr>
                <w:rFonts w:ascii="Calibri" w:hAnsi="Calibri"/>
                <w:b w:val="0"/>
                <w:sz w:val="19"/>
              </w:rPr>
              <w:t>3</w:t>
            </w:r>
          </w:p>
        </w:tc>
        <w:tc>
          <w:tcPr>
            <w:tcW w:type="dxa" w:w="2153"/>
            <w:vAlign w:val="center"/>
          </w:tcPr>
          <w:p>
            <w:pPr>
              <w:keepNext w:val="0"/>
              <w:spacing w:after="0" w:before="0" w:line="240" w:lineRule="auto"/>
            </w:pPr>
            <w:r>
              <w:rPr>
                <w:rFonts w:ascii="Calibri" w:hAnsi="Calibri"/>
                <w:b w:val="0"/>
                <w:sz w:val="19"/>
              </w:rPr>
              <w:t>MatchedMoE</w:t>
            </w:r>
          </w:p>
        </w:tc>
        <w:tc>
          <w:tcPr>
            <w:tcW w:type="dxa" w:w="2153"/>
            <w:vAlign w:val="center"/>
          </w:tcPr>
          <w:p>
            <w:pPr>
              <w:keepNext w:val="0"/>
              <w:spacing w:after="0" w:before="0" w:line="240" w:lineRule="auto"/>
              <w:jc w:val="right"/>
            </w:pPr>
            <w:r>
              <w:rPr>
                <w:rFonts w:ascii="Calibri" w:hAnsi="Calibri"/>
                <w:b w:val="0"/>
                <w:sz w:val="19"/>
              </w:rPr>
              <w:t>10,332</w:t>
            </w:r>
          </w:p>
        </w:tc>
        <w:tc>
          <w:tcPr>
            <w:tcW w:type="dxa" w:w="2153"/>
            <w:vAlign w:val="center"/>
          </w:tcPr>
          <w:p>
            <w:pPr>
              <w:keepNext w:val="0"/>
              <w:spacing w:after="0" w:before="0" w:line="240" w:lineRule="auto"/>
              <w:jc w:val="right"/>
            </w:pPr>
            <w:r>
              <w:rPr>
                <w:rFonts w:ascii="Calibri" w:hAnsi="Calibri"/>
                <w:b w:val="0"/>
                <w:sz w:val="19"/>
              </w:rPr>
              <w:t>0.01722</w:t>
            </w:r>
          </w:p>
        </w:tc>
        <w:tc>
          <w:tcPr>
            <w:tcW w:type="dxa" w:w="2153"/>
            <w:vAlign w:val="center"/>
          </w:tcPr>
          <w:p>
            <w:pPr>
              <w:keepNext w:val="0"/>
              <w:spacing w:after="0" w:before="0" w:line="240" w:lineRule="auto"/>
              <w:jc w:val="right"/>
            </w:pPr>
            <w:r>
              <w:rPr>
                <w:rFonts w:ascii="Calibri" w:hAnsi="Calibri"/>
                <w:b w:val="0"/>
                <w:sz w:val="19"/>
              </w:rPr>
              <w:t>0.05847</w:t>
            </w:r>
          </w:p>
        </w:tc>
      </w:tr>
      <w:tr>
        <w:trPr>
          <w:cantSplit/>
        </w:trPr>
        <w:tc>
          <w:tcPr>
            <w:tcW w:type="dxa" w:w="1613"/>
            <w:vAlign w:val="center"/>
          </w:tcPr>
          <w:p>
            <w:pPr>
              <w:keepNext w:val="0"/>
              <w:spacing w:after="0" w:before="0" w:line="240" w:lineRule="auto"/>
              <w:jc w:val="right"/>
            </w:pPr>
            <w:r>
              <w:rPr>
                <w:rFonts w:ascii="Calibri" w:hAnsi="Calibri"/>
                <w:b w:val="0"/>
                <w:sz w:val="19"/>
              </w:rPr>
              <w:t>3</w:t>
            </w:r>
          </w:p>
        </w:tc>
        <w:tc>
          <w:tcPr>
            <w:tcW w:type="dxa" w:w="2153"/>
            <w:vAlign w:val="center"/>
          </w:tcPr>
          <w:p>
            <w:pPr>
              <w:keepNext w:val="0"/>
              <w:spacing w:after="0" w:before="0" w:line="240" w:lineRule="auto"/>
            </w:pPr>
            <w:r>
              <w:rPr>
                <w:rFonts w:ascii="Calibri" w:hAnsi="Calibri"/>
                <w:b w:val="0"/>
                <w:sz w:val="19"/>
              </w:rPr>
              <w:t>OvercompleteMoE</w:t>
            </w:r>
          </w:p>
        </w:tc>
        <w:tc>
          <w:tcPr>
            <w:tcW w:type="dxa" w:w="2153"/>
            <w:vAlign w:val="center"/>
          </w:tcPr>
          <w:p>
            <w:pPr>
              <w:keepNext w:val="0"/>
              <w:spacing w:after="0" w:before="0" w:line="240" w:lineRule="auto"/>
              <w:jc w:val="right"/>
            </w:pPr>
            <w:r>
              <w:rPr>
                <w:rFonts w:ascii="Calibri" w:hAnsi="Calibri"/>
                <w:b w:val="0"/>
                <w:sz w:val="19"/>
              </w:rPr>
              <w:t>25,104</w:t>
            </w:r>
          </w:p>
        </w:tc>
        <w:tc>
          <w:tcPr>
            <w:tcW w:type="dxa" w:w="2153"/>
            <w:vAlign w:val="center"/>
          </w:tcPr>
          <w:p>
            <w:pPr>
              <w:keepNext w:val="0"/>
              <w:spacing w:after="0" w:before="0" w:line="240" w:lineRule="auto"/>
              <w:jc w:val="right"/>
            </w:pPr>
            <w:r>
              <w:rPr>
                <w:rFonts w:ascii="Calibri" w:hAnsi="Calibri"/>
                <w:b w:val="0"/>
                <w:sz w:val="19"/>
              </w:rPr>
              <w:t>0.01242</w:t>
            </w:r>
          </w:p>
        </w:tc>
        <w:tc>
          <w:tcPr>
            <w:tcW w:type="dxa" w:w="2153"/>
            <w:vAlign w:val="center"/>
          </w:tcPr>
          <w:p>
            <w:pPr>
              <w:keepNext w:val="0"/>
              <w:spacing w:after="0" w:before="0" w:line="240" w:lineRule="auto"/>
              <w:jc w:val="right"/>
            </w:pPr>
            <w:r>
              <w:rPr>
                <w:rFonts w:ascii="Calibri" w:hAnsi="Calibri"/>
                <w:b w:val="0"/>
                <w:sz w:val="19"/>
              </w:rPr>
              <w:t>0.04983</w:t>
            </w:r>
          </w:p>
        </w:tc>
      </w:tr>
      <w:tr>
        <w:trPr>
          <w:cantSplit/>
        </w:trPr>
        <w:tc>
          <w:tcPr>
            <w:tcW w:type="dxa" w:w="1613"/>
            <w:vAlign w:val="center"/>
          </w:tcPr>
          <w:p>
            <w:pPr>
              <w:keepNext w:val="0"/>
              <w:spacing w:after="0" w:before="0" w:line="240" w:lineRule="auto"/>
              <w:jc w:val="right"/>
            </w:pPr>
            <w:r>
              <w:rPr>
                <w:rFonts w:ascii="Calibri" w:hAnsi="Calibri"/>
                <w:b w:val="0"/>
                <w:sz w:val="19"/>
              </w:rPr>
              <w:t>3</w:t>
            </w:r>
          </w:p>
        </w:tc>
        <w:tc>
          <w:tcPr>
            <w:tcW w:type="dxa" w:w="2153"/>
            <w:vAlign w:val="center"/>
          </w:tcPr>
          <w:p>
            <w:pPr>
              <w:keepNext w:val="0"/>
              <w:spacing w:after="0" w:before="0" w:line="240" w:lineRule="auto"/>
            </w:pPr>
            <w:r>
              <w:rPr>
                <w:rFonts w:ascii="Calibri" w:hAnsi="Calibri"/>
                <w:b w:val="0"/>
                <w:sz w:val="19"/>
              </w:rPr>
              <w:t>Oracle4xMono</w:t>
            </w:r>
          </w:p>
        </w:tc>
        <w:tc>
          <w:tcPr>
            <w:tcW w:type="dxa" w:w="2153"/>
            <w:vAlign w:val="center"/>
          </w:tcPr>
          <w:p>
            <w:pPr>
              <w:keepNext w:val="0"/>
              <w:spacing w:after="0" w:before="0" w:line="240" w:lineRule="auto"/>
              <w:jc w:val="right"/>
            </w:pPr>
            <w:r>
              <w:rPr>
                <w:rFonts w:ascii="Calibri" w:hAnsi="Calibri"/>
                <w:b w:val="0"/>
                <w:sz w:val="19"/>
              </w:rPr>
              <w:t>42,752</w:t>
            </w:r>
          </w:p>
        </w:tc>
        <w:tc>
          <w:tcPr>
            <w:tcW w:type="dxa" w:w="2153"/>
            <w:vAlign w:val="center"/>
          </w:tcPr>
          <w:p>
            <w:pPr>
              <w:keepNext w:val="0"/>
              <w:spacing w:after="0" w:before="0" w:line="240" w:lineRule="auto"/>
              <w:jc w:val="right"/>
            </w:pPr>
            <w:r>
              <w:rPr>
                <w:rFonts w:ascii="Calibri" w:hAnsi="Calibri"/>
                <w:b w:val="0"/>
                <w:sz w:val="19"/>
              </w:rPr>
              <w:t>0.00658</w:t>
            </w:r>
          </w:p>
        </w:tc>
        <w:tc>
          <w:tcPr>
            <w:tcW w:type="dxa" w:w="2153"/>
            <w:vAlign w:val="center"/>
          </w:tcPr>
          <w:p>
            <w:pPr>
              <w:keepNext w:val="0"/>
              <w:spacing w:after="0" w:before="0" w:line="240" w:lineRule="auto"/>
              <w:jc w:val="right"/>
            </w:pPr>
            <w:r>
              <w:rPr>
                <w:rFonts w:ascii="Calibri" w:hAnsi="Calibri"/>
                <w:b w:val="0"/>
                <w:sz w:val="19"/>
              </w:rPr>
              <w:t>0.00644</w:t>
            </w:r>
          </w:p>
        </w:tc>
      </w:tr>
      <w:tr>
        <w:trPr>
          <w:cantSplit/>
        </w:trPr>
        <w:tc>
          <w:tcPr>
            <w:tcW w:type="dxa" w:w="1613"/>
            <w:vAlign w:val="center"/>
          </w:tcPr>
          <w:p>
            <w:pPr>
              <w:keepNext w:val="0"/>
              <w:spacing w:after="0" w:before="0" w:line="240" w:lineRule="auto"/>
              <w:jc w:val="right"/>
            </w:pPr>
            <w:r>
              <w:rPr>
                <w:rFonts w:ascii="Calibri" w:hAnsi="Calibri"/>
                <w:b w:val="0"/>
                <w:sz w:val="19"/>
              </w:rPr>
              <w:t>14</w:t>
            </w:r>
          </w:p>
        </w:tc>
        <w:tc>
          <w:tcPr>
            <w:tcW w:type="dxa" w:w="2153"/>
            <w:vAlign w:val="center"/>
          </w:tcPr>
          <w:p>
            <w:pPr>
              <w:keepNext w:val="0"/>
              <w:spacing w:after="0" w:before="0" w:line="240" w:lineRule="auto"/>
            </w:pPr>
            <w:r>
              <w:rPr>
                <w:rFonts w:ascii="Calibri" w:hAnsi="Calibri"/>
                <w:b w:val="0"/>
                <w:sz w:val="19"/>
              </w:rPr>
              <w:t>MonoBlock</w:t>
            </w:r>
          </w:p>
        </w:tc>
        <w:tc>
          <w:tcPr>
            <w:tcW w:type="dxa" w:w="2153"/>
            <w:vAlign w:val="center"/>
          </w:tcPr>
          <w:p>
            <w:pPr>
              <w:keepNext w:val="0"/>
              <w:spacing w:after="0" w:before="0" w:line="240" w:lineRule="auto"/>
              <w:jc w:val="right"/>
            </w:pPr>
            <w:r>
              <w:rPr>
                <w:rFonts w:ascii="Calibri" w:hAnsi="Calibri"/>
                <w:b w:val="0"/>
                <w:sz w:val="19"/>
              </w:rPr>
              <w:t>10,688</w:t>
            </w:r>
          </w:p>
        </w:tc>
        <w:tc>
          <w:tcPr>
            <w:tcW w:type="dxa" w:w="2153"/>
            <w:vAlign w:val="center"/>
          </w:tcPr>
          <w:p>
            <w:pPr>
              <w:keepNext w:val="0"/>
              <w:spacing w:after="0" w:before="0" w:line="240" w:lineRule="auto"/>
              <w:jc w:val="right"/>
            </w:pPr>
            <w:r>
              <w:rPr>
                <w:rFonts w:ascii="Calibri" w:hAnsi="Calibri"/>
                <w:b w:val="0"/>
                <w:sz w:val="19"/>
              </w:rPr>
              <w:t>0.01518</w:t>
            </w:r>
          </w:p>
        </w:tc>
        <w:tc>
          <w:tcPr>
            <w:tcW w:type="dxa" w:w="2153"/>
            <w:vAlign w:val="center"/>
          </w:tcPr>
          <w:p>
            <w:pPr>
              <w:keepNext w:val="0"/>
              <w:spacing w:after="0" w:before="0" w:line="240" w:lineRule="auto"/>
              <w:jc w:val="right"/>
            </w:pPr>
            <w:r>
              <w:rPr>
                <w:rFonts w:ascii="Calibri" w:hAnsi="Calibri"/>
                <w:b w:val="0"/>
                <w:sz w:val="19"/>
              </w:rPr>
              <w:t>0.02176</w:t>
            </w:r>
          </w:p>
        </w:tc>
      </w:tr>
      <w:tr>
        <w:trPr>
          <w:cantSplit/>
        </w:trPr>
        <w:tc>
          <w:tcPr>
            <w:tcW w:type="dxa" w:w="1613"/>
            <w:vAlign w:val="center"/>
          </w:tcPr>
          <w:p>
            <w:pPr>
              <w:keepNext w:val="0"/>
              <w:spacing w:after="0" w:before="0" w:line="240" w:lineRule="auto"/>
              <w:jc w:val="right"/>
            </w:pPr>
            <w:r>
              <w:rPr>
                <w:rFonts w:ascii="Calibri" w:hAnsi="Calibri"/>
                <w:b w:val="0"/>
                <w:sz w:val="19"/>
              </w:rPr>
              <w:t>14</w:t>
            </w:r>
          </w:p>
        </w:tc>
        <w:tc>
          <w:tcPr>
            <w:tcW w:type="dxa" w:w="2153"/>
            <w:vAlign w:val="center"/>
          </w:tcPr>
          <w:p>
            <w:pPr>
              <w:keepNext w:val="0"/>
              <w:spacing w:after="0" w:before="0" w:line="240" w:lineRule="auto"/>
            </w:pPr>
            <w:r>
              <w:rPr>
                <w:rFonts w:ascii="Calibri" w:hAnsi="Calibri"/>
                <w:b w:val="0"/>
                <w:sz w:val="19"/>
              </w:rPr>
              <w:t>MatchedMoE</w:t>
            </w:r>
          </w:p>
        </w:tc>
        <w:tc>
          <w:tcPr>
            <w:tcW w:type="dxa" w:w="2153"/>
            <w:vAlign w:val="center"/>
          </w:tcPr>
          <w:p>
            <w:pPr>
              <w:keepNext w:val="0"/>
              <w:spacing w:after="0" w:before="0" w:line="240" w:lineRule="auto"/>
              <w:jc w:val="right"/>
            </w:pPr>
            <w:r>
              <w:rPr>
                <w:rFonts w:ascii="Calibri" w:hAnsi="Calibri"/>
                <w:b w:val="0"/>
                <w:sz w:val="19"/>
              </w:rPr>
              <w:t>10,332</w:t>
            </w:r>
          </w:p>
        </w:tc>
        <w:tc>
          <w:tcPr>
            <w:tcW w:type="dxa" w:w="2153"/>
            <w:vAlign w:val="center"/>
          </w:tcPr>
          <w:p>
            <w:pPr>
              <w:keepNext w:val="0"/>
              <w:spacing w:after="0" w:before="0" w:line="240" w:lineRule="auto"/>
              <w:jc w:val="right"/>
            </w:pPr>
            <w:r>
              <w:rPr>
                <w:rFonts w:ascii="Calibri" w:hAnsi="Calibri"/>
                <w:b w:val="0"/>
                <w:sz w:val="19"/>
              </w:rPr>
              <w:t>0.03330</w:t>
            </w:r>
          </w:p>
        </w:tc>
        <w:tc>
          <w:tcPr>
            <w:tcW w:type="dxa" w:w="2153"/>
            <w:vAlign w:val="center"/>
          </w:tcPr>
          <w:p>
            <w:pPr>
              <w:keepNext w:val="0"/>
              <w:spacing w:after="0" w:before="0" w:line="240" w:lineRule="auto"/>
              <w:jc w:val="right"/>
            </w:pPr>
            <w:r>
              <w:rPr>
                <w:rFonts w:ascii="Calibri" w:hAnsi="Calibri"/>
                <w:b w:val="0"/>
                <w:sz w:val="19"/>
              </w:rPr>
              <w:t>0.03206</w:t>
            </w:r>
          </w:p>
        </w:tc>
      </w:tr>
      <w:tr>
        <w:trPr>
          <w:cantSplit/>
        </w:trPr>
        <w:tc>
          <w:tcPr>
            <w:tcW w:type="dxa" w:w="1613"/>
            <w:vAlign w:val="center"/>
          </w:tcPr>
          <w:p>
            <w:pPr>
              <w:keepNext w:val="0"/>
              <w:spacing w:after="0" w:before="0" w:line="240" w:lineRule="auto"/>
              <w:jc w:val="right"/>
            </w:pPr>
            <w:r>
              <w:rPr>
                <w:rFonts w:ascii="Calibri" w:hAnsi="Calibri"/>
                <w:b w:val="0"/>
                <w:sz w:val="19"/>
              </w:rPr>
              <w:t>14</w:t>
            </w:r>
          </w:p>
        </w:tc>
        <w:tc>
          <w:tcPr>
            <w:tcW w:type="dxa" w:w="2153"/>
            <w:vAlign w:val="center"/>
          </w:tcPr>
          <w:p>
            <w:pPr>
              <w:keepNext w:val="0"/>
              <w:spacing w:after="0" w:before="0" w:line="240" w:lineRule="auto"/>
            </w:pPr>
            <w:r>
              <w:rPr>
                <w:rFonts w:ascii="Calibri" w:hAnsi="Calibri"/>
                <w:b w:val="0"/>
                <w:sz w:val="19"/>
              </w:rPr>
              <w:t>OvercompleteMoE</w:t>
            </w:r>
          </w:p>
        </w:tc>
        <w:tc>
          <w:tcPr>
            <w:tcW w:type="dxa" w:w="2153"/>
            <w:vAlign w:val="center"/>
          </w:tcPr>
          <w:p>
            <w:pPr>
              <w:keepNext w:val="0"/>
              <w:spacing w:after="0" w:before="0" w:line="240" w:lineRule="auto"/>
              <w:jc w:val="right"/>
            </w:pPr>
            <w:r>
              <w:rPr>
                <w:rFonts w:ascii="Calibri" w:hAnsi="Calibri"/>
                <w:b w:val="0"/>
                <w:sz w:val="19"/>
              </w:rPr>
              <w:t>25,104</w:t>
            </w:r>
          </w:p>
        </w:tc>
        <w:tc>
          <w:tcPr>
            <w:tcW w:type="dxa" w:w="2153"/>
            <w:vAlign w:val="center"/>
          </w:tcPr>
          <w:p>
            <w:pPr>
              <w:keepNext w:val="0"/>
              <w:spacing w:after="0" w:before="0" w:line="240" w:lineRule="auto"/>
              <w:jc w:val="right"/>
            </w:pPr>
            <w:r>
              <w:rPr>
                <w:rFonts w:ascii="Calibri" w:hAnsi="Calibri"/>
                <w:b w:val="0"/>
                <w:sz w:val="19"/>
              </w:rPr>
              <w:t>0.01863</w:t>
            </w:r>
          </w:p>
        </w:tc>
        <w:tc>
          <w:tcPr>
            <w:tcW w:type="dxa" w:w="2153"/>
            <w:vAlign w:val="center"/>
          </w:tcPr>
          <w:p>
            <w:pPr>
              <w:keepNext w:val="0"/>
              <w:spacing w:after="0" w:before="0" w:line="240" w:lineRule="auto"/>
              <w:jc w:val="right"/>
            </w:pPr>
            <w:r>
              <w:rPr>
                <w:rFonts w:ascii="Calibri" w:hAnsi="Calibri"/>
                <w:b w:val="0"/>
                <w:sz w:val="19"/>
              </w:rPr>
              <w:t>0.01932</w:t>
            </w:r>
          </w:p>
        </w:tc>
      </w:tr>
      <w:tr>
        <w:trPr>
          <w:cantSplit/>
        </w:trPr>
        <w:tc>
          <w:tcPr>
            <w:tcW w:type="dxa" w:w="1613"/>
            <w:vAlign w:val="center"/>
          </w:tcPr>
          <w:p>
            <w:pPr>
              <w:keepNext/>
              <w:spacing w:after="0" w:before="0" w:line="240" w:lineRule="auto"/>
              <w:jc w:val="right"/>
            </w:pPr>
            <w:r>
              <w:rPr>
                <w:rFonts w:ascii="Calibri" w:hAnsi="Calibri"/>
                <w:b w:val="0"/>
                <w:sz w:val="19"/>
              </w:rPr>
              <w:t>14</w:t>
            </w:r>
          </w:p>
        </w:tc>
        <w:tc>
          <w:tcPr>
            <w:tcW w:type="dxa" w:w="2153"/>
            <w:vAlign w:val="center"/>
          </w:tcPr>
          <w:p>
            <w:pPr>
              <w:keepNext/>
              <w:spacing w:after="0" w:before="0" w:line="240" w:lineRule="auto"/>
            </w:pPr>
            <w:r>
              <w:rPr>
                <w:rFonts w:ascii="Calibri" w:hAnsi="Calibri"/>
                <w:b w:val="0"/>
                <w:sz w:val="19"/>
              </w:rPr>
              <w:t>Oracle4xMono</w:t>
            </w:r>
          </w:p>
        </w:tc>
        <w:tc>
          <w:tcPr>
            <w:tcW w:type="dxa" w:w="2153"/>
            <w:vAlign w:val="center"/>
          </w:tcPr>
          <w:p>
            <w:pPr>
              <w:keepNext/>
              <w:spacing w:after="0" w:before="0" w:line="240" w:lineRule="auto"/>
              <w:jc w:val="right"/>
            </w:pPr>
            <w:r>
              <w:rPr>
                <w:rFonts w:ascii="Calibri" w:hAnsi="Calibri"/>
                <w:b w:val="0"/>
                <w:sz w:val="19"/>
              </w:rPr>
              <w:t>42,752</w:t>
            </w:r>
          </w:p>
        </w:tc>
        <w:tc>
          <w:tcPr>
            <w:tcW w:type="dxa" w:w="2153"/>
            <w:vAlign w:val="center"/>
          </w:tcPr>
          <w:p>
            <w:pPr>
              <w:keepNext/>
              <w:spacing w:after="0" w:before="0" w:line="240" w:lineRule="auto"/>
              <w:jc w:val="right"/>
            </w:pPr>
            <w:r>
              <w:rPr>
                <w:rFonts w:ascii="Calibri" w:hAnsi="Calibri"/>
                <w:b w:val="0"/>
                <w:sz w:val="19"/>
              </w:rPr>
              <w:t>0.00597</w:t>
            </w:r>
          </w:p>
        </w:tc>
        <w:tc>
          <w:tcPr>
            <w:tcW w:type="dxa" w:w="2153"/>
            <w:vAlign w:val="center"/>
          </w:tcPr>
          <w:p>
            <w:pPr>
              <w:keepNext/>
              <w:spacing w:after="0" w:before="0" w:line="240" w:lineRule="auto"/>
              <w:jc w:val="right"/>
            </w:pPr>
            <w:r>
              <w:rPr>
                <w:rFonts w:ascii="Calibri" w:hAnsi="Calibri"/>
                <w:b w:val="0"/>
                <w:sz w:val="19"/>
              </w:rPr>
              <w:t>0.00339</w:t>
            </w:r>
          </w:p>
        </w:tc>
      </w:tr>
    </w:tbl>
    <w:p>
      <w:pPr>
        <w:keepLines/>
        <w:spacing w:before="60" w:after="120"/>
      </w:pPr>
      <w:r>
        <w:rPr>
          <w:sz w:val="18"/>
        </w:rPr>
        <w:t>Controlled simulation. Lower MSE indicates lower prediction error within the same task and target scaling. Oracle routing supplies true law identities and increases total parameters; it is a combined information and capacity comparison.</w:t>
      </w:r>
    </w:p>
    <w:p>
      <w:pPr>
        <w:keepNext/>
        <w:spacing w:after="60"/>
        <w:jc w:val="center"/>
      </w:pPr>
      <w:r>
        <w:drawing>
          <wp:inline xmlns:a="http://schemas.openxmlformats.org/drawingml/2006/main" xmlns:pic="http://schemas.openxmlformats.org/drawingml/2006/picture">
            <wp:extent cx="6309360" cy="3785616"/>
            <wp:docPr id="9" name="Picture 9"/>
            <wp:cNvGraphicFramePr>
              <a:graphicFrameLocks noChangeAspect="1"/>
            </wp:cNvGraphicFramePr>
            <a:graphic>
              <a:graphicData uri="http://schemas.openxmlformats.org/drawingml/2006/picture">
                <pic:pic>
                  <pic:nvPicPr>
                    <pic:cNvPr id="0" name="09_image9.png"/>
                    <pic:cNvPicPr/>
                  </pic:nvPicPr>
                  <pic:blipFill>
                    <a:blip r:embed="rId22"/>
                    <a:stretch>
                      <a:fillRect/>
                    </a:stretch>
                  </pic:blipFill>
                  <pic:spPr>
                    <a:xfrm>
                      <a:off x="0" y="0"/>
                      <a:ext cx="6309360" cy="3785616"/>
                    </a:xfrm>
                    <a:prstGeom prst="rect"/>
                  </pic:spPr>
                </pic:pic>
              </a:graphicData>
            </a:graphic>
          </wp:inline>
        </w:drawing>
      </w:r>
    </w:p>
    <w:p>
      <w:pPr>
        <w:pStyle w:val="Caption"/>
      </w:pPr>
      <w:r>
        <w:t>Figure 9. Capacity comparisons in heterogeneous long-memory conditions. Larger learned experts improve rollout. The oracle condition combines known law identities with four full-capacity blocks, so its advantage includes both routing information and additional capacity.</w:t>
      </w:r>
    </w:p>
    <w:p>
      <w:r>
        <w:t>For d=14, MonoBlock rollout MSE is 0.02176 and matched-budget MoE MSE is 0.03206. Overcomplete experts reduce MSE to 0.01932, approximately 11.2% below MonoBlock. Four full-capacity experts routed by the true law identity achieve 0.00339, approximately 84.4% below MonoBlock. The oracle condition uses 42,752 parameters versus 10,688 for MonoBlock; its improvement cannot be assigned to routing alone.</w:t>
      </w:r>
    </w:p>
    <w:p>
      <w:r>
        <w:t>The relevant questions are whether the transition field admits useful decomposition, whether each module has adequate capacity, and whether history identifies the local function to apply.</w:t>
      </w:r>
    </w:p>
    <w:p>
      <w:pPr>
        <w:pStyle w:val="Heading3"/>
      </w:pPr>
      <w:r>
        <w:t>5.1.5 History as system identification</w:t>
      </w:r>
    </w:p>
    <w:p>
      <w:r>
        <w:t>In single-law first-order worlds, four frames offer almost no linear prediction gain over one. With four hidden first-order laws, the gain rises to approximately 31–40%. The extra history identifies the unobserved generator even though the physical transition equation remains first-order.</w:t>
      </w:r>
    </w:p>
    <w:p>
      <w:r>
        <w:t>A process that is Markov in its full state can require history when part of that state or its governing regime is unobserved.</w:t>
      </w:r>
    </w:p>
    <w:p>
      <w:r>
        <w:t>Memory requirements therefore include dynamical dependence and identification of hidden states or regimes. A recurrent predictive state can use history to estimate which generating mechanism is currently active.</w:t>
      </w:r>
    </w:p>
    <w:p>
      <w:pPr>
        <w:pStyle w:val="Heading3"/>
      </w:pPr>
      <w:r>
        <w:t>5.1.6 Data properties and modelling implications</w:t>
      </w:r>
    </w:p>
    <w:p>
      <w:pPr>
        <w:pStyle w:val="Caption"/>
        <w:keepNext/>
      </w:pPr>
      <w:r>
        <w:t>Table 23. Data properties and architectural implications.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4032"/>
        <w:gridCol w:w="3960"/>
      </w:tblGrid>
      <w:tr>
        <w:trPr>
          <w:cantSplit/>
          <w:tblHeader/>
        </w:trPr>
        <w:tc>
          <w:tcPr>
            <w:tcW w:type="dxa" w:w="2232"/>
            <w:vAlign w:val="center"/>
            <w:shd w:fill="F2F2F2"/>
          </w:tcPr>
          <w:p>
            <w:pPr>
              <w:keepNext/>
              <w:spacing w:after="0" w:before="0" w:line="240" w:lineRule="auto"/>
            </w:pPr>
            <w:r>
              <w:rPr>
                <w:rFonts w:ascii="Calibri" w:hAnsi="Calibri"/>
                <w:b/>
                <w:sz w:val="19"/>
              </w:rPr>
              <w:t>Data property</w:t>
            </w:r>
          </w:p>
        </w:tc>
        <w:tc>
          <w:tcPr>
            <w:tcW w:type="dxa" w:w="4032"/>
            <w:vAlign w:val="center"/>
            <w:shd w:fill="F2F2F2"/>
          </w:tcPr>
          <w:p>
            <w:pPr>
              <w:keepNext/>
              <w:spacing w:after="0" w:before="0" w:line="240" w:lineRule="auto"/>
            </w:pPr>
            <w:r>
              <w:rPr>
                <w:rFonts w:ascii="Calibri" w:hAnsi="Calibri"/>
                <w:b/>
                <w:sz w:val="19"/>
              </w:rPr>
              <w:t>Observed training effect</w:t>
            </w:r>
          </w:p>
        </w:tc>
        <w:tc>
          <w:tcPr>
            <w:tcW w:type="dxa" w:w="3960"/>
            <w:vAlign w:val="center"/>
            <w:shd w:fill="F2F2F2"/>
          </w:tcPr>
          <w:p>
            <w:pPr>
              <w:keepNext/>
              <w:spacing w:after="0" w:before="0" w:line="240" w:lineRule="auto"/>
            </w:pPr>
            <w:r>
              <w:rPr>
                <w:rFonts w:ascii="Calibri" w:hAnsi="Calibri"/>
                <w:b/>
                <w:sz w:val="19"/>
              </w:rPr>
              <w:t>Modelling implication</w:t>
            </w:r>
          </w:p>
        </w:tc>
      </w:tr>
      <w:tr>
        <w:trPr>
          <w:cantSplit/>
        </w:trPr>
        <w:tc>
          <w:tcPr>
            <w:tcW w:type="dxa" w:w="2232"/>
            <w:vAlign w:val="center"/>
          </w:tcPr>
          <w:p>
            <w:pPr>
              <w:keepNext w:val="0"/>
              <w:spacing w:after="0" w:before="0" w:line="240" w:lineRule="auto"/>
            </w:pPr>
            <w:r>
              <w:rPr>
                <w:rFonts w:ascii="Calibri" w:hAnsi="Calibri"/>
                <w:b w:val="0"/>
                <w:sz w:val="19"/>
              </w:rPr>
              <w:t>Higher intrinsic dimension</w:t>
            </w:r>
          </w:p>
        </w:tc>
        <w:tc>
          <w:tcPr>
            <w:tcW w:type="dxa" w:w="4032"/>
            <w:vAlign w:val="center"/>
          </w:tcPr>
          <w:p>
            <w:pPr>
              <w:keepNext w:val="0"/>
              <w:spacing w:after="0" w:before="0" w:line="240" w:lineRule="auto"/>
            </w:pPr>
            <w:r>
              <w:rPr>
                <w:rFonts w:ascii="Calibri" w:hAnsi="Calibri"/>
                <w:b w:val="0"/>
                <w:sz w:val="19"/>
              </w:rPr>
              <w:t>Splitting a fixed budget can underallocate each local function</w:t>
            </w:r>
          </w:p>
        </w:tc>
        <w:tc>
          <w:tcPr>
            <w:tcW w:type="dxa" w:w="3960"/>
            <w:vAlign w:val="center"/>
          </w:tcPr>
          <w:p>
            <w:pPr>
              <w:keepNext w:val="0"/>
              <w:spacing w:after="0" w:before="0" w:line="240" w:lineRule="auto"/>
            </w:pPr>
            <w:r>
              <w:rPr>
                <w:rFonts w:ascii="Calibri" w:hAnsi="Calibri"/>
                <w:b w:val="0"/>
                <w:sz w:val="19"/>
              </w:rPr>
              <w:t>Test adequate per-expert capacity</w:t>
            </w:r>
          </w:p>
        </w:tc>
      </w:tr>
      <w:tr>
        <w:trPr>
          <w:cantSplit/>
        </w:trPr>
        <w:tc>
          <w:tcPr>
            <w:tcW w:type="dxa" w:w="2232"/>
            <w:vAlign w:val="center"/>
          </w:tcPr>
          <w:p>
            <w:pPr>
              <w:keepNext w:val="0"/>
              <w:spacing w:after="0" w:before="0" w:line="240" w:lineRule="auto"/>
            </w:pPr>
            <w:r>
              <w:rPr>
                <w:rFonts w:ascii="Calibri" w:hAnsi="Calibri"/>
                <w:b w:val="0"/>
                <w:sz w:val="19"/>
              </w:rPr>
              <w:t>Multiple transition laws</w:t>
            </w:r>
          </w:p>
        </w:tc>
        <w:tc>
          <w:tcPr>
            <w:tcW w:type="dxa" w:w="4032"/>
            <w:vAlign w:val="center"/>
          </w:tcPr>
          <w:p>
            <w:pPr>
              <w:keepNext w:val="0"/>
              <w:spacing w:after="0" w:before="0" w:line="240" w:lineRule="auto"/>
            </w:pPr>
            <w:r>
              <w:rPr>
                <w:rFonts w:ascii="Calibri" w:hAnsi="Calibri"/>
                <w:b w:val="0"/>
                <w:sz w:val="19"/>
              </w:rPr>
              <w:t>Routing interventions affect long rollout</w:t>
            </w:r>
          </w:p>
        </w:tc>
        <w:tc>
          <w:tcPr>
            <w:tcW w:type="dxa" w:w="3960"/>
            <w:vAlign w:val="center"/>
          </w:tcPr>
          <w:p>
            <w:pPr>
              <w:keepNext w:val="0"/>
              <w:spacing w:after="0" w:before="0" w:line="240" w:lineRule="auto"/>
            </w:pPr>
            <w:r>
              <w:rPr>
                <w:rFonts w:ascii="Calibri" w:hAnsi="Calibri"/>
                <w:b w:val="0"/>
                <w:sz w:val="19"/>
              </w:rPr>
              <w:t>Evaluate state-​conditioned modules</w:t>
            </w:r>
          </w:p>
        </w:tc>
      </w:tr>
      <w:tr>
        <w:trPr>
          <w:cantSplit/>
        </w:trPr>
        <w:tc>
          <w:tcPr>
            <w:tcW w:type="dxa" w:w="2232"/>
            <w:vAlign w:val="center"/>
          </w:tcPr>
          <w:p>
            <w:pPr>
              <w:keepNext w:val="0"/>
              <w:spacing w:after="0" w:before="0" w:line="240" w:lineRule="auto"/>
            </w:pPr>
            <w:r>
              <w:rPr>
                <w:rFonts w:ascii="Calibri" w:hAnsi="Calibri"/>
                <w:b w:val="0"/>
                <w:sz w:val="19"/>
              </w:rPr>
              <w:t>Longer dynamical memory</w:t>
            </w:r>
          </w:p>
        </w:tc>
        <w:tc>
          <w:tcPr>
            <w:tcW w:type="dxa" w:w="4032"/>
            <w:vAlign w:val="center"/>
          </w:tcPr>
          <w:p>
            <w:pPr>
              <w:keepNext w:val="0"/>
              <w:spacing w:after="0" w:before="0" w:line="240" w:lineRule="auto"/>
            </w:pPr>
            <w:r>
              <w:rPr>
                <w:rFonts w:ascii="Calibri" w:hAnsi="Calibri"/>
                <w:b w:val="0"/>
                <w:sz w:val="19"/>
              </w:rPr>
              <w:t>One frame omits predictive information</w:t>
            </w:r>
          </w:p>
        </w:tc>
        <w:tc>
          <w:tcPr>
            <w:tcW w:type="dxa" w:w="3960"/>
            <w:vAlign w:val="center"/>
          </w:tcPr>
          <w:p>
            <w:pPr>
              <w:keepNext w:val="0"/>
              <w:spacing w:after="0" w:before="0" w:line="240" w:lineRule="auto"/>
            </w:pPr>
            <w:r>
              <w:rPr>
                <w:rFonts w:ascii="Calibri" w:hAnsi="Calibri"/>
                <w:b w:val="0"/>
                <w:sz w:val="19"/>
              </w:rPr>
              <w:t>Retain history in state estimation</w:t>
            </w:r>
          </w:p>
        </w:tc>
      </w:tr>
      <w:tr>
        <w:trPr>
          <w:cantSplit/>
        </w:trPr>
        <w:tc>
          <w:tcPr>
            <w:tcW w:type="dxa" w:w="2232"/>
            <w:vAlign w:val="center"/>
          </w:tcPr>
          <w:p>
            <w:pPr>
              <w:keepNext w:val="0"/>
              <w:spacing w:after="0" w:before="0" w:line="240" w:lineRule="auto"/>
            </w:pPr>
            <w:r>
              <w:rPr>
                <w:rFonts w:ascii="Calibri" w:hAnsi="Calibri"/>
                <w:b w:val="0"/>
                <w:sz w:val="19"/>
              </w:rPr>
              <w:t>Hidden generator identity</w:t>
            </w:r>
          </w:p>
        </w:tc>
        <w:tc>
          <w:tcPr>
            <w:tcW w:type="dxa" w:w="4032"/>
            <w:vAlign w:val="center"/>
          </w:tcPr>
          <w:p>
            <w:pPr>
              <w:keepNext w:val="0"/>
              <w:spacing w:after="0" w:before="0" w:line="240" w:lineRule="auto"/>
            </w:pPr>
            <w:r>
              <w:rPr>
                <w:rFonts w:ascii="Calibri" w:hAnsi="Calibri"/>
                <w:b w:val="0"/>
                <w:sz w:val="19"/>
              </w:rPr>
              <w:t>History helps even with first-order latent dynamics</w:t>
            </w:r>
          </w:p>
        </w:tc>
        <w:tc>
          <w:tcPr>
            <w:tcW w:type="dxa" w:w="3960"/>
            <w:vAlign w:val="center"/>
          </w:tcPr>
          <w:p>
            <w:pPr>
              <w:keepNext w:val="0"/>
              <w:spacing w:after="0" w:before="0" w:line="240" w:lineRule="auto"/>
            </w:pPr>
            <w:r>
              <w:rPr>
                <w:rFonts w:ascii="Calibri" w:hAnsi="Calibri"/>
                <w:b w:val="0"/>
                <w:sz w:val="19"/>
              </w:rPr>
              <w:t>Evaluate system identification from history</w:t>
            </w:r>
          </w:p>
        </w:tc>
      </w:tr>
      <w:tr>
        <w:trPr>
          <w:cantSplit/>
        </w:trPr>
        <w:tc>
          <w:tcPr>
            <w:tcW w:type="dxa" w:w="2232"/>
            <w:vAlign w:val="center"/>
          </w:tcPr>
          <w:p>
            <w:pPr>
              <w:keepNext w:val="0"/>
              <w:spacing w:after="0" w:before="0" w:line="240" w:lineRule="auto"/>
            </w:pPr>
            <w:r>
              <w:rPr>
                <w:rFonts w:ascii="Calibri" w:hAnsi="Calibri"/>
                <w:b w:val="0"/>
                <w:sz w:val="19"/>
              </w:rPr>
              <w:t>Rollout sensitivity</w:t>
            </w:r>
          </w:p>
        </w:tc>
        <w:tc>
          <w:tcPr>
            <w:tcW w:type="dxa" w:w="4032"/>
            <w:vAlign w:val="center"/>
          </w:tcPr>
          <w:p>
            <w:pPr>
              <w:keepNext w:val="0"/>
              <w:spacing w:after="0" w:before="0" w:line="240" w:lineRule="auto"/>
            </w:pPr>
            <w:r>
              <w:rPr>
                <w:rFonts w:ascii="Calibri" w:hAnsi="Calibri"/>
                <w:b w:val="0"/>
                <w:sz w:val="19"/>
              </w:rPr>
              <w:t>One-step and rollout rankings can differ</w:t>
            </w:r>
          </w:p>
        </w:tc>
        <w:tc>
          <w:tcPr>
            <w:tcW w:type="dxa" w:w="3960"/>
            <w:vAlign w:val="center"/>
          </w:tcPr>
          <w:p>
            <w:pPr>
              <w:keepNext w:val="0"/>
              <w:spacing w:after="0" w:before="0" w:line="240" w:lineRule="auto"/>
            </w:pPr>
            <w:r>
              <w:rPr>
                <w:rFonts w:ascii="Calibri" w:hAnsi="Calibri"/>
                <w:b w:val="0"/>
                <w:sz w:val="19"/>
              </w:rPr>
              <w:t>Select models using the relevant horizon</w:t>
            </w:r>
          </w:p>
        </w:tc>
      </w:tr>
    </w:tbl>
    <w:p>
      <w:pPr>
        <w:pStyle w:val="Heading3"/>
        <w:spacing w:before="100"/>
      </w:pPr>
      <w:r>
        <w:t>5.1.7 Empirical design criteria</w:t>
      </w:r>
    </w:p>
    <w:p>
      <w:r>
        <w:t>Estimate local response complexity and history requirements before allocating expert capacity. Evaluate routing through prediction and intervention, alongside comparisons with a shared model.</w:t>
      </w:r>
    </w:p>
    <w:p>
      <w:r>
        <w:t>A useful conceptual summary of the interacting design variables is:</w:t>
      </w:r>
    </w:p>
    <w:p>
      <w:r>
        <w:t>data geometry, generator ambiguity, per-expert capacity and routing quality jointly influence long-horizon predictive stability.</w:t>
      </w:r>
    </w:p>
    <w:p>
      <w:pPr>
        <w:pStyle w:val="Caption"/>
        <w:keepNext/>
      </w:pPr>
      <w:r>
        <w:t>Table 24. Diagnostic axes beyond dimension.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4032"/>
        <w:gridCol w:w="3960"/>
      </w:tblGrid>
      <w:tr>
        <w:trPr>
          <w:cantSplit/>
          <w:tblHeader/>
        </w:trPr>
        <w:tc>
          <w:tcPr>
            <w:tcW w:type="dxa" w:w="2232"/>
            <w:vAlign w:val="center"/>
            <w:shd w:fill="F2F2F2"/>
          </w:tcPr>
          <w:p>
            <w:pPr>
              <w:keepNext/>
              <w:spacing w:after="0" w:before="0" w:line="240" w:lineRule="auto"/>
            </w:pPr>
            <w:r>
              <w:rPr>
                <w:rFonts w:ascii="Calibri" w:hAnsi="Calibri"/>
                <w:b/>
                <w:sz w:val="19"/>
              </w:rPr>
              <w:t>Diagnostic axis</w:t>
            </w:r>
          </w:p>
        </w:tc>
        <w:tc>
          <w:tcPr>
            <w:tcW w:type="dxa" w:w="4032"/>
            <w:vAlign w:val="center"/>
            <w:shd w:fill="F2F2F2"/>
          </w:tcPr>
          <w:p>
            <w:pPr>
              <w:keepNext/>
              <w:spacing w:after="0" w:before="0" w:line="240" w:lineRule="auto"/>
            </w:pPr>
            <w:r>
              <w:rPr>
                <w:rFonts w:ascii="Calibri" w:hAnsi="Calibri"/>
                <w:b/>
                <w:sz w:val="19"/>
              </w:rPr>
              <w:t>Variation beyond effective dimension</w:t>
            </w:r>
          </w:p>
        </w:tc>
        <w:tc>
          <w:tcPr>
            <w:tcW w:type="dxa" w:w="3960"/>
            <w:vAlign w:val="center"/>
            <w:shd w:fill="F2F2F2"/>
          </w:tcPr>
          <w:p>
            <w:pPr>
              <w:keepNext/>
              <w:spacing w:after="0" w:before="0" w:line="240" w:lineRule="auto"/>
            </w:pPr>
            <w:r>
              <w:rPr>
                <w:rFonts w:ascii="Calibri" w:hAnsi="Calibri"/>
                <w:b/>
                <w:sz w:val="19"/>
              </w:rPr>
              <w:t>Model comparison</w:t>
            </w:r>
          </w:p>
        </w:tc>
      </w:tr>
      <w:tr>
        <w:trPr>
          <w:cantSplit/>
        </w:trPr>
        <w:tc>
          <w:tcPr>
            <w:tcW w:type="dxa" w:w="2232"/>
            <w:vAlign w:val="center"/>
          </w:tcPr>
          <w:p>
            <w:pPr>
              <w:keepNext w:val="0"/>
              <w:spacing w:after="0" w:before="0" w:line="240" w:lineRule="auto"/>
            </w:pPr>
            <w:r>
              <w:rPr>
                <w:rFonts w:ascii="Calibri" w:hAnsi="Calibri"/>
                <w:b w:val="0"/>
                <w:sz w:val="19"/>
              </w:rPr>
              <w:t>Curvature / nonlinearity</w:t>
            </w:r>
          </w:p>
        </w:tc>
        <w:tc>
          <w:tcPr>
            <w:tcW w:type="dxa" w:w="4032"/>
            <w:vAlign w:val="center"/>
          </w:tcPr>
          <w:p>
            <w:pPr>
              <w:keepNext w:val="0"/>
              <w:spacing w:after="0" w:before="0" w:line="240" w:lineRule="auto"/>
            </w:pPr>
            <w:r>
              <w:rPr>
                <w:rFonts w:ascii="Calibri" w:hAnsi="Calibri"/>
                <w:b w:val="0"/>
                <w:sz w:val="19"/>
              </w:rPr>
              <w:t>Equal d95 can have different local derivatives</w:t>
            </w:r>
          </w:p>
        </w:tc>
        <w:tc>
          <w:tcPr>
            <w:tcW w:type="dxa" w:w="3960"/>
            <w:vAlign w:val="center"/>
          </w:tcPr>
          <w:p>
            <w:pPr>
              <w:keepNext w:val="0"/>
              <w:spacing w:after="0" w:before="0" w:line="240" w:lineRule="auto"/>
            </w:pPr>
            <w:r>
              <w:rPr>
                <w:rFonts w:ascii="Calibri" w:hAnsi="Calibri"/>
                <w:b w:val="0"/>
                <w:sz w:val="19"/>
              </w:rPr>
              <w:t>Block width, expert count and routing sparsity</w:t>
            </w:r>
          </w:p>
        </w:tc>
      </w:tr>
      <w:tr>
        <w:trPr>
          <w:cantSplit/>
        </w:trPr>
        <w:tc>
          <w:tcPr>
            <w:tcW w:type="dxa" w:w="2232"/>
            <w:vAlign w:val="center"/>
          </w:tcPr>
          <w:p>
            <w:pPr>
              <w:keepNext w:val="0"/>
              <w:spacing w:after="0" w:before="0" w:line="240" w:lineRule="auto"/>
            </w:pPr>
            <w:r>
              <w:rPr>
                <w:rFonts w:ascii="Calibri" w:hAnsi="Calibri"/>
                <w:b w:val="0"/>
                <w:sz w:val="19"/>
              </w:rPr>
              <w:t>Conditional innovation</w:t>
            </w:r>
          </w:p>
        </w:tc>
        <w:tc>
          <w:tcPr>
            <w:tcW w:type="dxa" w:w="4032"/>
            <w:vAlign w:val="center"/>
          </w:tcPr>
          <w:p>
            <w:pPr>
              <w:keepNext w:val="0"/>
              <w:spacing w:after="0" w:before="0" w:line="240" w:lineRule="auto"/>
            </w:pPr>
            <w:r>
              <w:rPr>
                <w:rFonts w:ascii="Calibri" w:hAnsi="Calibri"/>
                <w:b w:val="0"/>
                <w:sz w:val="19"/>
              </w:rPr>
              <w:t>Unpredictable noise differs from structured dimension</w:t>
            </w:r>
          </w:p>
        </w:tc>
        <w:tc>
          <w:tcPr>
            <w:tcW w:type="dxa" w:w="3960"/>
            <w:vAlign w:val="center"/>
          </w:tcPr>
          <w:p>
            <w:pPr>
              <w:keepNext w:val="0"/>
              <w:spacing w:after="0" w:before="0" w:line="240" w:lineRule="auto"/>
            </w:pPr>
            <w:r>
              <w:rPr>
                <w:rFonts w:ascii="Calibri" w:hAnsi="Calibri"/>
                <w:b w:val="0"/>
                <w:sz w:val="19"/>
              </w:rPr>
              <w:t>Noise fit and shared-predictor performance</w:t>
            </w:r>
          </w:p>
        </w:tc>
      </w:tr>
      <w:tr>
        <w:trPr>
          <w:cantSplit/>
        </w:trPr>
        <w:tc>
          <w:tcPr>
            <w:tcW w:type="dxa" w:w="2232"/>
            <w:vAlign w:val="center"/>
          </w:tcPr>
          <w:p>
            <w:pPr>
              <w:keepNext w:val="0"/>
              <w:spacing w:after="0" w:before="0" w:line="240" w:lineRule="auto"/>
            </w:pPr>
            <w:r>
              <w:rPr>
                <w:rFonts w:ascii="Calibri" w:hAnsi="Calibri"/>
                <w:b w:val="0"/>
                <w:sz w:val="19"/>
              </w:rPr>
              <w:t>Partial observability</w:t>
            </w:r>
          </w:p>
        </w:tc>
        <w:tc>
          <w:tcPr>
            <w:tcW w:type="dxa" w:w="4032"/>
            <w:vAlign w:val="center"/>
          </w:tcPr>
          <w:p>
            <w:pPr>
              <w:keepNext w:val="0"/>
              <w:spacing w:after="0" w:before="0" w:line="240" w:lineRule="auto"/>
            </w:pPr>
            <w:r>
              <w:rPr>
                <w:rFonts w:ascii="Calibri" w:hAnsi="Calibri"/>
                <w:b w:val="0"/>
                <w:sz w:val="19"/>
              </w:rPr>
              <w:t>Hidden states can alias in current observations</w:t>
            </w:r>
          </w:p>
        </w:tc>
        <w:tc>
          <w:tcPr>
            <w:tcW w:type="dxa" w:w="3960"/>
            <w:vAlign w:val="center"/>
          </w:tcPr>
          <w:p>
            <w:pPr>
              <w:keepNext w:val="0"/>
              <w:spacing w:after="0" w:before="0" w:line="240" w:lineRule="auto"/>
            </w:pPr>
            <w:r>
              <w:rPr>
                <w:rFonts w:ascii="Calibri" w:hAnsi="Calibri"/>
                <w:b w:val="0"/>
                <w:sz w:val="19"/>
              </w:rPr>
              <w:t>History length, state dimension and specialization</w:t>
            </w:r>
          </w:p>
        </w:tc>
      </w:tr>
      <w:tr>
        <w:trPr>
          <w:cantSplit/>
        </w:trPr>
        <w:tc>
          <w:tcPr>
            <w:tcW w:type="dxa" w:w="2232"/>
            <w:vAlign w:val="center"/>
          </w:tcPr>
          <w:p>
            <w:pPr>
              <w:keepNext w:val="0"/>
              <w:spacing w:after="0" w:before="0" w:line="240" w:lineRule="auto"/>
            </w:pPr>
            <w:r>
              <w:rPr>
                <w:rFonts w:ascii="Calibri" w:hAnsi="Calibri"/>
                <w:b w:val="0"/>
                <w:sz w:val="19"/>
              </w:rPr>
              <w:t>Topology</w:t>
            </w:r>
          </w:p>
        </w:tc>
        <w:tc>
          <w:tcPr>
            <w:tcW w:type="dxa" w:w="4032"/>
            <w:vAlign w:val="center"/>
          </w:tcPr>
          <w:p>
            <w:pPr>
              <w:keepNext w:val="0"/>
              <w:spacing w:after="0" w:before="0" w:line="240" w:lineRule="auto"/>
            </w:pPr>
            <w:r>
              <w:rPr>
                <w:rFonts w:ascii="Calibri" w:hAnsi="Calibri"/>
                <w:b w:val="0"/>
                <w:sz w:val="19"/>
              </w:rPr>
              <w:t>Sequences, sets, graphs and fields preserve different relations</w:t>
            </w:r>
          </w:p>
        </w:tc>
        <w:tc>
          <w:tcPr>
            <w:tcW w:type="dxa" w:w="3960"/>
            <w:vAlign w:val="center"/>
          </w:tcPr>
          <w:p>
            <w:pPr>
              <w:keepNext w:val="0"/>
              <w:spacing w:after="0" w:before="0" w:line="240" w:lineRule="auto"/>
            </w:pPr>
            <w:r>
              <w:rPr>
                <w:rFonts w:ascii="Calibri" w:hAnsi="Calibri"/>
                <w:b w:val="0"/>
                <w:sz w:val="19"/>
              </w:rPr>
              <w:t>Native encoders and common encodings</w:t>
            </w:r>
          </w:p>
        </w:tc>
      </w:tr>
      <w:tr>
        <w:trPr>
          <w:cantSplit/>
        </w:trPr>
        <w:tc>
          <w:tcPr>
            <w:tcW w:type="dxa" w:w="2232"/>
            <w:vAlign w:val="center"/>
          </w:tcPr>
          <w:p>
            <w:pPr>
              <w:keepNext w:val="0"/>
              <w:spacing w:after="0" w:before="0" w:line="240" w:lineRule="auto"/>
            </w:pPr>
            <w:r>
              <w:rPr>
                <w:rFonts w:ascii="Calibri" w:hAnsi="Calibri"/>
                <w:b w:val="0"/>
                <w:sz w:val="19"/>
              </w:rPr>
              <w:t>Nonstationarity / switching</w:t>
            </w:r>
          </w:p>
        </w:tc>
        <w:tc>
          <w:tcPr>
            <w:tcW w:type="dxa" w:w="4032"/>
            <w:vAlign w:val="center"/>
          </w:tcPr>
          <w:p>
            <w:pPr>
              <w:keepNext w:val="0"/>
              <w:spacing w:after="0" w:before="0" w:line="240" w:lineRule="auto"/>
            </w:pPr>
            <w:r>
              <w:rPr>
                <w:rFonts w:ascii="Calibri" w:hAnsi="Calibri"/>
                <w:b w:val="0"/>
                <w:sz w:val="19"/>
              </w:rPr>
              <w:t>The generator can change within an episode</w:t>
            </w:r>
          </w:p>
        </w:tc>
        <w:tc>
          <w:tcPr>
            <w:tcW w:type="dxa" w:w="3960"/>
            <w:vAlign w:val="center"/>
          </w:tcPr>
          <w:p>
            <w:pPr>
              <w:keepNext w:val="0"/>
              <w:spacing w:after="0" w:before="0" w:line="240" w:lineRule="auto"/>
            </w:pPr>
            <w:r>
              <w:rPr>
                <w:rFonts w:ascii="Calibri" w:hAnsi="Calibri"/>
                <w:b w:val="0"/>
                <w:sz w:val="19"/>
              </w:rPr>
              <w:t>Routing response, lag and interference</w:t>
            </w:r>
          </w:p>
        </w:tc>
      </w:tr>
      <w:tr>
        <w:trPr>
          <w:cantSplit/>
        </w:trPr>
        <w:tc>
          <w:tcPr>
            <w:tcW w:type="dxa" w:w="2232"/>
            <w:vAlign w:val="center"/>
          </w:tcPr>
          <w:p>
            <w:pPr>
              <w:keepNext w:val="0"/>
              <w:spacing w:after="0" w:before="0" w:line="240" w:lineRule="auto"/>
            </w:pPr>
            <w:r>
              <w:rPr>
                <w:rFonts w:ascii="Calibri" w:hAnsi="Calibri"/>
                <w:b w:val="0"/>
                <w:sz w:val="19"/>
              </w:rPr>
              <w:t>Symmetry / gauge</w:t>
            </w:r>
          </w:p>
        </w:tc>
        <w:tc>
          <w:tcPr>
            <w:tcW w:type="dxa" w:w="4032"/>
            <w:vAlign w:val="center"/>
          </w:tcPr>
          <w:p>
            <w:pPr>
              <w:keepNext w:val="0"/>
              <w:spacing w:after="0" w:before="0" w:line="240" w:lineRule="auto"/>
            </w:pPr>
            <w:r>
              <w:rPr>
                <w:rFonts w:ascii="Calibri" w:hAnsi="Calibri"/>
                <w:b w:val="0"/>
                <w:sz w:val="19"/>
              </w:rPr>
              <w:t>Raw coordinates can contain representational redundancy</w:t>
            </w:r>
          </w:p>
        </w:tc>
        <w:tc>
          <w:tcPr>
            <w:tcW w:type="dxa" w:w="3960"/>
            <w:vAlign w:val="center"/>
          </w:tcPr>
          <w:p>
            <w:pPr>
              <w:keepNext w:val="0"/>
              <w:spacing w:after="0" w:before="0" w:line="240" w:lineRule="auto"/>
            </w:pPr>
            <w:r>
              <w:rPr>
                <w:rFonts w:ascii="Calibri" w:hAnsi="Calibri"/>
                <w:b w:val="0"/>
                <w:sz w:val="19"/>
              </w:rPr>
              <w:t>Functional response geometry and state size</w:t>
            </w:r>
          </w:p>
        </w:tc>
      </w:tr>
      <w:tr>
        <w:trPr>
          <w:cantSplit/>
        </w:trPr>
        <w:tc>
          <w:tcPr>
            <w:tcW w:type="dxa" w:w="2232"/>
            <w:vAlign w:val="center"/>
          </w:tcPr>
          <w:p>
            <w:pPr>
              <w:keepNext w:val="0"/>
              <w:spacing w:after="0" w:before="0" w:line="240" w:lineRule="auto"/>
            </w:pPr>
            <w:r>
              <w:rPr>
                <w:rFonts w:ascii="Calibri" w:hAnsi="Calibri"/>
                <w:b w:val="0"/>
                <w:sz w:val="19"/>
              </w:rPr>
              <w:t>Sparse events / heavy tails</w:t>
            </w:r>
          </w:p>
        </w:tc>
        <w:tc>
          <w:tcPr>
            <w:tcW w:type="dxa" w:w="4032"/>
            <w:vAlign w:val="center"/>
          </w:tcPr>
          <w:p>
            <w:pPr>
              <w:keepNext w:val="0"/>
              <w:spacing w:after="0" w:before="0" w:line="240" w:lineRule="auto"/>
            </w:pPr>
            <w:r>
              <w:rPr>
                <w:rFonts w:ascii="Calibri" w:hAnsi="Calibri"/>
                <w:b w:val="0"/>
                <w:sz w:val="19"/>
              </w:rPr>
              <w:t>Rare events can have large predictive consequences</w:t>
            </w:r>
          </w:p>
        </w:tc>
        <w:tc>
          <w:tcPr>
            <w:tcW w:type="dxa" w:w="3960"/>
            <w:vAlign w:val="center"/>
          </w:tcPr>
          <w:p>
            <w:pPr>
              <w:keepNext w:val="0"/>
              <w:spacing w:after="0" w:before="0" w:line="240" w:lineRule="auto"/>
            </w:pPr>
            <w:r>
              <w:rPr>
                <w:rFonts w:ascii="Calibri" w:hAnsi="Calibri"/>
                <w:b w:val="0"/>
                <w:sz w:val="19"/>
              </w:rPr>
              <w:t>Capacity allocation and retention of rare events</w:t>
            </w:r>
          </w:p>
        </w:tc>
      </w:tr>
    </w:tbl>
    <w:p>
      <w:pPr>
        <w:pStyle w:val="Heading3"/>
        <w:spacing w:before="100"/>
      </w:pPr>
      <w:r>
        <w:t>5.1.8 Results synthesis</w:t>
      </w:r>
    </w:p>
    <w:p>
      <w:r>
        <w:t>Heterogeneity creates a potential benefit from specialization, and local response complexity determines the capacity required to realize it.</w:t>
      </w:r>
    </w:p>
    <w:p>
      <w:r>
        <w:t>A small, evenly divided MoE can perform substantially worse than a monolithic model even when its routing is useful. Increasing expert capacity reverses the higher-dimensional rollout comparison. The oracle condition measures the combined benefit of known regime identities and larger total capacity.</w:t>
      </w:r>
    </w:p>
    <w:p>
      <w:r>
        <w:t>These results support maintaining enough representational capacity to separate relevant mechanisms and testing specialization as a capacity-allocation choice. They do not establish a universal minimum state dimension or a universally preferred modular architecture.</w:t>
      </w:r>
    </w:p>
    <w:p>
      <w:pPr>
        <w:pStyle w:val="Heading3"/>
      </w:pPr>
      <w:r>
        <w:t>5.1.9 Evidence records</w:t>
      </w:r>
    </w:p>
    <w:p>
      <w:pPr>
        <w:pStyle w:val="Caption"/>
        <w:keepNext/>
      </w:pPr>
      <w:r>
        <w:t>Table 25. Experiment 003 evidence records.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Evidence record</w:t>
            </w:r>
          </w:p>
        </w:tc>
        <w:tc>
          <w:tcPr>
            <w:tcW w:type="dxa" w:w="6984"/>
            <w:vAlign w:val="center"/>
            <w:shd w:fill="F2F2F2"/>
          </w:tcPr>
          <w:p>
            <w:pPr>
              <w:keepNext/>
              <w:spacing w:after="0" w:before="0" w:line="240" w:lineRule="auto"/>
            </w:pPr>
            <w:r>
              <w:rPr>
                <w:rFonts w:ascii="Calibri" w:hAnsi="Calibri"/>
                <w:b/>
                <w:sz w:val="19"/>
              </w:rPr>
              <w:t>Contents</w:t>
            </w:r>
          </w:p>
        </w:tc>
      </w:tr>
      <w:tr>
        <w:trPr>
          <w:cantSplit/>
        </w:trPr>
        <w:tc>
          <w:tcPr>
            <w:tcW w:type="dxa" w:w="3240"/>
            <w:vAlign w:val="center"/>
          </w:tcPr>
          <w:p>
            <w:pPr>
              <w:keepNext w:val="0"/>
              <w:spacing w:after="0" w:before="0" w:line="240" w:lineRule="auto"/>
            </w:pPr>
            <w:r>
              <w:rPr>
                <w:rFonts w:ascii="Calibri" w:hAnsi="Calibri"/>
                <w:b w:val="0"/>
                <w:sz w:val="19"/>
              </w:rPr>
              <w:t>WORLD_​DATA_​GEOMETRY_​003_​bundle.zip</w:t>
            </w:r>
          </w:p>
        </w:tc>
        <w:tc>
          <w:tcPr>
            <w:tcW w:type="dxa" w:w="6984"/>
            <w:vAlign w:val="center"/>
          </w:tcPr>
          <w:p>
            <w:pPr>
              <w:keepNext w:val="0"/>
              <w:spacing w:after="0" w:before="0" w:line="240" w:lineRule="auto"/>
            </w:pPr>
            <w:r>
              <w:rPr>
                <w:rFonts w:ascii="Calibri" w:hAnsi="Calibri"/>
                <w:b w:val="0"/>
                <w:sz w:val="19"/>
              </w:rPr>
              <w:t>Experiment evidence bundle</w:t>
            </w:r>
          </w:p>
        </w:tc>
      </w:tr>
      <w:tr>
        <w:trPr>
          <w:cantSplit/>
        </w:trPr>
        <w:tc>
          <w:tcPr>
            <w:tcW w:type="dxa" w:w="3240"/>
            <w:vAlign w:val="center"/>
          </w:tcPr>
          <w:p>
            <w:pPr>
              <w:keepNext w:val="0"/>
              <w:spacing w:after="0" w:before="0" w:line="240" w:lineRule="auto"/>
            </w:pPr>
            <w:r>
              <w:rPr>
                <w:rFonts w:ascii="Calibri" w:hAnsi="Calibri"/>
                <w:b w:val="0"/>
                <w:sz w:val="19"/>
              </w:rPr>
              <w:t>all_runs.csv</w:t>
            </w:r>
          </w:p>
        </w:tc>
        <w:tc>
          <w:tcPr>
            <w:tcW w:type="dxa" w:w="6984"/>
            <w:vAlign w:val="center"/>
          </w:tcPr>
          <w:p>
            <w:pPr>
              <w:keepNext w:val="0"/>
              <w:spacing w:after="0" w:before="0" w:line="240" w:lineRule="auto"/>
            </w:pPr>
            <w:r>
              <w:rPr>
                <w:rFonts w:ascii="Calibri" w:hAnsi="Calibri"/>
                <w:b w:val="0"/>
                <w:sz w:val="19"/>
              </w:rPr>
              <w:t>8 conditions × 2 seeds × Mono/MoE results</w:t>
            </w:r>
          </w:p>
        </w:tc>
      </w:tr>
      <w:tr>
        <w:trPr>
          <w:cantSplit/>
        </w:trPr>
        <w:tc>
          <w:tcPr>
            <w:tcW w:type="dxa" w:w="3240"/>
            <w:vAlign w:val="center"/>
          </w:tcPr>
          <w:p>
            <w:pPr>
              <w:keepNext w:val="0"/>
              <w:spacing w:after="0" w:before="0" w:line="240" w:lineRule="auto"/>
            </w:pPr>
            <w:r>
              <w:rPr>
                <w:rFonts w:ascii="Calibri" w:hAnsi="Calibri"/>
                <w:b w:val="0"/>
                <w:sz w:val="19"/>
              </w:rPr>
              <w:t>condition_​geometry.csv</w:t>
            </w:r>
          </w:p>
        </w:tc>
        <w:tc>
          <w:tcPr>
            <w:tcW w:type="dxa" w:w="6984"/>
            <w:vAlign w:val="center"/>
          </w:tcPr>
          <w:p>
            <w:pPr>
              <w:keepNext w:val="0"/>
              <w:spacing w:after="0" w:before="0" w:line="240" w:lineRule="auto"/>
            </w:pPr>
            <w:r>
              <w:rPr>
                <w:rFonts w:ascii="Calibri" w:hAnsi="Calibri"/>
                <w:b w:val="0"/>
                <w:sz w:val="19"/>
              </w:rPr>
              <w:t>d95, history gain and law separation by condition</w:t>
            </w:r>
          </w:p>
        </w:tc>
      </w:tr>
      <w:tr>
        <w:trPr>
          <w:cantSplit/>
        </w:trPr>
        <w:tc>
          <w:tcPr>
            <w:tcW w:type="dxa" w:w="3240"/>
            <w:vAlign w:val="center"/>
          </w:tcPr>
          <w:p>
            <w:pPr>
              <w:keepNext w:val="0"/>
              <w:spacing w:after="0" w:before="0" w:line="240" w:lineRule="auto"/>
            </w:pPr>
            <w:r>
              <w:rPr>
                <w:rFonts w:ascii="Calibri" w:hAnsi="Calibri"/>
                <w:b w:val="0"/>
                <w:sz w:val="19"/>
              </w:rPr>
              <w:t>condition_​summary.csv</w:t>
            </w:r>
          </w:p>
        </w:tc>
        <w:tc>
          <w:tcPr>
            <w:tcW w:type="dxa" w:w="6984"/>
            <w:vAlign w:val="center"/>
          </w:tcPr>
          <w:p>
            <w:pPr>
              <w:keepNext w:val="0"/>
              <w:spacing w:after="0" w:before="0" w:line="240" w:lineRule="auto"/>
            </w:pPr>
            <w:r>
              <w:rPr>
                <w:rFonts w:ascii="Calibri" w:hAnsi="Calibri"/>
                <w:b w:val="0"/>
                <w:sz w:val="19"/>
              </w:rPr>
              <w:t>Factorial summary and MoE gain</w:t>
            </w:r>
          </w:p>
        </w:tc>
      </w:tr>
      <w:tr>
        <w:trPr>
          <w:cantSplit/>
        </w:trPr>
        <w:tc>
          <w:tcPr>
            <w:tcW w:type="dxa" w:w="3240"/>
            <w:vAlign w:val="center"/>
          </w:tcPr>
          <w:p>
            <w:pPr>
              <w:keepNext w:val="0"/>
              <w:spacing w:after="0" w:before="0" w:line="240" w:lineRule="auto"/>
            </w:pPr>
            <w:r>
              <w:rPr>
                <w:rFonts w:ascii="Calibri" w:hAnsi="Calibri"/>
                <w:b w:val="0"/>
                <w:sz w:val="19"/>
              </w:rPr>
              <w:t>router_​summary.csv</w:t>
            </w:r>
          </w:p>
        </w:tc>
        <w:tc>
          <w:tcPr>
            <w:tcW w:type="dxa" w:w="6984"/>
            <w:vAlign w:val="center"/>
          </w:tcPr>
          <w:p>
            <w:pPr>
              <w:keepNext w:val="0"/>
              <w:spacing w:after="0" w:before="0" w:line="240" w:lineRule="auto"/>
            </w:pPr>
            <w:r>
              <w:rPr>
                <w:rFonts w:ascii="Calibri" w:hAnsi="Calibri"/>
                <w:b w:val="0"/>
                <w:sz w:val="19"/>
              </w:rPr>
              <w:t>Entropy, law NMI and routing interventions</w:t>
            </w:r>
          </w:p>
        </w:tc>
      </w:tr>
      <w:tr>
        <w:trPr>
          <w:cantSplit/>
        </w:trPr>
        <w:tc>
          <w:tcPr>
            <w:tcW w:type="dxa" w:w="3240"/>
            <w:vAlign w:val="center"/>
          </w:tcPr>
          <w:p>
            <w:pPr>
              <w:keepNext w:val="0"/>
              <w:spacing w:after="0" w:before="0" w:line="240" w:lineRule="auto"/>
            </w:pPr>
            <w:r>
              <w:rPr>
                <w:rFonts w:ascii="Calibri" w:hAnsi="Calibri"/>
                <w:b w:val="0"/>
                <w:sz w:val="19"/>
              </w:rPr>
              <w:t>capacity_​followup.csv</w:t>
            </w:r>
          </w:p>
        </w:tc>
        <w:tc>
          <w:tcPr>
            <w:tcW w:type="dxa" w:w="6984"/>
            <w:vAlign w:val="center"/>
          </w:tcPr>
          <w:p>
            <w:pPr>
              <w:keepNext w:val="0"/>
              <w:spacing w:after="0" w:before="0" w:line="240" w:lineRule="auto"/>
            </w:pPr>
            <w:r>
              <w:rPr>
                <w:rFonts w:ascii="Calibri" w:hAnsi="Calibri"/>
                <w:b w:val="0"/>
                <w:sz w:val="19"/>
              </w:rPr>
              <w:t>Matched, overcomplete and oracle comparisons by seed</w:t>
            </w:r>
          </w:p>
        </w:tc>
      </w:tr>
      <w:tr>
        <w:trPr>
          <w:cantSplit/>
        </w:trPr>
        <w:tc>
          <w:tcPr>
            <w:tcW w:type="dxa" w:w="3240"/>
            <w:vAlign w:val="center"/>
          </w:tcPr>
          <w:p>
            <w:pPr>
              <w:keepNext w:val="0"/>
              <w:spacing w:after="0" w:before="0" w:line="240" w:lineRule="auto"/>
            </w:pPr>
            <w:r>
              <w:rPr>
                <w:rFonts w:ascii="Calibri" w:hAnsi="Calibri"/>
                <w:b w:val="0"/>
                <w:sz w:val="19"/>
              </w:rPr>
              <w:t>factorial_​moe_​gain.png</w:t>
            </w:r>
          </w:p>
        </w:tc>
        <w:tc>
          <w:tcPr>
            <w:tcW w:type="dxa" w:w="6984"/>
            <w:vAlign w:val="center"/>
          </w:tcPr>
          <w:p>
            <w:pPr>
              <w:keepNext w:val="0"/>
              <w:spacing w:after="0" w:before="0" w:line="240" w:lineRule="auto"/>
            </w:pPr>
            <w:r>
              <w:rPr>
                <w:rFonts w:ascii="Calibri" w:hAnsi="Calibri"/>
                <w:b w:val="0"/>
                <w:sz w:val="19"/>
              </w:rPr>
              <w:t>Matched-budget 2×2×2 comparison</w:t>
            </w:r>
          </w:p>
        </w:tc>
      </w:tr>
      <w:tr>
        <w:trPr>
          <w:cantSplit/>
        </w:trPr>
        <w:tc>
          <w:tcPr>
            <w:tcW w:type="dxa" w:w="3240"/>
            <w:vAlign w:val="center"/>
          </w:tcPr>
          <w:p>
            <w:pPr>
              <w:keepNext w:val="0"/>
              <w:spacing w:after="0" w:before="0" w:line="240" w:lineRule="auto"/>
            </w:pPr>
            <w:r>
              <w:rPr>
                <w:rFonts w:ascii="Calibri" w:hAnsi="Calibri"/>
                <w:b w:val="0"/>
                <w:sz w:val="19"/>
              </w:rPr>
              <w:t>capacity_​ladder.png</w:t>
            </w:r>
          </w:p>
        </w:tc>
        <w:tc>
          <w:tcPr>
            <w:tcW w:type="dxa" w:w="6984"/>
            <w:vAlign w:val="center"/>
          </w:tcPr>
          <w:p>
            <w:pPr>
              <w:keepNext w:val="0"/>
              <w:spacing w:after="0" w:before="0" w:line="240" w:lineRule="auto"/>
            </w:pPr>
            <w:r>
              <w:rPr>
                <w:rFonts w:ascii="Calibri" w:hAnsi="Calibri"/>
                <w:b w:val="0"/>
                <w:sz w:val="19"/>
              </w:rPr>
              <w:t>Capacity comparisons at low and high dimension</w:t>
            </w:r>
          </w:p>
        </w:tc>
      </w:tr>
      <w:tr>
        <w:trPr>
          <w:cantSplit/>
        </w:trPr>
        <w:tc>
          <w:tcPr>
            <w:tcW w:type="dxa" w:w="3240"/>
            <w:vAlign w:val="center"/>
          </w:tcPr>
          <w:p>
            <w:pPr>
              <w:keepNext w:val="0"/>
              <w:spacing w:after="0" w:before="0" w:line="240" w:lineRule="auto"/>
            </w:pPr>
            <w:r>
              <w:rPr>
                <w:rFonts w:ascii="Calibri" w:hAnsi="Calibri"/>
                <w:b w:val="0"/>
                <w:sz w:val="19"/>
              </w:rPr>
              <w:t>router_​intervention.png</w:t>
            </w:r>
          </w:p>
        </w:tc>
        <w:tc>
          <w:tcPr>
            <w:tcW w:type="dxa" w:w="6984"/>
            <w:vAlign w:val="center"/>
          </w:tcPr>
          <w:p>
            <w:pPr>
              <w:keepNext w:val="0"/>
              <w:spacing w:after="0" w:before="0" w:line="240" w:lineRule="auto"/>
            </w:pPr>
            <w:r>
              <w:rPr>
                <w:rFonts w:ascii="Calibri" w:hAnsi="Calibri"/>
                <w:b w:val="0"/>
                <w:sz w:val="19"/>
              </w:rPr>
              <w:t>Functional routing interventions</w:t>
            </w:r>
          </w:p>
        </w:tc>
      </w:tr>
    </w:tbl>
    <w:p>
      <w:pPr>
        <w:pStyle w:val="Heading2"/>
        <w:spacing w:before="100"/>
      </w:pPr>
      <w:r>
        <w:t>5.2 WORLD-DATA-MICROSTRUCTURE-004 Curvature noise and anisotropy at fixed dimension</w:t>
      </w:r>
    </w:p>
    <w:p>
      <w:r>
        <w:t>Equal dimension can accompany different training behaviour. This experiment examines partitionability, local response complexity and unpredictable innovation separately.</w:t>
      </w:r>
    </w:p>
    <w:p>
      <w:pPr>
        <w:pStyle w:val="Heading3"/>
      </w:pPr>
      <w:r>
        <w:t>5.2.1 Controlled design</w:t>
      </w:r>
    </w:p>
    <w:p>
      <w:r>
        <w:t>After separating dimension, memory and heterogeneity in experiment 003, this study fixes dimension and varies the microstructure of the transition field.</w:t>
      </w:r>
    </w:p>
    <w:p>
      <w:r>
        <w:t>All eight worlds have latent dimension 8, observation dimension 24, four local state-defined regimes, identical sequence length and the same optimization protocol. The manipulated factors are local curvature, conditional innovation noise and anisotropy.</w:t>
      </w:r>
    </w:p>
    <w:p>
      <w:r>
        <w:t>Observed d95 equals 8 in every condition, so differences in this measured dimension cannot explain the performance comparisons.</w:t>
      </w:r>
    </w:p>
    <w:p>
      <w:pPr>
        <w:pStyle w:val="Caption"/>
        <w:keepNext/>
      </w:pPr>
      <w:r>
        <w:t>Table 26. Microstructure interventions.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4032"/>
        <w:gridCol w:w="3960"/>
      </w:tblGrid>
      <w:tr>
        <w:trPr>
          <w:cantSplit/>
          <w:tblHeader/>
        </w:trPr>
        <w:tc>
          <w:tcPr>
            <w:tcW w:type="dxa" w:w="2232"/>
            <w:vAlign w:val="center"/>
            <w:shd w:fill="F2F2F2"/>
          </w:tcPr>
          <w:p>
            <w:pPr>
              <w:keepNext/>
              <w:spacing w:after="0" w:before="0" w:line="240" w:lineRule="auto"/>
            </w:pPr>
            <w:r>
              <w:rPr>
                <w:rFonts w:ascii="Calibri" w:hAnsi="Calibri"/>
                <w:b/>
                <w:sz w:val="19"/>
              </w:rPr>
              <w:t>Axis</w:t>
            </w:r>
          </w:p>
        </w:tc>
        <w:tc>
          <w:tcPr>
            <w:tcW w:type="dxa" w:w="4032"/>
            <w:vAlign w:val="center"/>
            <w:shd w:fill="F2F2F2"/>
          </w:tcPr>
          <w:p>
            <w:pPr>
              <w:keepNext/>
              <w:spacing w:after="0" w:before="0" w:line="240" w:lineRule="auto"/>
            </w:pPr>
            <w:r>
              <w:rPr>
                <w:rFonts w:ascii="Calibri" w:hAnsi="Calibri"/>
                <w:b/>
                <w:sz w:val="19"/>
              </w:rPr>
              <w:t>Operational measure</w:t>
            </w:r>
          </w:p>
        </w:tc>
        <w:tc>
          <w:tcPr>
            <w:tcW w:type="dxa" w:w="3960"/>
            <w:vAlign w:val="center"/>
            <w:shd w:fill="F2F2F2"/>
          </w:tcPr>
          <w:p>
            <w:pPr>
              <w:keepNext/>
              <w:spacing w:after="0" w:before="0" w:line="240" w:lineRule="auto"/>
            </w:pPr>
            <w:r>
              <w:rPr>
                <w:rFonts w:ascii="Calibri" w:hAnsi="Calibri"/>
                <w:b/>
                <w:sz w:val="19"/>
              </w:rPr>
              <w:t>Prediction requirement</w:t>
            </w:r>
          </w:p>
        </w:tc>
      </w:tr>
      <w:tr>
        <w:trPr>
          <w:cantSplit/>
        </w:trPr>
        <w:tc>
          <w:tcPr>
            <w:tcW w:type="dxa" w:w="2232"/>
            <w:vAlign w:val="center"/>
          </w:tcPr>
          <w:p>
            <w:pPr>
              <w:keepNext w:val="0"/>
              <w:spacing w:after="0" w:before="0" w:line="240" w:lineRule="auto"/>
            </w:pPr>
            <w:r>
              <w:rPr>
                <w:rFonts w:ascii="Calibri" w:hAnsi="Calibri"/>
                <w:b w:val="0"/>
                <w:sz w:val="19"/>
              </w:rPr>
              <w:t>Local curvature</w:t>
            </w:r>
          </w:p>
        </w:tc>
        <w:tc>
          <w:tcPr>
            <w:tcW w:type="dxa" w:w="4032"/>
            <w:vAlign w:val="center"/>
          </w:tcPr>
          <w:p>
            <w:pPr>
              <w:keepNext w:val="0"/>
              <w:spacing w:after="0" w:before="0" w:line="240" w:lineRule="auto"/>
            </w:pPr>
            <w:r>
              <w:rPr>
                <w:rFonts w:ascii="Calibri" w:hAnsi="Calibri"/>
                <w:b w:val="0"/>
                <w:sz w:val="19"/>
              </w:rPr>
              <w:t>Change in the transition Jacobian within a small neighbourhood</w:t>
            </w:r>
          </w:p>
        </w:tc>
        <w:tc>
          <w:tcPr>
            <w:tcW w:type="dxa" w:w="3960"/>
            <w:vAlign w:val="center"/>
          </w:tcPr>
          <w:p>
            <w:pPr>
              <w:keepNext w:val="0"/>
              <w:spacing w:after="0" w:before="0" w:line="240" w:lineRule="auto"/>
            </w:pPr>
            <w:r>
              <w:rPr>
                <w:rFonts w:ascii="Calibri" w:hAnsi="Calibri"/>
                <w:b w:val="0"/>
                <w:sz w:val="19"/>
              </w:rPr>
              <w:t>Complexity of the local rule representation</w:t>
            </w:r>
          </w:p>
        </w:tc>
      </w:tr>
      <w:tr>
        <w:trPr>
          <w:cantSplit/>
        </w:trPr>
        <w:tc>
          <w:tcPr>
            <w:tcW w:type="dxa" w:w="2232"/>
            <w:vAlign w:val="center"/>
          </w:tcPr>
          <w:p>
            <w:pPr>
              <w:keepNext w:val="0"/>
              <w:spacing w:after="0" w:before="0" w:line="240" w:lineRule="auto"/>
            </w:pPr>
            <w:r>
              <w:rPr>
                <w:rFonts w:ascii="Calibri" w:hAnsi="Calibri"/>
                <w:b w:val="0"/>
                <w:sz w:val="19"/>
              </w:rPr>
              <w:t>Conditional innovation</w:t>
            </w:r>
          </w:p>
        </w:tc>
        <w:tc>
          <w:tcPr>
            <w:tcW w:type="dxa" w:w="4032"/>
            <w:vAlign w:val="center"/>
          </w:tcPr>
          <w:p>
            <w:pPr>
              <w:keepNext w:val="0"/>
              <w:spacing w:after="0" w:before="0" w:line="240" w:lineRule="auto"/>
            </w:pPr>
            <w:r>
              <w:rPr>
                <w:rFonts w:ascii="Calibri" w:hAnsi="Calibri"/>
                <w:b w:val="0"/>
                <w:sz w:val="19"/>
              </w:rPr>
              <w:t>Manipulated additive noise with known noise entropy</w:t>
            </w:r>
          </w:p>
        </w:tc>
        <w:tc>
          <w:tcPr>
            <w:tcW w:type="dxa" w:w="3960"/>
            <w:vAlign w:val="center"/>
          </w:tcPr>
          <w:p>
            <w:pPr>
              <w:keepNext w:val="0"/>
              <w:spacing w:after="0" w:before="0" w:line="240" w:lineRule="auto"/>
            </w:pPr>
            <w:r>
              <w:rPr>
                <w:rFonts w:ascii="Calibri" w:hAnsi="Calibri"/>
                <w:b w:val="0"/>
                <w:sz w:val="19"/>
              </w:rPr>
              <w:t>Unpredictable part of the future given inputs</w:t>
            </w:r>
          </w:p>
        </w:tc>
      </w:tr>
      <w:tr>
        <w:trPr>
          <w:cantSplit/>
        </w:trPr>
        <w:tc>
          <w:tcPr>
            <w:tcW w:type="dxa" w:w="2232"/>
            <w:vAlign w:val="center"/>
          </w:tcPr>
          <w:p>
            <w:pPr>
              <w:keepNext w:val="0"/>
              <w:spacing w:after="0" w:before="0" w:line="240" w:lineRule="auto"/>
            </w:pPr>
            <w:r>
              <w:rPr>
                <w:rFonts w:ascii="Calibri" w:hAnsi="Calibri"/>
                <w:b w:val="0"/>
                <w:sz w:val="19"/>
              </w:rPr>
              <w:t>Anisotropy</w:t>
            </w:r>
          </w:p>
        </w:tc>
        <w:tc>
          <w:tcPr>
            <w:tcW w:type="dxa" w:w="4032"/>
            <w:vAlign w:val="center"/>
          </w:tcPr>
          <w:p>
            <w:pPr>
              <w:keepNext w:val="0"/>
              <w:spacing w:after="0" w:before="0" w:line="240" w:lineRule="auto"/>
            </w:pPr>
            <w:r>
              <w:rPr>
                <w:rFonts w:ascii="Calibri" w:hAnsi="Calibri"/>
                <w:b w:val="0"/>
                <w:sz w:val="19"/>
              </w:rPr>
              <w:t>Uneven singular-value spectrum of the transition Jacobian</w:t>
            </w:r>
          </w:p>
        </w:tc>
        <w:tc>
          <w:tcPr>
            <w:tcW w:type="dxa" w:w="3960"/>
            <w:vAlign w:val="center"/>
          </w:tcPr>
          <w:p>
            <w:pPr>
              <w:keepNext w:val="0"/>
              <w:spacing w:after="0" w:before="0" w:line="240" w:lineRule="auto"/>
            </w:pPr>
            <w:r>
              <w:rPr>
                <w:rFonts w:ascii="Calibri" w:hAnsi="Calibri"/>
                <w:b w:val="0"/>
                <w:sz w:val="19"/>
              </w:rPr>
              <w:t>Retention of high-sensitivity directions</w:t>
            </w:r>
          </w:p>
        </w:tc>
      </w:tr>
    </w:tbl>
    <w:p>
      <w:pPr>
        <w:pStyle w:val="Heading3"/>
        <w:spacing w:before="100"/>
      </w:pPr>
      <w:r>
        <w:t>5.2.2 Results across the eight conditions</w:t>
      </w:r>
    </w:p>
    <w:p>
      <w:pPr>
        <w:pStyle w:val="Caption"/>
        <w:keepNext/>
      </w:pPr>
      <w:r>
        <w:t>Table 27. Fixed-dimension condition comparison.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435"/>
        <w:gridCol w:w="1435"/>
        <w:gridCol w:w="1435"/>
        <w:gridCol w:w="1435"/>
        <w:gridCol w:w="1435"/>
        <w:gridCol w:w="1435"/>
      </w:tblGrid>
      <w:tr>
        <w:trPr>
          <w:cantSplit/>
          <w:tblHeader/>
        </w:trPr>
        <w:tc>
          <w:tcPr>
            <w:tcW w:type="dxa" w:w="1613"/>
            <w:vAlign w:val="center"/>
            <w:shd w:fill="F2F2F2"/>
          </w:tcPr>
          <w:p>
            <w:pPr>
              <w:keepNext/>
              <w:spacing w:after="0" w:before="0" w:line="240" w:lineRule="auto"/>
            </w:pPr>
            <w:r>
              <w:rPr>
                <w:rFonts w:ascii="Calibri" w:hAnsi="Calibri"/>
                <w:b/>
                <w:sz w:val="18"/>
              </w:rPr>
              <w:t>Condition</w:t>
            </w:r>
          </w:p>
        </w:tc>
        <w:tc>
          <w:tcPr>
            <w:tcW w:type="dxa" w:w="1435"/>
            <w:vAlign w:val="center"/>
            <w:shd w:fill="F2F2F2"/>
          </w:tcPr>
          <w:p>
            <w:pPr>
              <w:keepNext/>
              <w:spacing w:after="0" w:before="0" w:line="240" w:lineRule="auto"/>
            </w:pPr>
            <w:r>
              <w:rPr>
                <w:rFonts w:ascii="Calibri" w:hAnsi="Calibri"/>
                <w:b/>
                <w:sz w:val="18"/>
              </w:rPr>
              <w:t>d95</w:t>
            </w:r>
          </w:p>
        </w:tc>
        <w:tc>
          <w:tcPr>
            <w:tcW w:type="dxa" w:w="1435"/>
            <w:vAlign w:val="center"/>
            <w:shd w:fill="F2F2F2"/>
          </w:tcPr>
          <w:p>
            <w:pPr>
              <w:keepNext/>
              <w:spacing w:after="0" w:before="0" w:line="240" w:lineRule="auto"/>
            </w:pPr>
            <w:r>
              <w:rPr>
                <w:rFonts w:ascii="Calibri" w:hAnsi="Calibri"/>
                <w:b/>
                <w:sz w:val="18"/>
              </w:rPr>
              <w:t>Curvature</w:t>
            </w:r>
          </w:p>
        </w:tc>
        <w:tc>
          <w:tcPr>
            <w:tcW w:type="dxa" w:w="1435"/>
            <w:vAlign w:val="center"/>
            <w:shd w:fill="F2F2F2"/>
          </w:tcPr>
          <w:p>
            <w:pPr>
              <w:keepNext/>
              <w:spacing w:after="0" w:before="0" w:line="240" w:lineRule="auto"/>
            </w:pPr>
            <w:r>
              <w:rPr>
                <w:rFonts w:ascii="Calibri" w:hAnsi="Calibri"/>
                <w:b/>
                <w:sz w:val="18"/>
              </w:rPr>
              <w:t>Cond.#</w:t>
            </w:r>
          </w:p>
        </w:tc>
        <w:tc>
          <w:tcPr>
            <w:tcW w:type="dxa" w:w="1435"/>
            <w:vAlign w:val="center"/>
            <w:shd w:fill="F2F2F2"/>
          </w:tcPr>
          <w:p>
            <w:pPr>
              <w:keepNext/>
              <w:spacing w:after="0" w:before="0" w:line="240" w:lineRule="auto"/>
            </w:pPr>
            <w:r>
              <w:rPr>
                <w:rFonts w:ascii="Calibri" w:hAnsi="Calibri"/>
                <w:b/>
                <w:sz w:val="18"/>
              </w:rPr>
              <w:t>Mono rollout</w:t>
            </w:r>
          </w:p>
        </w:tc>
        <w:tc>
          <w:tcPr>
            <w:tcW w:type="dxa" w:w="1435"/>
            <w:vAlign w:val="center"/>
            <w:shd w:fill="F2F2F2"/>
          </w:tcPr>
          <w:p>
            <w:pPr>
              <w:keepNext/>
              <w:spacing w:after="0" w:before="0" w:line="240" w:lineRule="auto"/>
            </w:pPr>
            <w:r>
              <w:rPr>
                <w:rFonts w:ascii="Calibri" w:hAnsi="Calibri"/>
                <w:b/>
                <w:sz w:val="18"/>
              </w:rPr>
              <w:t>Matched MoE</w:t>
            </w:r>
          </w:p>
        </w:tc>
        <w:tc>
          <w:tcPr>
            <w:tcW w:type="dxa" w:w="1435"/>
            <w:vAlign w:val="center"/>
            <w:shd w:fill="F2F2F2"/>
          </w:tcPr>
          <w:p>
            <w:pPr>
              <w:keepNext/>
              <w:spacing w:after="0" w:before="0" w:line="240" w:lineRule="auto"/>
            </w:pPr>
            <w:r>
              <w:rPr>
                <w:rFonts w:ascii="Calibri" w:hAnsi="Calibri"/>
                <w:b/>
                <w:sz w:val="18"/>
              </w:rPr>
              <w:t>MoE gain</w:t>
            </w:r>
          </w:p>
        </w:tc>
      </w:tr>
      <w:tr>
        <w:trPr>
          <w:cantSplit/>
        </w:trPr>
        <w:tc>
          <w:tcPr>
            <w:tcW w:type="dxa" w:w="1613"/>
            <w:vAlign w:val="center"/>
          </w:tcPr>
          <w:p>
            <w:pPr>
              <w:keepNext w:val="0"/>
              <w:spacing w:after="0" w:before="0" w:line="240" w:lineRule="auto"/>
            </w:pPr>
            <w:r>
              <w:rPr>
                <w:rFonts w:ascii="Calibri" w:hAnsi="Calibri"/>
                <w:b w:val="0"/>
                <w:sz w:val="18"/>
              </w:rPr>
              <w:t>C0_N0_A0</w:t>
            </w:r>
          </w:p>
        </w:tc>
        <w:tc>
          <w:tcPr>
            <w:tcW w:type="dxa" w:w="1435"/>
            <w:vAlign w:val="center"/>
          </w:tcPr>
          <w:p>
            <w:pPr>
              <w:keepNext w:val="0"/>
              <w:spacing w:after="0" w:before="0" w:line="240" w:lineRule="auto"/>
              <w:jc w:val="right"/>
            </w:pPr>
            <w:r>
              <w:rPr>
                <w:rFonts w:ascii="Calibri" w:hAnsi="Calibri"/>
                <w:b w:val="0"/>
                <w:sz w:val="18"/>
              </w:rPr>
              <w:t>8</w:t>
            </w:r>
          </w:p>
        </w:tc>
        <w:tc>
          <w:tcPr>
            <w:tcW w:type="dxa" w:w="1435"/>
            <w:vAlign w:val="center"/>
          </w:tcPr>
          <w:p>
            <w:pPr>
              <w:keepNext w:val="0"/>
              <w:spacing w:after="0" w:before="0" w:line="240" w:lineRule="auto"/>
              <w:jc w:val="right"/>
            </w:pPr>
            <w:r>
              <w:rPr>
                <w:rFonts w:ascii="Calibri" w:hAnsi="Calibri"/>
                <w:b w:val="0"/>
                <w:sz w:val="18"/>
              </w:rPr>
              <w:t>0.021</w:t>
            </w:r>
          </w:p>
        </w:tc>
        <w:tc>
          <w:tcPr>
            <w:tcW w:type="dxa" w:w="1435"/>
            <w:vAlign w:val="center"/>
          </w:tcPr>
          <w:p>
            <w:pPr>
              <w:keepNext w:val="0"/>
              <w:spacing w:after="0" w:before="0" w:line="240" w:lineRule="auto"/>
              <w:jc w:val="right"/>
            </w:pPr>
            <w:r>
              <w:rPr>
                <w:rFonts w:ascii="Calibri" w:hAnsi="Calibri"/>
                <w:b w:val="0"/>
                <w:sz w:val="18"/>
              </w:rPr>
              <w:t>1.37</w:t>
            </w:r>
          </w:p>
        </w:tc>
        <w:tc>
          <w:tcPr>
            <w:tcW w:type="dxa" w:w="1435"/>
            <w:vAlign w:val="center"/>
          </w:tcPr>
          <w:p>
            <w:pPr>
              <w:keepNext w:val="0"/>
              <w:spacing w:after="0" w:before="0" w:line="240" w:lineRule="auto"/>
              <w:jc w:val="right"/>
            </w:pPr>
            <w:r>
              <w:rPr>
                <w:rFonts w:ascii="Calibri" w:hAnsi="Calibri"/>
                <w:b w:val="0"/>
                <w:sz w:val="18"/>
              </w:rPr>
              <w:t>0.0336</w:t>
            </w:r>
          </w:p>
        </w:tc>
        <w:tc>
          <w:tcPr>
            <w:tcW w:type="dxa" w:w="1435"/>
            <w:vAlign w:val="center"/>
          </w:tcPr>
          <w:p>
            <w:pPr>
              <w:keepNext w:val="0"/>
              <w:spacing w:after="0" w:before="0" w:line="240" w:lineRule="auto"/>
              <w:jc w:val="right"/>
            </w:pPr>
            <w:r>
              <w:rPr>
                <w:rFonts w:ascii="Calibri" w:hAnsi="Calibri"/>
                <w:b w:val="0"/>
                <w:sz w:val="18"/>
              </w:rPr>
              <w:t>0.0234</w:t>
            </w:r>
          </w:p>
        </w:tc>
        <w:tc>
          <w:tcPr>
            <w:tcW w:type="dxa" w:w="1435"/>
            <w:vAlign w:val="center"/>
          </w:tcPr>
          <w:p>
            <w:pPr>
              <w:keepNext w:val="0"/>
              <w:spacing w:after="0" w:before="0" w:line="240" w:lineRule="auto"/>
              <w:jc w:val="right"/>
            </w:pPr>
            <w:r>
              <w:rPr>
                <w:rFonts w:ascii="Calibri" w:hAnsi="Calibri"/>
                <w:b w:val="0"/>
                <w:sz w:val="18"/>
              </w:rPr>
              <w:t>+30.3%</w:t>
            </w:r>
          </w:p>
        </w:tc>
      </w:tr>
      <w:tr>
        <w:trPr>
          <w:cantSplit/>
        </w:trPr>
        <w:tc>
          <w:tcPr>
            <w:tcW w:type="dxa" w:w="1613"/>
            <w:vAlign w:val="center"/>
          </w:tcPr>
          <w:p>
            <w:pPr>
              <w:keepNext w:val="0"/>
              <w:spacing w:after="0" w:before="0" w:line="240" w:lineRule="auto"/>
            </w:pPr>
            <w:r>
              <w:rPr>
                <w:rFonts w:ascii="Calibri" w:hAnsi="Calibri"/>
                <w:b w:val="0"/>
                <w:sz w:val="18"/>
              </w:rPr>
              <w:t>C0_N0_A1</w:t>
            </w:r>
          </w:p>
        </w:tc>
        <w:tc>
          <w:tcPr>
            <w:tcW w:type="dxa" w:w="1435"/>
            <w:vAlign w:val="center"/>
          </w:tcPr>
          <w:p>
            <w:pPr>
              <w:keepNext w:val="0"/>
              <w:spacing w:after="0" w:before="0" w:line="240" w:lineRule="auto"/>
              <w:jc w:val="right"/>
            </w:pPr>
            <w:r>
              <w:rPr>
                <w:rFonts w:ascii="Calibri" w:hAnsi="Calibri"/>
                <w:b w:val="0"/>
                <w:sz w:val="18"/>
              </w:rPr>
              <w:t>8</w:t>
            </w:r>
          </w:p>
        </w:tc>
        <w:tc>
          <w:tcPr>
            <w:tcW w:type="dxa" w:w="1435"/>
            <w:vAlign w:val="center"/>
          </w:tcPr>
          <w:p>
            <w:pPr>
              <w:keepNext w:val="0"/>
              <w:spacing w:after="0" w:before="0" w:line="240" w:lineRule="auto"/>
              <w:jc w:val="right"/>
            </w:pPr>
            <w:r>
              <w:rPr>
                <w:rFonts w:ascii="Calibri" w:hAnsi="Calibri"/>
                <w:b w:val="0"/>
                <w:sz w:val="18"/>
              </w:rPr>
              <w:t>0.014</w:t>
            </w:r>
          </w:p>
        </w:tc>
        <w:tc>
          <w:tcPr>
            <w:tcW w:type="dxa" w:w="1435"/>
            <w:vAlign w:val="center"/>
          </w:tcPr>
          <w:p>
            <w:pPr>
              <w:keepNext w:val="0"/>
              <w:spacing w:after="0" w:before="0" w:line="240" w:lineRule="auto"/>
              <w:jc w:val="right"/>
            </w:pPr>
            <w:r>
              <w:rPr>
                <w:rFonts w:ascii="Calibri" w:hAnsi="Calibri"/>
                <w:b w:val="0"/>
                <w:sz w:val="18"/>
              </w:rPr>
              <w:t>5.36</w:t>
            </w:r>
          </w:p>
        </w:tc>
        <w:tc>
          <w:tcPr>
            <w:tcW w:type="dxa" w:w="1435"/>
            <w:vAlign w:val="center"/>
          </w:tcPr>
          <w:p>
            <w:pPr>
              <w:keepNext w:val="0"/>
              <w:spacing w:after="0" w:before="0" w:line="240" w:lineRule="auto"/>
              <w:jc w:val="right"/>
            </w:pPr>
            <w:r>
              <w:rPr>
                <w:rFonts w:ascii="Calibri" w:hAnsi="Calibri"/>
                <w:b w:val="0"/>
                <w:sz w:val="18"/>
              </w:rPr>
              <w:t>0.0099</w:t>
            </w:r>
          </w:p>
        </w:tc>
        <w:tc>
          <w:tcPr>
            <w:tcW w:type="dxa" w:w="1435"/>
            <w:vAlign w:val="center"/>
          </w:tcPr>
          <w:p>
            <w:pPr>
              <w:keepNext w:val="0"/>
              <w:spacing w:after="0" w:before="0" w:line="240" w:lineRule="auto"/>
              <w:jc w:val="right"/>
            </w:pPr>
            <w:r>
              <w:rPr>
                <w:rFonts w:ascii="Calibri" w:hAnsi="Calibri"/>
                <w:b w:val="0"/>
                <w:sz w:val="18"/>
              </w:rPr>
              <w:t>0.0139</w:t>
            </w:r>
          </w:p>
        </w:tc>
        <w:tc>
          <w:tcPr>
            <w:tcW w:type="dxa" w:w="1435"/>
            <w:vAlign w:val="center"/>
          </w:tcPr>
          <w:p>
            <w:pPr>
              <w:keepNext w:val="0"/>
              <w:spacing w:after="0" w:before="0" w:line="240" w:lineRule="auto"/>
              <w:jc w:val="right"/>
            </w:pPr>
            <w:r>
              <w:rPr>
                <w:rFonts w:ascii="Calibri" w:hAnsi="Calibri"/>
                <w:b w:val="0"/>
                <w:sz w:val="18"/>
              </w:rPr>
              <w:t>-40.8%</w:t>
            </w:r>
          </w:p>
        </w:tc>
      </w:tr>
      <w:tr>
        <w:trPr>
          <w:cantSplit/>
        </w:trPr>
        <w:tc>
          <w:tcPr>
            <w:tcW w:type="dxa" w:w="1613"/>
            <w:vAlign w:val="center"/>
          </w:tcPr>
          <w:p>
            <w:pPr>
              <w:keepNext w:val="0"/>
              <w:spacing w:after="0" w:before="0" w:line="240" w:lineRule="auto"/>
            </w:pPr>
            <w:r>
              <w:rPr>
                <w:rFonts w:ascii="Calibri" w:hAnsi="Calibri"/>
                <w:b w:val="0"/>
                <w:sz w:val="18"/>
              </w:rPr>
              <w:t>C0_N1_A0</w:t>
            </w:r>
          </w:p>
        </w:tc>
        <w:tc>
          <w:tcPr>
            <w:tcW w:type="dxa" w:w="1435"/>
            <w:vAlign w:val="center"/>
          </w:tcPr>
          <w:p>
            <w:pPr>
              <w:keepNext w:val="0"/>
              <w:spacing w:after="0" w:before="0" w:line="240" w:lineRule="auto"/>
              <w:jc w:val="right"/>
            </w:pPr>
            <w:r>
              <w:rPr>
                <w:rFonts w:ascii="Calibri" w:hAnsi="Calibri"/>
                <w:b w:val="0"/>
                <w:sz w:val="18"/>
              </w:rPr>
              <w:t>8</w:t>
            </w:r>
          </w:p>
        </w:tc>
        <w:tc>
          <w:tcPr>
            <w:tcW w:type="dxa" w:w="1435"/>
            <w:vAlign w:val="center"/>
          </w:tcPr>
          <w:p>
            <w:pPr>
              <w:keepNext w:val="0"/>
              <w:spacing w:after="0" w:before="0" w:line="240" w:lineRule="auto"/>
              <w:jc w:val="right"/>
            </w:pPr>
            <w:r>
              <w:rPr>
                <w:rFonts w:ascii="Calibri" w:hAnsi="Calibri"/>
                <w:b w:val="0"/>
                <w:sz w:val="18"/>
              </w:rPr>
              <w:t>0.033</w:t>
            </w:r>
          </w:p>
        </w:tc>
        <w:tc>
          <w:tcPr>
            <w:tcW w:type="dxa" w:w="1435"/>
            <w:vAlign w:val="center"/>
          </w:tcPr>
          <w:p>
            <w:pPr>
              <w:keepNext w:val="0"/>
              <w:spacing w:after="0" w:before="0" w:line="240" w:lineRule="auto"/>
              <w:jc w:val="right"/>
            </w:pPr>
            <w:r>
              <w:rPr>
                <w:rFonts w:ascii="Calibri" w:hAnsi="Calibri"/>
                <w:b w:val="0"/>
                <w:sz w:val="18"/>
              </w:rPr>
              <w:t>1.35</w:t>
            </w:r>
          </w:p>
        </w:tc>
        <w:tc>
          <w:tcPr>
            <w:tcW w:type="dxa" w:w="1435"/>
            <w:vAlign w:val="center"/>
          </w:tcPr>
          <w:p>
            <w:pPr>
              <w:keepNext w:val="0"/>
              <w:spacing w:after="0" w:before="0" w:line="240" w:lineRule="auto"/>
              <w:jc w:val="right"/>
            </w:pPr>
            <w:r>
              <w:rPr>
                <w:rFonts w:ascii="Calibri" w:hAnsi="Calibri"/>
                <w:b w:val="0"/>
                <w:sz w:val="18"/>
              </w:rPr>
              <w:t>0.2543</w:t>
            </w:r>
          </w:p>
        </w:tc>
        <w:tc>
          <w:tcPr>
            <w:tcW w:type="dxa" w:w="1435"/>
            <w:vAlign w:val="center"/>
          </w:tcPr>
          <w:p>
            <w:pPr>
              <w:keepNext w:val="0"/>
              <w:spacing w:after="0" w:before="0" w:line="240" w:lineRule="auto"/>
              <w:jc w:val="right"/>
            </w:pPr>
            <w:r>
              <w:rPr>
                <w:rFonts w:ascii="Calibri" w:hAnsi="Calibri"/>
                <w:b w:val="0"/>
                <w:sz w:val="18"/>
              </w:rPr>
              <w:t>0.2490</w:t>
            </w:r>
          </w:p>
        </w:tc>
        <w:tc>
          <w:tcPr>
            <w:tcW w:type="dxa" w:w="1435"/>
            <w:vAlign w:val="center"/>
          </w:tcPr>
          <w:p>
            <w:pPr>
              <w:keepNext w:val="0"/>
              <w:spacing w:after="0" w:before="0" w:line="240" w:lineRule="auto"/>
              <w:jc w:val="right"/>
            </w:pPr>
            <w:r>
              <w:rPr>
                <w:rFonts w:ascii="Calibri" w:hAnsi="Calibri"/>
                <w:b w:val="0"/>
                <w:sz w:val="18"/>
              </w:rPr>
              <w:t>+2.1%</w:t>
            </w:r>
          </w:p>
        </w:tc>
      </w:tr>
      <w:tr>
        <w:trPr>
          <w:cantSplit/>
        </w:trPr>
        <w:tc>
          <w:tcPr>
            <w:tcW w:type="dxa" w:w="1613"/>
            <w:vAlign w:val="center"/>
          </w:tcPr>
          <w:p>
            <w:pPr>
              <w:keepNext w:val="0"/>
              <w:spacing w:after="0" w:before="0" w:line="240" w:lineRule="auto"/>
            </w:pPr>
            <w:r>
              <w:rPr>
                <w:rFonts w:ascii="Calibri" w:hAnsi="Calibri"/>
                <w:b w:val="0"/>
                <w:sz w:val="18"/>
              </w:rPr>
              <w:t>C0_N1_A1</w:t>
            </w:r>
          </w:p>
        </w:tc>
        <w:tc>
          <w:tcPr>
            <w:tcW w:type="dxa" w:w="1435"/>
            <w:vAlign w:val="center"/>
          </w:tcPr>
          <w:p>
            <w:pPr>
              <w:keepNext w:val="0"/>
              <w:spacing w:after="0" w:before="0" w:line="240" w:lineRule="auto"/>
              <w:jc w:val="right"/>
            </w:pPr>
            <w:r>
              <w:rPr>
                <w:rFonts w:ascii="Calibri" w:hAnsi="Calibri"/>
                <w:b w:val="0"/>
                <w:sz w:val="18"/>
              </w:rPr>
              <w:t>8</w:t>
            </w:r>
          </w:p>
        </w:tc>
        <w:tc>
          <w:tcPr>
            <w:tcW w:type="dxa" w:w="1435"/>
            <w:vAlign w:val="center"/>
          </w:tcPr>
          <w:p>
            <w:pPr>
              <w:keepNext w:val="0"/>
              <w:spacing w:after="0" w:before="0" w:line="240" w:lineRule="auto"/>
              <w:jc w:val="right"/>
            </w:pPr>
            <w:r>
              <w:rPr>
                <w:rFonts w:ascii="Calibri" w:hAnsi="Calibri"/>
                <w:b w:val="0"/>
                <w:sz w:val="18"/>
              </w:rPr>
              <w:t>0.027</w:t>
            </w:r>
          </w:p>
        </w:tc>
        <w:tc>
          <w:tcPr>
            <w:tcW w:type="dxa" w:w="1435"/>
            <w:vAlign w:val="center"/>
          </w:tcPr>
          <w:p>
            <w:pPr>
              <w:keepNext w:val="0"/>
              <w:spacing w:after="0" w:before="0" w:line="240" w:lineRule="auto"/>
              <w:jc w:val="right"/>
            </w:pPr>
            <w:r>
              <w:rPr>
                <w:rFonts w:ascii="Calibri" w:hAnsi="Calibri"/>
                <w:b w:val="0"/>
                <w:sz w:val="18"/>
              </w:rPr>
              <w:t>4.88</w:t>
            </w:r>
          </w:p>
        </w:tc>
        <w:tc>
          <w:tcPr>
            <w:tcW w:type="dxa" w:w="1435"/>
            <w:vAlign w:val="center"/>
          </w:tcPr>
          <w:p>
            <w:pPr>
              <w:keepNext w:val="0"/>
              <w:spacing w:after="0" w:before="0" w:line="240" w:lineRule="auto"/>
              <w:jc w:val="right"/>
            </w:pPr>
            <w:r>
              <w:rPr>
                <w:rFonts w:ascii="Calibri" w:hAnsi="Calibri"/>
                <w:b w:val="0"/>
                <w:sz w:val="18"/>
              </w:rPr>
              <w:t>0.2441</w:t>
            </w:r>
          </w:p>
        </w:tc>
        <w:tc>
          <w:tcPr>
            <w:tcW w:type="dxa" w:w="1435"/>
            <w:vAlign w:val="center"/>
          </w:tcPr>
          <w:p>
            <w:pPr>
              <w:keepNext w:val="0"/>
              <w:spacing w:after="0" w:before="0" w:line="240" w:lineRule="auto"/>
              <w:jc w:val="right"/>
            </w:pPr>
            <w:r>
              <w:rPr>
                <w:rFonts w:ascii="Calibri" w:hAnsi="Calibri"/>
                <w:b w:val="0"/>
                <w:sz w:val="18"/>
              </w:rPr>
              <w:t>0.2421</w:t>
            </w:r>
          </w:p>
        </w:tc>
        <w:tc>
          <w:tcPr>
            <w:tcW w:type="dxa" w:w="1435"/>
            <w:vAlign w:val="center"/>
          </w:tcPr>
          <w:p>
            <w:pPr>
              <w:keepNext w:val="0"/>
              <w:spacing w:after="0" w:before="0" w:line="240" w:lineRule="auto"/>
              <w:jc w:val="right"/>
            </w:pPr>
            <w:r>
              <w:rPr>
                <w:rFonts w:ascii="Calibri" w:hAnsi="Calibri"/>
                <w:b w:val="0"/>
                <w:sz w:val="18"/>
              </w:rPr>
              <w:t>+0.9%</w:t>
            </w:r>
          </w:p>
        </w:tc>
      </w:tr>
      <w:tr>
        <w:trPr>
          <w:cantSplit/>
        </w:trPr>
        <w:tc>
          <w:tcPr>
            <w:tcW w:type="dxa" w:w="1613"/>
            <w:vAlign w:val="center"/>
          </w:tcPr>
          <w:p>
            <w:pPr>
              <w:keepNext w:val="0"/>
              <w:spacing w:after="0" w:before="0" w:line="240" w:lineRule="auto"/>
            </w:pPr>
            <w:r>
              <w:rPr>
                <w:rFonts w:ascii="Calibri" w:hAnsi="Calibri"/>
                <w:b w:val="0"/>
                <w:sz w:val="18"/>
              </w:rPr>
              <w:t>C1_N0_A0</w:t>
            </w:r>
          </w:p>
        </w:tc>
        <w:tc>
          <w:tcPr>
            <w:tcW w:type="dxa" w:w="1435"/>
            <w:vAlign w:val="center"/>
          </w:tcPr>
          <w:p>
            <w:pPr>
              <w:keepNext w:val="0"/>
              <w:spacing w:after="0" w:before="0" w:line="240" w:lineRule="auto"/>
              <w:jc w:val="right"/>
            </w:pPr>
            <w:r>
              <w:rPr>
                <w:rFonts w:ascii="Calibri" w:hAnsi="Calibri"/>
                <w:b w:val="0"/>
                <w:sz w:val="18"/>
              </w:rPr>
              <w:t>8</w:t>
            </w:r>
          </w:p>
        </w:tc>
        <w:tc>
          <w:tcPr>
            <w:tcW w:type="dxa" w:w="1435"/>
            <w:vAlign w:val="center"/>
          </w:tcPr>
          <w:p>
            <w:pPr>
              <w:keepNext w:val="0"/>
              <w:spacing w:after="0" w:before="0" w:line="240" w:lineRule="auto"/>
              <w:jc w:val="right"/>
            </w:pPr>
            <w:r>
              <w:rPr>
                <w:rFonts w:ascii="Calibri" w:hAnsi="Calibri"/>
                <w:b w:val="0"/>
                <w:sz w:val="18"/>
              </w:rPr>
              <w:t>0.387</w:t>
            </w:r>
          </w:p>
        </w:tc>
        <w:tc>
          <w:tcPr>
            <w:tcW w:type="dxa" w:w="1435"/>
            <w:vAlign w:val="center"/>
          </w:tcPr>
          <w:p>
            <w:pPr>
              <w:keepNext w:val="0"/>
              <w:spacing w:after="0" w:before="0" w:line="240" w:lineRule="auto"/>
              <w:jc w:val="right"/>
            </w:pPr>
            <w:r>
              <w:rPr>
                <w:rFonts w:ascii="Calibri" w:hAnsi="Calibri"/>
                <w:b w:val="0"/>
                <w:sz w:val="18"/>
              </w:rPr>
              <w:t>10.47</w:t>
            </w:r>
          </w:p>
        </w:tc>
        <w:tc>
          <w:tcPr>
            <w:tcW w:type="dxa" w:w="1435"/>
            <w:vAlign w:val="center"/>
          </w:tcPr>
          <w:p>
            <w:pPr>
              <w:keepNext w:val="0"/>
              <w:spacing w:after="0" w:before="0" w:line="240" w:lineRule="auto"/>
              <w:jc w:val="right"/>
            </w:pPr>
            <w:r>
              <w:rPr>
                <w:rFonts w:ascii="Calibri" w:hAnsi="Calibri"/>
                <w:b w:val="0"/>
                <w:sz w:val="18"/>
              </w:rPr>
              <w:t>0.7456</w:t>
            </w:r>
          </w:p>
        </w:tc>
        <w:tc>
          <w:tcPr>
            <w:tcW w:type="dxa" w:w="1435"/>
            <w:vAlign w:val="center"/>
          </w:tcPr>
          <w:p>
            <w:pPr>
              <w:keepNext w:val="0"/>
              <w:spacing w:after="0" w:before="0" w:line="240" w:lineRule="auto"/>
              <w:jc w:val="right"/>
            </w:pPr>
            <w:r>
              <w:rPr>
                <w:rFonts w:ascii="Calibri" w:hAnsi="Calibri"/>
                <w:b w:val="0"/>
                <w:sz w:val="18"/>
              </w:rPr>
              <w:t>0.8187</w:t>
            </w:r>
          </w:p>
        </w:tc>
        <w:tc>
          <w:tcPr>
            <w:tcW w:type="dxa" w:w="1435"/>
            <w:vAlign w:val="center"/>
          </w:tcPr>
          <w:p>
            <w:pPr>
              <w:keepNext w:val="0"/>
              <w:spacing w:after="0" w:before="0" w:line="240" w:lineRule="auto"/>
              <w:jc w:val="right"/>
            </w:pPr>
            <w:r>
              <w:rPr>
                <w:rFonts w:ascii="Calibri" w:hAnsi="Calibri"/>
                <w:b w:val="0"/>
                <w:sz w:val="18"/>
              </w:rPr>
              <w:t>-9.8%</w:t>
            </w:r>
          </w:p>
        </w:tc>
      </w:tr>
      <w:tr>
        <w:trPr>
          <w:cantSplit/>
        </w:trPr>
        <w:tc>
          <w:tcPr>
            <w:tcW w:type="dxa" w:w="1613"/>
            <w:vAlign w:val="center"/>
          </w:tcPr>
          <w:p>
            <w:pPr>
              <w:keepNext w:val="0"/>
              <w:spacing w:after="0" w:before="0" w:line="240" w:lineRule="auto"/>
            </w:pPr>
            <w:r>
              <w:rPr>
                <w:rFonts w:ascii="Calibri" w:hAnsi="Calibri"/>
                <w:b w:val="0"/>
                <w:sz w:val="18"/>
              </w:rPr>
              <w:t>C1_N0_A1</w:t>
            </w:r>
          </w:p>
        </w:tc>
        <w:tc>
          <w:tcPr>
            <w:tcW w:type="dxa" w:w="1435"/>
            <w:vAlign w:val="center"/>
          </w:tcPr>
          <w:p>
            <w:pPr>
              <w:keepNext w:val="0"/>
              <w:spacing w:after="0" w:before="0" w:line="240" w:lineRule="auto"/>
              <w:jc w:val="right"/>
            </w:pPr>
            <w:r>
              <w:rPr>
                <w:rFonts w:ascii="Calibri" w:hAnsi="Calibri"/>
                <w:b w:val="0"/>
                <w:sz w:val="18"/>
              </w:rPr>
              <w:t>8</w:t>
            </w:r>
          </w:p>
        </w:tc>
        <w:tc>
          <w:tcPr>
            <w:tcW w:type="dxa" w:w="1435"/>
            <w:vAlign w:val="center"/>
          </w:tcPr>
          <w:p>
            <w:pPr>
              <w:keepNext w:val="0"/>
              <w:spacing w:after="0" w:before="0" w:line="240" w:lineRule="auto"/>
              <w:jc w:val="right"/>
            </w:pPr>
            <w:r>
              <w:rPr>
                <w:rFonts w:ascii="Calibri" w:hAnsi="Calibri"/>
                <w:b w:val="0"/>
                <w:sz w:val="18"/>
              </w:rPr>
              <w:t>0.270</w:t>
            </w:r>
          </w:p>
        </w:tc>
        <w:tc>
          <w:tcPr>
            <w:tcW w:type="dxa" w:w="1435"/>
            <w:vAlign w:val="center"/>
          </w:tcPr>
          <w:p>
            <w:pPr>
              <w:keepNext w:val="0"/>
              <w:spacing w:after="0" w:before="0" w:line="240" w:lineRule="auto"/>
              <w:jc w:val="right"/>
            </w:pPr>
            <w:r>
              <w:rPr>
                <w:rFonts w:ascii="Calibri" w:hAnsi="Calibri"/>
                <w:b w:val="0"/>
                <w:sz w:val="18"/>
              </w:rPr>
              <w:t>20.43</w:t>
            </w:r>
          </w:p>
        </w:tc>
        <w:tc>
          <w:tcPr>
            <w:tcW w:type="dxa" w:w="1435"/>
            <w:vAlign w:val="center"/>
          </w:tcPr>
          <w:p>
            <w:pPr>
              <w:keepNext w:val="0"/>
              <w:spacing w:after="0" w:before="0" w:line="240" w:lineRule="auto"/>
              <w:jc w:val="right"/>
            </w:pPr>
            <w:r>
              <w:rPr>
                <w:rFonts w:ascii="Calibri" w:hAnsi="Calibri"/>
                <w:b w:val="0"/>
                <w:sz w:val="18"/>
              </w:rPr>
              <w:t>0.0953</w:t>
            </w:r>
          </w:p>
        </w:tc>
        <w:tc>
          <w:tcPr>
            <w:tcW w:type="dxa" w:w="1435"/>
            <w:vAlign w:val="center"/>
          </w:tcPr>
          <w:p>
            <w:pPr>
              <w:keepNext w:val="0"/>
              <w:spacing w:after="0" w:before="0" w:line="240" w:lineRule="auto"/>
              <w:jc w:val="right"/>
            </w:pPr>
            <w:r>
              <w:rPr>
                <w:rFonts w:ascii="Calibri" w:hAnsi="Calibri"/>
                <w:b w:val="0"/>
                <w:sz w:val="18"/>
              </w:rPr>
              <w:t>0.1219</w:t>
            </w:r>
          </w:p>
        </w:tc>
        <w:tc>
          <w:tcPr>
            <w:tcW w:type="dxa" w:w="1435"/>
            <w:vAlign w:val="center"/>
          </w:tcPr>
          <w:p>
            <w:pPr>
              <w:keepNext w:val="0"/>
              <w:spacing w:after="0" w:before="0" w:line="240" w:lineRule="auto"/>
              <w:jc w:val="right"/>
            </w:pPr>
            <w:r>
              <w:rPr>
                <w:rFonts w:ascii="Calibri" w:hAnsi="Calibri"/>
                <w:b w:val="0"/>
                <w:sz w:val="18"/>
              </w:rPr>
              <w:t>-28.0%</w:t>
            </w:r>
          </w:p>
        </w:tc>
      </w:tr>
      <w:tr>
        <w:trPr>
          <w:cantSplit/>
        </w:trPr>
        <w:tc>
          <w:tcPr>
            <w:tcW w:type="dxa" w:w="1613"/>
            <w:vAlign w:val="center"/>
          </w:tcPr>
          <w:p>
            <w:pPr>
              <w:keepNext w:val="0"/>
              <w:spacing w:after="0" w:before="0" w:line="240" w:lineRule="auto"/>
            </w:pPr>
            <w:r>
              <w:rPr>
                <w:rFonts w:ascii="Calibri" w:hAnsi="Calibri"/>
                <w:b w:val="0"/>
                <w:sz w:val="18"/>
              </w:rPr>
              <w:t>C1_N1_A0</w:t>
            </w:r>
          </w:p>
        </w:tc>
        <w:tc>
          <w:tcPr>
            <w:tcW w:type="dxa" w:w="1435"/>
            <w:vAlign w:val="center"/>
          </w:tcPr>
          <w:p>
            <w:pPr>
              <w:keepNext w:val="0"/>
              <w:spacing w:after="0" w:before="0" w:line="240" w:lineRule="auto"/>
              <w:jc w:val="right"/>
            </w:pPr>
            <w:r>
              <w:rPr>
                <w:rFonts w:ascii="Calibri" w:hAnsi="Calibri"/>
                <w:b w:val="0"/>
                <w:sz w:val="18"/>
              </w:rPr>
              <w:t>8</w:t>
            </w:r>
          </w:p>
        </w:tc>
        <w:tc>
          <w:tcPr>
            <w:tcW w:type="dxa" w:w="1435"/>
            <w:vAlign w:val="center"/>
          </w:tcPr>
          <w:p>
            <w:pPr>
              <w:keepNext w:val="0"/>
              <w:spacing w:after="0" w:before="0" w:line="240" w:lineRule="auto"/>
              <w:jc w:val="right"/>
            </w:pPr>
            <w:r>
              <w:rPr>
                <w:rFonts w:ascii="Calibri" w:hAnsi="Calibri"/>
                <w:b w:val="0"/>
                <w:sz w:val="18"/>
              </w:rPr>
              <w:t>0.381</w:t>
            </w:r>
          </w:p>
        </w:tc>
        <w:tc>
          <w:tcPr>
            <w:tcW w:type="dxa" w:w="1435"/>
            <w:vAlign w:val="center"/>
          </w:tcPr>
          <w:p>
            <w:pPr>
              <w:keepNext w:val="0"/>
              <w:spacing w:after="0" w:before="0" w:line="240" w:lineRule="auto"/>
              <w:jc w:val="right"/>
            </w:pPr>
            <w:r>
              <w:rPr>
                <w:rFonts w:ascii="Calibri" w:hAnsi="Calibri"/>
                <w:b w:val="0"/>
                <w:sz w:val="18"/>
              </w:rPr>
              <w:t>5.42</w:t>
            </w:r>
          </w:p>
        </w:tc>
        <w:tc>
          <w:tcPr>
            <w:tcW w:type="dxa" w:w="1435"/>
            <w:vAlign w:val="center"/>
          </w:tcPr>
          <w:p>
            <w:pPr>
              <w:keepNext w:val="0"/>
              <w:spacing w:after="0" w:before="0" w:line="240" w:lineRule="auto"/>
              <w:jc w:val="right"/>
            </w:pPr>
            <w:r>
              <w:rPr>
                <w:rFonts w:ascii="Calibri" w:hAnsi="Calibri"/>
                <w:b w:val="0"/>
                <w:sz w:val="18"/>
              </w:rPr>
              <w:t>0.7054</w:t>
            </w:r>
          </w:p>
        </w:tc>
        <w:tc>
          <w:tcPr>
            <w:tcW w:type="dxa" w:w="1435"/>
            <w:vAlign w:val="center"/>
          </w:tcPr>
          <w:p>
            <w:pPr>
              <w:keepNext w:val="0"/>
              <w:spacing w:after="0" w:before="0" w:line="240" w:lineRule="auto"/>
              <w:jc w:val="right"/>
            </w:pPr>
            <w:r>
              <w:rPr>
                <w:rFonts w:ascii="Calibri" w:hAnsi="Calibri"/>
                <w:b w:val="0"/>
                <w:sz w:val="18"/>
              </w:rPr>
              <w:t>0.7438</w:t>
            </w:r>
          </w:p>
        </w:tc>
        <w:tc>
          <w:tcPr>
            <w:tcW w:type="dxa" w:w="1435"/>
            <w:vAlign w:val="center"/>
          </w:tcPr>
          <w:p>
            <w:pPr>
              <w:keepNext w:val="0"/>
              <w:spacing w:after="0" w:before="0" w:line="240" w:lineRule="auto"/>
              <w:jc w:val="right"/>
            </w:pPr>
            <w:r>
              <w:rPr>
                <w:rFonts w:ascii="Calibri" w:hAnsi="Calibri"/>
                <w:b w:val="0"/>
                <w:sz w:val="18"/>
              </w:rPr>
              <w:t>-5.4%</w:t>
            </w:r>
          </w:p>
        </w:tc>
      </w:tr>
      <w:tr>
        <w:trPr>
          <w:cantSplit/>
        </w:trPr>
        <w:tc>
          <w:tcPr>
            <w:tcW w:type="dxa" w:w="1613"/>
            <w:vAlign w:val="center"/>
          </w:tcPr>
          <w:p>
            <w:pPr>
              <w:keepNext/>
              <w:spacing w:after="0" w:before="0" w:line="240" w:lineRule="auto"/>
            </w:pPr>
            <w:r>
              <w:rPr>
                <w:rFonts w:ascii="Calibri" w:hAnsi="Calibri"/>
                <w:b w:val="0"/>
                <w:sz w:val="18"/>
              </w:rPr>
              <w:t>C1_N1_A1</w:t>
            </w:r>
          </w:p>
        </w:tc>
        <w:tc>
          <w:tcPr>
            <w:tcW w:type="dxa" w:w="1435"/>
            <w:vAlign w:val="center"/>
          </w:tcPr>
          <w:p>
            <w:pPr>
              <w:keepNext/>
              <w:spacing w:after="0" w:before="0" w:line="240" w:lineRule="auto"/>
              <w:jc w:val="right"/>
            </w:pPr>
            <w:r>
              <w:rPr>
                <w:rFonts w:ascii="Calibri" w:hAnsi="Calibri"/>
                <w:b w:val="0"/>
                <w:sz w:val="18"/>
              </w:rPr>
              <w:t>8</w:t>
            </w:r>
          </w:p>
        </w:tc>
        <w:tc>
          <w:tcPr>
            <w:tcW w:type="dxa" w:w="1435"/>
            <w:vAlign w:val="center"/>
          </w:tcPr>
          <w:p>
            <w:pPr>
              <w:keepNext/>
              <w:spacing w:after="0" w:before="0" w:line="240" w:lineRule="auto"/>
              <w:jc w:val="right"/>
            </w:pPr>
            <w:r>
              <w:rPr>
                <w:rFonts w:ascii="Calibri" w:hAnsi="Calibri"/>
                <w:b w:val="0"/>
                <w:sz w:val="18"/>
              </w:rPr>
              <w:t>0.358</w:t>
            </w:r>
          </w:p>
        </w:tc>
        <w:tc>
          <w:tcPr>
            <w:tcW w:type="dxa" w:w="1435"/>
            <w:vAlign w:val="center"/>
          </w:tcPr>
          <w:p>
            <w:pPr>
              <w:keepNext/>
              <w:spacing w:after="0" w:before="0" w:line="240" w:lineRule="auto"/>
              <w:jc w:val="right"/>
            </w:pPr>
            <w:r>
              <w:rPr>
                <w:rFonts w:ascii="Calibri" w:hAnsi="Calibri"/>
                <w:b w:val="0"/>
                <w:sz w:val="18"/>
              </w:rPr>
              <w:t>20.89</w:t>
            </w:r>
          </w:p>
        </w:tc>
        <w:tc>
          <w:tcPr>
            <w:tcW w:type="dxa" w:w="1435"/>
            <w:vAlign w:val="center"/>
          </w:tcPr>
          <w:p>
            <w:pPr>
              <w:keepNext/>
              <w:spacing w:after="0" w:before="0" w:line="240" w:lineRule="auto"/>
              <w:jc w:val="right"/>
            </w:pPr>
            <w:r>
              <w:rPr>
                <w:rFonts w:ascii="Calibri" w:hAnsi="Calibri"/>
                <w:b w:val="0"/>
                <w:sz w:val="18"/>
              </w:rPr>
              <w:t>0.7574</w:t>
            </w:r>
          </w:p>
        </w:tc>
        <w:tc>
          <w:tcPr>
            <w:tcW w:type="dxa" w:w="1435"/>
            <w:vAlign w:val="center"/>
          </w:tcPr>
          <w:p>
            <w:pPr>
              <w:keepNext/>
              <w:spacing w:after="0" w:before="0" w:line="240" w:lineRule="auto"/>
              <w:jc w:val="right"/>
            </w:pPr>
            <w:r>
              <w:rPr>
                <w:rFonts w:ascii="Calibri" w:hAnsi="Calibri"/>
                <w:b w:val="0"/>
                <w:sz w:val="18"/>
              </w:rPr>
              <w:t>0.8080</w:t>
            </w:r>
          </w:p>
        </w:tc>
        <w:tc>
          <w:tcPr>
            <w:tcW w:type="dxa" w:w="1435"/>
            <w:vAlign w:val="center"/>
          </w:tcPr>
          <w:p>
            <w:pPr>
              <w:keepNext/>
              <w:spacing w:after="0" w:before="0" w:line="240" w:lineRule="auto"/>
              <w:jc w:val="right"/>
            </w:pPr>
            <w:r>
              <w:rPr>
                <w:rFonts w:ascii="Calibri" w:hAnsi="Calibri"/>
                <w:b w:val="0"/>
                <w:sz w:val="18"/>
              </w:rPr>
              <w:t>-6.7%</w:t>
            </w:r>
          </w:p>
        </w:tc>
      </w:tr>
    </w:tbl>
    <w:p>
      <w:pPr>
        <w:keepLines/>
        <w:spacing w:before="60" w:after="120"/>
      </w:pPr>
      <w:r>
        <w:rPr>
          <w:sz w:val="18"/>
        </w:rPr>
        <w:t>Controlled simulation.</w:t>
      </w:r>
    </w:p>
    <w:p>
      <w:r>
        <w:t>In the low-curvature, low-noise, isotropic condition C0_N0_A0, Mono rollout MSE is approximately 0.0336 and StateMoE MSE 0.0234, a 30.3% reduction. Increasing anisotropy leaves d95 at 8 and slightly reduces the curvature index, but raises the condition number from approximately 1.37 to 5.36; matched-budget MoE error becomes 40.8% higher than Mono error.</w:t>
      </w:r>
    </w:p>
    <w:p>
      <w:r>
        <w:t>High curvature also changes the comparison. In C1_N0_A0, the curvature index is approximately 0.387, with Mono rollout MSE approximately 0.746 and matched MoE MSE 0.819. Combining high curvature and strong anisotropy produces local condition numbers of approximately 20–21.</w:t>
      </w:r>
    </w:p>
    <w:p>
      <w:pPr>
        <w:keepNext/>
        <w:spacing w:after="60"/>
        <w:jc w:val="center"/>
      </w:pPr>
      <w:r>
        <w:drawing>
          <wp:inline xmlns:a="http://schemas.openxmlformats.org/drawingml/2006/main" xmlns:pic="http://schemas.openxmlformats.org/drawingml/2006/picture">
            <wp:extent cx="6309360" cy="4056017"/>
            <wp:docPr id="10" name="Picture 10"/>
            <wp:cNvGraphicFramePr>
              <a:graphicFrameLocks noChangeAspect="1"/>
            </wp:cNvGraphicFramePr>
            <a:graphic>
              <a:graphicData uri="http://schemas.openxmlformats.org/drawingml/2006/picture">
                <pic:pic>
                  <pic:nvPicPr>
                    <pic:cNvPr id="0" name="10_image10.png"/>
                    <pic:cNvPicPr/>
                  </pic:nvPicPr>
                  <pic:blipFill>
                    <a:blip r:embed="rId23"/>
                    <a:stretch>
                      <a:fillRect/>
                    </a:stretch>
                  </pic:blipFill>
                  <pic:spPr>
                    <a:xfrm>
                      <a:off x="0" y="0"/>
                      <a:ext cx="6309360" cy="4056017"/>
                    </a:xfrm>
                    <a:prstGeom prst="rect"/>
                  </pic:spPr>
                </pic:pic>
              </a:graphicData>
            </a:graphic>
          </wp:inline>
        </w:drawing>
      </w:r>
    </w:p>
    <w:p>
      <w:pPr>
        <w:pStyle w:val="Caption"/>
      </w:pPr>
      <w:r>
        <w:t>Figure 10. Curvature and matched-budget MoE rollout gain in synthetic worlds with d95 fixed at 8. The comparison isolates response geometry beyond the measured state dimension.</w:t>
      </w:r>
    </w:p>
    <w:p>
      <w:pPr>
        <w:keepNext/>
        <w:spacing w:after="60"/>
        <w:jc w:val="center"/>
      </w:pPr>
      <w:r>
        <w:drawing>
          <wp:inline xmlns:a="http://schemas.openxmlformats.org/drawingml/2006/main" xmlns:pic="http://schemas.openxmlformats.org/drawingml/2006/picture">
            <wp:extent cx="6309360" cy="4056017"/>
            <wp:docPr id="11" name="Picture 11"/>
            <wp:cNvGraphicFramePr>
              <a:graphicFrameLocks noChangeAspect="1"/>
            </wp:cNvGraphicFramePr>
            <a:graphic>
              <a:graphicData uri="http://schemas.openxmlformats.org/drawingml/2006/picture">
                <pic:pic>
                  <pic:nvPicPr>
                    <pic:cNvPr id="0" name="11_image11.png"/>
                    <pic:cNvPicPr/>
                  </pic:nvPicPr>
                  <pic:blipFill>
                    <a:blip r:embed="rId24"/>
                    <a:stretch>
                      <a:fillRect/>
                    </a:stretch>
                  </pic:blipFill>
                  <pic:spPr>
                    <a:xfrm>
                      <a:off x="0" y="0"/>
                      <a:ext cx="6309360" cy="4056017"/>
                    </a:xfrm>
                    <a:prstGeom prst="rect"/>
                  </pic:spPr>
                </pic:pic>
              </a:graphicData>
            </a:graphic>
          </wp:inline>
        </w:drawing>
      </w:r>
    </w:p>
    <w:p>
      <w:pPr>
        <w:pStyle w:val="Caption"/>
      </w:pPr>
      <w:r>
        <w:t>Figure 11. Anisotropy and prediction error at fixed intrinsic dimension. The plotted conditions vary local response sensitivity without changing d95.</w:t>
      </w:r>
    </w:p>
    <w:p>
      <w:pPr>
        <w:pStyle w:val="Heading3"/>
      </w:pPr>
      <w:r>
        <w:t>5.2.3 Conditional innovation and attainable prediction accuracy</w:t>
      </w:r>
    </w:p>
    <w:p>
      <w:r>
        <w:t>Increasing innovation noise raises prediction error and narrows the gap between architectures. In low-curvature isotropic conditions, the MoE gain falls from 30.3% to 2.1%; in low-curvature anisotropic conditions, it changes from −40.8% to approximately +0.85%.</w:t>
      </w:r>
    </w:p>
    <w:p>
      <w:r>
        <w:t>Innovation that is independent of the available history contributes an irreducible component to prediction error under the stated observation model.</w:t>
      </w:r>
    </w:p>
    <w:p>
      <w:r>
        <w:t>This component should be distinguished from representational or estimation error. Additional capacity can model predictable structure, but the conditional innovation specified by the simulator remains random given the model's inputs.</w:t>
      </w:r>
    </w:p>
    <w:p>
      <w:pPr>
        <w:pStyle w:val="Heading3"/>
      </w:pPr>
      <w:r>
        <w:t>5.2.4 Capacity and regime-label interventions</w:t>
      </w:r>
    </w:p>
    <w:p>
      <w:pPr>
        <w:pStyle w:val="Caption"/>
        <w:keepNext/>
      </w:pPr>
      <w:r>
        <w:t>Table 28. Capacity and quadrant-oracle interventions.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870"/>
        <w:gridCol w:w="2870"/>
        <w:gridCol w:w="2870"/>
      </w:tblGrid>
      <w:tr>
        <w:trPr>
          <w:cantSplit/>
          <w:tblHeader/>
        </w:trPr>
        <w:tc>
          <w:tcPr>
            <w:tcW w:type="dxa" w:w="1613"/>
            <w:vAlign w:val="center"/>
            <w:shd w:fill="F2F2F2"/>
          </w:tcPr>
          <w:p>
            <w:pPr>
              <w:keepNext/>
              <w:spacing w:after="0" w:before="0" w:line="240" w:lineRule="auto"/>
            </w:pPr>
            <w:r>
              <w:rPr>
                <w:rFonts w:ascii="Calibri" w:hAnsi="Calibri"/>
                <w:b/>
                <w:sz w:val="19"/>
              </w:rPr>
              <w:t>Condition</w:t>
            </w:r>
          </w:p>
        </w:tc>
        <w:tc>
          <w:tcPr>
            <w:tcW w:type="dxa" w:w="2870"/>
            <w:vAlign w:val="center"/>
            <w:shd w:fill="F2F2F2"/>
          </w:tcPr>
          <w:p>
            <w:pPr>
              <w:keepNext/>
              <w:spacing w:after="0" w:before="0" w:line="240" w:lineRule="auto"/>
            </w:pPr>
            <w:r>
              <w:rPr>
                <w:rFonts w:ascii="Calibri" w:hAnsi="Calibri"/>
                <w:b/>
                <w:sz w:val="19"/>
              </w:rPr>
              <w:t>Model</w:t>
            </w:r>
          </w:p>
        </w:tc>
        <w:tc>
          <w:tcPr>
            <w:tcW w:type="dxa" w:w="2870"/>
            <w:vAlign w:val="center"/>
            <w:shd w:fill="F2F2F2"/>
          </w:tcPr>
          <w:p>
            <w:pPr>
              <w:keepNext/>
              <w:spacing w:after="0" w:before="0" w:line="240" w:lineRule="auto"/>
            </w:pPr>
            <w:r>
              <w:rPr>
                <w:rFonts w:ascii="Calibri" w:hAnsi="Calibri"/>
                <w:b/>
                <w:sz w:val="19"/>
              </w:rPr>
              <w:t>Final rollout MSE</w:t>
            </w:r>
          </w:p>
        </w:tc>
        <w:tc>
          <w:tcPr>
            <w:tcW w:type="dxa" w:w="2870"/>
            <w:vAlign w:val="center"/>
            <w:shd w:fill="F2F2F2"/>
          </w:tcPr>
          <w:p>
            <w:pPr>
              <w:keepNext/>
              <w:spacing w:after="0" w:before="0" w:line="240" w:lineRule="auto"/>
            </w:pPr>
            <w:r>
              <w:rPr>
                <w:rFonts w:ascii="Calibri" w:hAnsi="Calibri"/>
                <w:b/>
                <w:sz w:val="19"/>
              </w:rPr>
              <w:t>Gain vs Mono</w:t>
            </w:r>
          </w:p>
        </w:tc>
      </w:tr>
      <w:tr>
        <w:trPr>
          <w:cantSplit/>
        </w:trPr>
        <w:tc>
          <w:tcPr>
            <w:tcW w:type="dxa" w:w="1613"/>
            <w:vAlign w:val="center"/>
          </w:tcPr>
          <w:p>
            <w:pPr>
              <w:keepNext w:val="0"/>
              <w:spacing w:after="0" w:before="0" w:line="240" w:lineRule="auto"/>
            </w:pPr>
            <w:r>
              <w:rPr>
                <w:rFonts w:ascii="Calibri" w:hAnsi="Calibri"/>
                <w:b w:val="0"/>
                <w:sz w:val="19"/>
              </w:rPr>
              <w:t>C0_N0_A0</w:t>
            </w:r>
          </w:p>
        </w:tc>
        <w:tc>
          <w:tcPr>
            <w:tcW w:type="dxa" w:w="2870"/>
            <w:vAlign w:val="center"/>
          </w:tcPr>
          <w:p>
            <w:pPr>
              <w:keepNext w:val="0"/>
              <w:spacing w:after="0" w:before="0" w:line="240" w:lineRule="auto"/>
            </w:pPr>
            <w:r>
              <w:rPr>
                <w:rFonts w:ascii="Calibri" w:hAnsi="Calibri"/>
                <w:b w:val="0"/>
                <w:sz w:val="19"/>
              </w:rPr>
              <w:t>MonoBlock</w:t>
            </w:r>
          </w:p>
        </w:tc>
        <w:tc>
          <w:tcPr>
            <w:tcW w:type="dxa" w:w="2870"/>
            <w:vAlign w:val="center"/>
          </w:tcPr>
          <w:p>
            <w:pPr>
              <w:keepNext w:val="0"/>
              <w:spacing w:after="0" w:before="0" w:line="240" w:lineRule="auto"/>
              <w:jc w:val="right"/>
            </w:pPr>
            <w:r>
              <w:rPr>
                <w:rFonts w:ascii="Calibri" w:hAnsi="Calibri"/>
                <w:b w:val="0"/>
                <w:sz w:val="19"/>
              </w:rPr>
              <w:t>0.0336</w:t>
            </w:r>
          </w:p>
        </w:tc>
        <w:tc>
          <w:tcPr>
            <w:tcW w:type="dxa" w:w="2870"/>
            <w:vAlign w:val="center"/>
          </w:tcPr>
          <w:p>
            <w:pPr>
              <w:keepNext w:val="0"/>
              <w:spacing w:after="0" w:before="0" w:line="240" w:lineRule="auto"/>
              <w:jc w:val="right"/>
            </w:pPr>
            <w:r>
              <w:rPr>
                <w:rFonts w:ascii="Calibri" w:hAnsi="Calibri"/>
                <w:b w:val="0"/>
                <w:sz w:val="19"/>
              </w:rPr>
              <w:t>+0.0%</w:t>
            </w:r>
          </w:p>
        </w:tc>
      </w:tr>
      <w:tr>
        <w:trPr>
          <w:cantSplit/>
        </w:trPr>
        <w:tc>
          <w:tcPr>
            <w:tcW w:type="dxa" w:w="1613"/>
            <w:vAlign w:val="center"/>
          </w:tcPr>
          <w:p>
            <w:pPr>
              <w:keepNext w:val="0"/>
              <w:spacing w:after="0" w:before="0" w:line="240" w:lineRule="auto"/>
            </w:pPr>
            <w:r>
              <w:rPr>
                <w:rFonts w:ascii="Calibri" w:hAnsi="Calibri"/>
                <w:b w:val="0"/>
                <w:sz w:val="19"/>
              </w:rPr>
              <w:t>C0_N0_A0</w:t>
            </w:r>
          </w:p>
        </w:tc>
        <w:tc>
          <w:tcPr>
            <w:tcW w:type="dxa" w:w="2870"/>
            <w:vAlign w:val="center"/>
          </w:tcPr>
          <w:p>
            <w:pPr>
              <w:keepNext w:val="0"/>
              <w:spacing w:after="0" w:before="0" w:line="240" w:lineRule="auto"/>
            </w:pPr>
            <w:r>
              <w:rPr>
                <w:rFonts w:ascii="Calibri" w:hAnsi="Calibri"/>
                <w:b w:val="0"/>
                <w:sz w:val="19"/>
              </w:rPr>
              <w:t>MatchedMoE</w:t>
            </w:r>
          </w:p>
        </w:tc>
        <w:tc>
          <w:tcPr>
            <w:tcW w:type="dxa" w:w="2870"/>
            <w:vAlign w:val="center"/>
          </w:tcPr>
          <w:p>
            <w:pPr>
              <w:keepNext w:val="0"/>
              <w:spacing w:after="0" w:before="0" w:line="240" w:lineRule="auto"/>
              <w:jc w:val="right"/>
            </w:pPr>
            <w:r>
              <w:rPr>
                <w:rFonts w:ascii="Calibri" w:hAnsi="Calibri"/>
                <w:b w:val="0"/>
                <w:sz w:val="19"/>
              </w:rPr>
              <w:t>0.0234</w:t>
            </w:r>
          </w:p>
        </w:tc>
        <w:tc>
          <w:tcPr>
            <w:tcW w:type="dxa" w:w="2870"/>
            <w:vAlign w:val="center"/>
          </w:tcPr>
          <w:p>
            <w:pPr>
              <w:keepNext w:val="0"/>
              <w:spacing w:after="0" w:before="0" w:line="240" w:lineRule="auto"/>
              <w:jc w:val="right"/>
            </w:pPr>
            <w:r>
              <w:rPr>
                <w:rFonts w:ascii="Calibri" w:hAnsi="Calibri"/>
                <w:b w:val="0"/>
                <w:sz w:val="19"/>
              </w:rPr>
              <w:t>+30.3%</w:t>
            </w:r>
          </w:p>
        </w:tc>
      </w:tr>
      <w:tr>
        <w:trPr>
          <w:cantSplit/>
        </w:trPr>
        <w:tc>
          <w:tcPr>
            <w:tcW w:type="dxa" w:w="1613"/>
            <w:vAlign w:val="center"/>
          </w:tcPr>
          <w:p>
            <w:pPr>
              <w:keepNext w:val="0"/>
              <w:spacing w:after="0" w:before="0" w:line="240" w:lineRule="auto"/>
            </w:pPr>
            <w:r>
              <w:rPr>
                <w:rFonts w:ascii="Calibri" w:hAnsi="Calibri"/>
                <w:b w:val="0"/>
                <w:sz w:val="19"/>
              </w:rPr>
              <w:t>C0_N0_A0</w:t>
            </w:r>
          </w:p>
        </w:tc>
        <w:tc>
          <w:tcPr>
            <w:tcW w:type="dxa" w:w="2870"/>
            <w:vAlign w:val="center"/>
          </w:tcPr>
          <w:p>
            <w:pPr>
              <w:keepNext w:val="0"/>
              <w:spacing w:after="0" w:before="0" w:line="240" w:lineRule="auto"/>
            </w:pPr>
            <w:r>
              <w:rPr>
                <w:rFonts w:ascii="Calibri" w:hAnsi="Calibri"/>
                <w:b w:val="0"/>
                <w:sz w:val="19"/>
              </w:rPr>
              <w:t>OracleMoE</w:t>
            </w:r>
          </w:p>
        </w:tc>
        <w:tc>
          <w:tcPr>
            <w:tcW w:type="dxa" w:w="2870"/>
            <w:vAlign w:val="center"/>
          </w:tcPr>
          <w:p>
            <w:pPr>
              <w:keepNext w:val="0"/>
              <w:spacing w:after="0" w:before="0" w:line="240" w:lineRule="auto"/>
              <w:jc w:val="right"/>
            </w:pPr>
            <w:r>
              <w:rPr>
                <w:rFonts w:ascii="Calibri" w:hAnsi="Calibri"/>
                <w:b w:val="0"/>
                <w:sz w:val="19"/>
              </w:rPr>
              <w:t>0.0238</w:t>
            </w:r>
          </w:p>
        </w:tc>
        <w:tc>
          <w:tcPr>
            <w:tcW w:type="dxa" w:w="2870"/>
            <w:vAlign w:val="center"/>
          </w:tcPr>
          <w:p>
            <w:pPr>
              <w:keepNext w:val="0"/>
              <w:spacing w:after="0" w:before="0" w:line="240" w:lineRule="auto"/>
              <w:jc w:val="right"/>
            </w:pPr>
            <w:r>
              <w:rPr>
                <w:rFonts w:ascii="Calibri" w:hAnsi="Calibri"/>
                <w:b w:val="0"/>
                <w:sz w:val="19"/>
              </w:rPr>
              <w:t>+29.1%</w:t>
            </w:r>
          </w:p>
        </w:tc>
      </w:tr>
      <w:tr>
        <w:trPr>
          <w:cantSplit/>
        </w:trPr>
        <w:tc>
          <w:tcPr>
            <w:tcW w:type="dxa" w:w="1613"/>
            <w:vAlign w:val="center"/>
          </w:tcPr>
          <w:p>
            <w:pPr>
              <w:keepNext w:val="0"/>
              <w:spacing w:after="0" w:before="0" w:line="240" w:lineRule="auto"/>
            </w:pPr>
            <w:r>
              <w:rPr>
                <w:rFonts w:ascii="Calibri" w:hAnsi="Calibri"/>
                <w:b w:val="0"/>
                <w:sz w:val="19"/>
              </w:rPr>
              <w:t>C0_N0_A0</w:t>
            </w:r>
          </w:p>
        </w:tc>
        <w:tc>
          <w:tcPr>
            <w:tcW w:type="dxa" w:w="2870"/>
            <w:vAlign w:val="center"/>
          </w:tcPr>
          <w:p>
            <w:pPr>
              <w:keepNext w:val="0"/>
              <w:spacing w:after="0" w:before="0" w:line="240" w:lineRule="auto"/>
            </w:pPr>
            <w:r>
              <w:rPr>
                <w:rFonts w:ascii="Calibri" w:hAnsi="Calibri"/>
                <w:b w:val="0"/>
                <w:sz w:val="19"/>
              </w:rPr>
              <w:t>OvercompleteMoE</w:t>
            </w:r>
          </w:p>
        </w:tc>
        <w:tc>
          <w:tcPr>
            <w:tcW w:type="dxa" w:w="2870"/>
            <w:vAlign w:val="center"/>
          </w:tcPr>
          <w:p>
            <w:pPr>
              <w:keepNext w:val="0"/>
              <w:spacing w:after="0" w:before="0" w:line="240" w:lineRule="auto"/>
              <w:jc w:val="right"/>
            </w:pPr>
            <w:r>
              <w:rPr>
                <w:rFonts w:ascii="Calibri" w:hAnsi="Calibri"/>
                <w:b w:val="0"/>
                <w:sz w:val="19"/>
              </w:rPr>
              <w:t>0.0145</w:t>
            </w:r>
          </w:p>
        </w:tc>
        <w:tc>
          <w:tcPr>
            <w:tcW w:type="dxa" w:w="2870"/>
            <w:vAlign w:val="center"/>
          </w:tcPr>
          <w:p>
            <w:pPr>
              <w:keepNext w:val="0"/>
              <w:spacing w:after="0" w:before="0" w:line="240" w:lineRule="auto"/>
              <w:jc w:val="right"/>
            </w:pPr>
            <w:r>
              <w:rPr>
                <w:rFonts w:ascii="Calibri" w:hAnsi="Calibri"/>
                <w:b w:val="0"/>
                <w:sz w:val="19"/>
              </w:rPr>
              <w:t>+56.9%</w:t>
            </w:r>
          </w:p>
        </w:tc>
      </w:tr>
      <w:tr>
        <w:trPr>
          <w:cantSplit/>
        </w:trPr>
        <w:tc>
          <w:tcPr>
            <w:tcW w:type="dxa" w:w="1613"/>
            <w:vAlign w:val="center"/>
          </w:tcPr>
          <w:p>
            <w:pPr>
              <w:keepNext w:val="0"/>
              <w:spacing w:after="0" w:before="0" w:line="240" w:lineRule="auto"/>
            </w:pPr>
            <w:r>
              <w:rPr>
                <w:rFonts w:ascii="Calibri" w:hAnsi="Calibri"/>
                <w:b w:val="0"/>
                <w:sz w:val="19"/>
              </w:rPr>
              <w:t>C0_N0_A1</w:t>
            </w:r>
          </w:p>
        </w:tc>
        <w:tc>
          <w:tcPr>
            <w:tcW w:type="dxa" w:w="2870"/>
            <w:vAlign w:val="center"/>
          </w:tcPr>
          <w:p>
            <w:pPr>
              <w:keepNext w:val="0"/>
              <w:spacing w:after="0" w:before="0" w:line="240" w:lineRule="auto"/>
            </w:pPr>
            <w:r>
              <w:rPr>
                <w:rFonts w:ascii="Calibri" w:hAnsi="Calibri"/>
                <w:b w:val="0"/>
                <w:sz w:val="19"/>
              </w:rPr>
              <w:t>MonoBlock</w:t>
            </w:r>
          </w:p>
        </w:tc>
        <w:tc>
          <w:tcPr>
            <w:tcW w:type="dxa" w:w="2870"/>
            <w:vAlign w:val="center"/>
          </w:tcPr>
          <w:p>
            <w:pPr>
              <w:keepNext w:val="0"/>
              <w:spacing w:after="0" w:before="0" w:line="240" w:lineRule="auto"/>
              <w:jc w:val="right"/>
            </w:pPr>
            <w:r>
              <w:rPr>
                <w:rFonts w:ascii="Calibri" w:hAnsi="Calibri"/>
                <w:b w:val="0"/>
                <w:sz w:val="19"/>
              </w:rPr>
              <w:t>0.0099</w:t>
            </w:r>
          </w:p>
        </w:tc>
        <w:tc>
          <w:tcPr>
            <w:tcW w:type="dxa" w:w="2870"/>
            <w:vAlign w:val="center"/>
          </w:tcPr>
          <w:p>
            <w:pPr>
              <w:keepNext w:val="0"/>
              <w:spacing w:after="0" w:before="0" w:line="240" w:lineRule="auto"/>
              <w:jc w:val="right"/>
            </w:pPr>
            <w:r>
              <w:rPr>
                <w:rFonts w:ascii="Calibri" w:hAnsi="Calibri"/>
                <w:b w:val="0"/>
                <w:sz w:val="19"/>
              </w:rPr>
              <w:t>+0.0%</w:t>
            </w:r>
          </w:p>
        </w:tc>
      </w:tr>
      <w:tr>
        <w:trPr>
          <w:cantSplit/>
        </w:trPr>
        <w:tc>
          <w:tcPr>
            <w:tcW w:type="dxa" w:w="1613"/>
            <w:vAlign w:val="center"/>
          </w:tcPr>
          <w:p>
            <w:pPr>
              <w:keepNext w:val="0"/>
              <w:spacing w:after="0" w:before="0" w:line="240" w:lineRule="auto"/>
            </w:pPr>
            <w:r>
              <w:rPr>
                <w:rFonts w:ascii="Calibri" w:hAnsi="Calibri"/>
                <w:b w:val="0"/>
                <w:sz w:val="19"/>
              </w:rPr>
              <w:t>C0_N0_A1</w:t>
            </w:r>
          </w:p>
        </w:tc>
        <w:tc>
          <w:tcPr>
            <w:tcW w:type="dxa" w:w="2870"/>
            <w:vAlign w:val="center"/>
          </w:tcPr>
          <w:p>
            <w:pPr>
              <w:keepNext w:val="0"/>
              <w:spacing w:after="0" w:before="0" w:line="240" w:lineRule="auto"/>
            </w:pPr>
            <w:r>
              <w:rPr>
                <w:rFonts w:ascii="Calibri" w:hAnsi="Calibri"/>
                <w:b w:val="0"/>
                <w:sz w:val="19"/>
              </w:rPr>
              <w:t>MatchedMoE</w:t>
            </w:r>
          </w:p>
        </w:tc>
        <w:tc>
          <w:tcPr>
            <w:tcW w:type="dxa" w:w="2870"/>
            <w:vAlign w:val="center"/>
          </w:tcPr>
          <w:p>
            <w:pPr>
              <w:keepNext w:val="0"/>
              <w:spacing w:after="0" w:before="0" w:line="240" w:lineRule="auto"/>
              <w:jc w:val="right"/>
            </w:pPr>
            <w:r>
              <w:rPr>
                <w:rFonts w:ascii="Calibri" w:hAnsi="Calibri"/>
                <w:b w:val="0"/>
                <w:sz w:val="19"/>
              </w:rPr>
              <w:t>0.0139</w:t>
            </w:r>
          </w:p>
        </w:tc>
        <w:tc>
          <w:tcPr>
            <w:tcW w:type="dxa" w:w="2870"/>
            <w:vAlign w:val="center"/>
          </w:tcPr>
          <w:p>
            <w:pPr>
              <w:keepNext w:val="0"/>
              <w:spacing w:after="0" w:before="0" w:line="240" w:lineRule="auto"/>
              <w:jc w:val="right"/>
            </w:pPr>
            <w:r>
              <w:rPr>
                <w:rFonts w:ascii="Calibri" w:hAnsi="Calibri"/>
                <w:b w:val="0"/>
                <w:sz w:val="19"/>
              </w:rPr>
              <w:t>-40.8%</w:t>
            </w:r>
          </w:p>
        </w:tc>
      </w:tr>
      <w:tr>
        <w:trPr>
          <w:cantSplit/>
        </w:trPr>
        <w:tc>
          <w:tcPr>
            <w:tcW w:type="dxa" w:w="1613"/>
            <w:vAlign w:val="center"/>
          </w:tcPr>
          <w:p>
            <w:pPr>
              <w:keepNext w:val="0"/>
              <w:spacing w:after="0" w:before="0" w:line="240" w:lineRule="auto"/>
            </w:pPr>
            <w:r>
              <w:rPr>
                <w:rFonts w:ascii="Calibri" w:hAnsi="Calibri"/>
                <w:b w:val="0"/>
                <w:sz w:val="19"/>
              </w:rPr>
              <w:t>C0_N0_A1</w:t>
            </w:r>
          </w:p>
        </w:tc>
        <w:tc>
          <w:tcPr>
            <w:tcW w:type="dxa" w:w="2870"/>
            <w:vAlign w:val="center"/>
          </w:tcPr>
          <w:p>
            <w:pPr>
              <w:keepNext w:val="0"/>
              <w:spacing w:after="0" w:before="0" w:line="240" w:lineRule="auto"/>
            </w:pPr>
            <w:r>
              <w:rPr>
                <w:rFonts w:ascii="Calibri" w:hAnsi="Calibri"/>
                <w:b w:val="0"/>
                <w:sz w:val="19"/>
              </w:rPr>
              <w:t>OracleMoE</w:t>
            </w:r>
          </w:p>
        </w:tc>
        <w:tc>
          <w:tcPr>
            <w:tcW w:type="dxa" w:w="2870"/>
            <w:vAlign w:val="center"/>
          </w:tcPr>
          <w:p>
            <w:pPr>
              <w:keepNext w:val="0"/>
              <w:spacing w:after="0" w:before="0" w:line="240" w:lineRule="auto"/>
              <w:jc w:val="right"/>
            </w:pPr>
            <w:r>
              <w:rPr>
                <w:rFonts w:ascii="Calibri" w:hAnsi="Calibri"/>
                <w:b w:val="0"/>
                <w:sz w:val="19"/>
              </w:rPr>
              <w:t>0.0199</w:t>
            </w:r>
          </w:p>
        </w:tc>
        <w:tc>
          <w:tcPr>
            <w:tcW w:type="dxa" w:w="2870"/>
            <w:vAlign w:val="center"/>
          </w:tcPr>
          <w:p>
            <w:pPr>
              <w:keepNext w:val="0"/>
              <w:spacing w:after="0" w:before="0" w:line="240" w:lineRule="auto"/>
              <w:jc w:val="right"/>
            </w:pPr>
            <w:r>
              <w:rPr>
                <w:rFonts w:ascii="Calibri" w:hAnsi="Calibri"/>
                <w:b w:val="0"/>
                <w:sz w:val="19"/>
              </w:rPr>
              <w:t>-101.9%</w:t>
            </w:r>
          </w:p>
        </w:tc>
      </w:tr>
      <w:tr>
        <w:trPr>
          <w:cantSplit/>
        </w:trPr>
        <w:tc>
          <w:tcPr>
            <w:tcW w:type="dxa" w:w="1613"/>
            <w:vAlign w:val="center"/>
          </w:tcPr>
          <w:p>
            <w:pPr>
              <w:keepNext w:val="0"/>
              <w:spacing w:after="0" w:before="0" w:line="240" w:lineRule="auto"/>
            </w:pPr>
            <w:r>
              <w:rPr>
                <w:rFonts w:ascii="Calibri" w:hAnsi="Calibri"/>
                <w:b w:val="0"/>
                <w:sz w:val="19"/>
              </w:rPr>
              <w:t>C0_N0_A1</w:t>
            </w:r>
          </w:p>
        </w:tc>
        <w:tc>
          <w:tcPr>
            <w:tcW w:type="dxa" w:w="2870"/>
            <w:vAlign w:val="center"/>
          </w:tcPr>
          <w:p>
            <w:pPr>
              <w:keepNext w:val="0"/>
              <w:spacing w:after="0" w:before="0" w:line="240" w:lineRule="auto"/>
            </w:pPr>
            <w:r>
              <w:rPr>
                <w:rFonts w:ascii="Calibri" w:hAnsi="Calibri"/>
                <w:b w:val="0"/>
                <w:sz w:val="19"/>
              </w:rPr>
              <w:t>OvercompleteMoE</w:t>
            </w:r>
          </w:p>
        </w:tc>
        <w:tc>
          <w:tcPr>
            <w:tcW w:type="dxa" w:w="2870"/>
            <w:vAlign w:val="center"/>
          </w:tcPr>
          <w:p>
            <w:pPr>
              <w:keepNext w:val="0"/>
              <w:spacing w:after="0" w:before="0" w:line="240" w:lineRule="auto"/>
              <w:jc w:val="right"/>
            </w:pPr>
            <w:r>
              <w:rPr>
                <w:rFonts w:ascii="Calibri" w:hAnsi="Calibri"/>
                <w:b w:val="0"/>
                <w:sz w:val="19"/>
              </w:rPr>
              <w:t>0.0072</w:t>
            </w:r>
          </w:p>
        </w:tc>
        <w:tc>
          <w:tcPr>
            <w:tcW w:type="dxa" w:w="2870"/>
            <w:vAlign w:val="center"/>
          </w:tcPr>
          <w:p>
            <w:pPr>
              <w:keepNext w:val="0"/>
              <w:spacing w:after="0" w:before="0" w:line="240" w:lineRule="auto"/>
              <w:jc w:val="right"/>
            </w:pPr>
            <w:r>
              <w:rPr>
                <w:rFonts w:ascii="Calibri" w:hAnsi="Calibri"/>
                <w:b w:val="0"/>
                <w:sz w:val="19"/>
              </w:rPr>
              <w:t>+27.1%</w:t>
            </w:r>
          </w:p>
        </w:tc>
      </w:tr>
      <w:tr>
        <w:trPr>
          <w:cantSplit/>
        </w:trPr>
        <w:tc>
          <w:tcPr>
            <w:tcW w:type="dxa" w:w="1613"/>
            <w:vAlign w:val="center"/>
          </w:tcPr>
          <w:p>
            <w:pPr>
              <w:keepNext w:val="0"/>
              <w:spacing w:after="0" w:before="0" w:line="240" w:lineRule="auto"/>
            </w:pPr>
            <w:r>
              <w:rPr>
                <w:rFonts w:ascii="Calibri" w:hAnsi="Calibri"/>
                <w:b w:val="0"/>
                <w:sz w:val="19"/>
              </w:rPr>
              <w:t>C1_N0_A0</w:t>
            </w:r>
          </w:p>
        </w:tc>
        <w:tc>
          <w:tcPr>
            <w:tcW w:type="dxa" w:w="2870"/>
            <w:vAlign w:val="center"/>
          </w:tcPr>
          <w:p>
            <w:pPr>
              <w:keepNext w:val="0"/>
              <w:spacing w:after="0" w:before="0" w:line="240" w:lineRule="auto"/>
            </w:pPr>
            <w:r>
              <w:rPr>
                <w:rFonts w:ascii="Calibri" w:hAnsi="Calibri"/>
                <w:b w:val="0"/>
                <w:sz w:val="19"/>
              </w:rPr>
              <w:t>MonoBlock</w:t>
            </w:r>
          </w:p>
        </w:tc>
        <w:tc>
          <w:tcPr>
            <w:tcW w:type="dxa" w:w="2870"/>
            <w:vAlign w:val="center"/>
          </w:tcPr>
          <w:p>
            <w:pPr>
              <w:keepNext w:val="0"/>
              <w:spacing w:after="0" w:before="0" w:line="240" w:lineRule="auto"/>
              <w:jc w:val="right"/>
            </w:pPr>
            <w:r>
              <w:rPr>
                <w:rFonts w:ascii="Calibri" w:hAnsi="Calibri"/>
                <w:b w:val="0"/>
                <w:sz w:val="19"/>
              </w:rPr>
              <w:t>0.7456</w:t>
            </w:r>
          </w:p>
        </w:tc>
        <w:tc>
          <w:tcPr>
            <w:tcW w:type="dxa" w:w="2870"/>
            <w:vAlign w:val="center"/>
          </w:tcPr>
          <w:p>
            <w:pPr>
              <w:keepNext w:val="0"/>
              <w:spacing w:after="0" w:before="0" w:line="240" w:lineRule="auto"/>
              <w:jc w:val="right"/>
            </w:pPr>
            <w:r>
              <w:rPr>
                <w:rFonts w:ascii="Calibri" w:hAnsi="Calibri"/>
                <w:b w:val="0"/>
                <w:sz w:val="19"/>
              </w:rPr>
              <w:t>+0.0%</w:t>
            </w:r>
          </w:p>
        </w:tc>
      </w:tr>
      <w:tr>
        <w:trPr>
          <w:cantSplit/>
        </w:trPr>
        <w:tc>
          <w:tcPr>
            <w:tcW w:type="dxa" w:w="1613"/>
            <w:vAlign w:val="center"/>
          </w:tcPr>
          <w:p>
            <w:pPr>
              <w:keepNext w:val="0"/>
              <w:spacing w:after="0" w:before="0" w:line="240" w:lineRule="auto"/>
            </w:pPr>
            <w:r>
              <w:rPr>
                <w:rFonts w:ascii="Calibri" w:hAnsi="Calibri"/>
                <w:b w:val="0"/>
                <w:sz w:val="19"/>
              </w:rPr>
              <w:t>C1_N0_A0</w:t>
            </w:r>
          </w:p>
        </w:tc>
        <w:tc>
          <w:tcPr>
            <w:tcW w:type="dxa" w:w="2870"/>
            <w:vAlign w:val="center"/>
          </w:tcPr>
          <w:p>
            <w:pPr>
              <w:keepNext w:val="0"/>
              <w:spacing w:after="0" w:before="0" w:line="240" w:lineRule="auto"/>
            </w:pPr>
            <w:r>
              <w:rPr>
                <w:rFonts w:ascii="Calibri" w:hAnsi="Calibri"/>
                <w:b w:val="0"/>
                <w:sz w:val="19"/>
              </w:rPr>
              <w:t>MatchedMoE</w:t>
            </w:r>
          </w:p>
        </w:tc>
        <w:tc>
          <w:tcPr>
            <w:tcW w:type="dxa" w:w="2870"/>
            <w:vAlign w:val="center"/>
          </w:tcPr>
          <w:p>
            <w:pPr>
              <w:keepNext w:val="0"/>
              <w:spacing w:after="0" w:before="0" w:line="240" w:lineRule="auto"/>
              <w:jc w:val="right"/>
            </w:pPr>
            <w:r>
              <w:rPr>
                <w:rFonts w:ascii="Calibri" w:hAnsi="Calibri"/>
                <w:b w:val="0"/>
                <w:sz w:val="19"/>
              </w:rPr>
              <w:t>0.8187</w:t>
            </w:r>
          </w:p>
        </w:tc>
        <w:tc>
          <w:tcPr>
            <w:tcW w:type="dxa" w:w="2870"/>
            <w:vAlign w:val="center"/>
          </w:tcPr>
          <w:p>
            <w:pPr>
              <w:keepNext w:val="0"/>
              <w:spacing w:after="0" w:before="0" w:line="240" w:lineRule="auto"/>
              <w:jc w:val="right"/>
            </w:pPr>
            <w:r>
              <w:rPr>
                <w:rFonts w:ascii="Calibri" w:hAnsi="Calibri"/>
                <w:b w:val="0"/>
                <w:sz w:val="19"/>
              </w:rPr>
              <w:t>-9.8%</w:t>
            </w:r>
          </w:p>
        </w:tc>
      </w:tr>
      <w:tr>
        <w:trPr>
          <w:cantSplit/>
        </w:trPr>
        <w:tc>
          <w:tcPr>
            <w:tcW w:type="dxa" w:w="1613"/>
            <w:vAlign w:val="center"/>
          </w:tcPr>
          <w:p>
            <w:pPr>
              <w:keepNext w:val="0"/>
              <w:spacing w:after="0" w:before="0" w:line="240" w:lineRule="auto"/>
            </w:pPr>
            <w:r>
              <w:rPr>
                <w:rFonts w:ascii="Calibri" w:hAnsi="Calibri"/>
                <w:b w:val="0"/>
                <w:sz w:val="19"/>
              </w:rPr>
              <w:t>C1_N0_A0</w:t>
            </w:r>
          </w:p>
        </w:tc>
        <w:tc>
          <w:tcPr>
            <w:tcW w:type="dxa" w:w="2870"/>
            <w:vAlign w:val="center"/>
          </w:tcPr>
          <w:p>
            <w:pPr>
              <w:keepNext w:val="0"/>
              <w:spacing w:after="0" w:before="0" w:line="240" w:lineRule="auto"/>
            </w:pPr>
            <w:r>
              <w:rPr>
                <w:rFonts w:ascii="Calibri" w:hAnsi="Calibri"/>
                <w:b w:val="0"/>
                <w:sz w:val="19"/>
              </w:rPr>
              <w:t>OracleMoE</w:t>
            </w:r>
          </w:p>
        </w:tc>
        <w:tc>
          <w:tcPr>
            <w:tcW w:type="dxa" w:w="2870"/>
            <w:vAlign w:val="center"/>
          </w:tcPr>
          <w:p>
            <w:pPr>
              <w:keepNext w:val="0"/>
              <w:spacing w:after="0" w:before="0" w:line="240" w:lineRule="auto"/>
              <w:jc w:val="right"/>
            </w:pPr>
            <w:r>
              <w:rPr>
                <w:rFonts w:ascii="Calibri" w:hAnsi="Calibri"/>
                <w:b w:val="0"/>
                <w:sz w:val="19"/>
              </w:rPr>
              <w:t>1.1242</w:t>
            </w:r>
          </w:p>
        </w:tc>
        <w:tc>
          <w:tcPr>
            <w:tcW w:type="dxa" w:w="2870"/>
            <w:vAlign w:val="center"/>
          </w:tcPr>
          <w:p>
            <w:pPr>
              <w:keepNext w:val="0"/>
              <w:spacing w:after="0" w:before="0" w:line="240" w:lineRule="auto"/>
              <w:jc w:val="right"/>
            </w:pPr>
            <w:r>
              <w:rPr>
                <w:rFonts w:ascii="Calibri" w:hAnsi="Calibri"/>
                <w:b w:val="0"/>
                <w:sz w:val="19"/>
              </w:rPr>
              <w:t>-50.8%</w:t>
            </w:r>
          </w:p>
        </w:tc>
      </w:tr>
      <w:tr>
        <w:trPr>
          <w:cantSplit/>
        </w:trPr>
        <w:tc>
          <w:tcPr>
            <w:tcW w:type="dxa" w:w="1613"/>
            <w:vAlign w:val="center"/>
          </w:tcPr>
          <w:p>
            <w:pPr>
              <w:keepNext/>
              <w:spacing w:after="0" w:before="0" w:line="240" w:lineRule="auto"/>
            </w:pPr>
            <w:r>
              <w:rPr>
                <w:rFonts w:ascii="Calibri" w:hAnsi="Calibri"/>
                <w:b w:val="0"/>
                <w:sz w:val="19"/>
              </w:rPr>
              <w:t>C1_N0_A0</w:t>
            </w:r>
          </w:p>
        </w:tc>
        <w:tc>
          <w:tcPr>
            <w:tcW w:type="dxa" w:w="2870"/>
            <w:vAlign w:val="center"/>
          </w:tcPr>
          <w:p>
            <w:pPr>
              <w:keepNext/>
              <w:spacing w:after="0" w:before="0" w:line="240" w:lineRule="auto"/>
            </w:pPr>
            <w:r>
              <w:rPr>
                <w:rFonts w:ascii="Calibri" w:hAnsi="Calibri"/>
                <w:b w:val="0"/>
                <w:sz w:val="19"/>
              </w:rPr>
              <w:t>OvercompleteMoE</w:t>
            </w:r>
          </w:p>
        </w:tc>
        <w:tc>
          <w:tcPr>
            <w:tcW w:type="dxa" w:w="2870"/>
            <w:vAlign w:val="center"/>
          </w:tcPr>
          <w:p>
            <w:pPr>
              <w:keepNext/>
              <w:spacing w:after="0" w:before="0" w:line="240" w:lineRule="auto"/>
              <w:jc w:val="right"/>
            </w:pPr>
            <w:r>
              <w:rPr>
                <w:rFonts w:ascii="Calibri" w:hAnsi="Calibri"/>
                <w:b w:val="0"/>
                <w:sz w:val="19"/>
              </w:rPr>
              <w:t>0.6986</w:t>
            </w:r>
          </w:p>
        </w:tc>
        <w:tc>
          <w:tcPr>
            <w:tcW w:type="dxa" w:w="2870"/>
            <w:vAlign w:val="center"/>
          </w:tcPr>
          <w:p>
            <w:pPr>
              <w:keepNext/>
              <w:spacing w:after="0" w:before="0" w:line="240" w:lineRule="auto"/>
              <w:jc w:val="right"/>
            </w:pPr>
            <w:r>
              <w:rPr>
                <w:rFonts w:ascii="Calibri" w:hAnsi="Calibri"/>
                <w:b w:val="0"/>
                <w:sz w:val="19"/>
              </w:rPr>
              <w:t>+6.3%</w:t>
            </w:r>
          </w:p>
        </w:tc>
      </w:tr>
    </w:tbl>
    <w:p>
      <w:pPr>
        <w:keepLines/>
        <w:spacing w:before="60" w:after="120"/>
      </w:pPr>
      <w:r>
        <w:rPr>
          <w:sz w:val="18"/>
        </w:rPr>
        <w:t>Controlled simulation. Lower MSE indicates lower prediction error within the same task and target scaling.</w:t>
      </w:r>
    </w:p>
    <w:p>
      <w:r>
        <w:t>With larger experts, the MoE gain changes from −40.8% to +27.1% in C0_N0_A1 and from −9.8% to +6.3% in C1_N0_A0. In C0_N0_A0, the gain increases from 30.3% to 56.9%. The matched-budget comparison therefore reflects local capacity as well as partition structure.</w:t>
      </w:r>
    </w:p>
    <w:p>
      <w:r>
        <w:t>The capacity sweep shows that curvature and anisotropy affect useful per-expert capacity even when global d95 is unchanged. It does not identify a universal minimum-capacity formula.</w:t>
      </w:r>
    </w:p>
    <w:p>
      <w:r>
        <w:t>Routing by the simulator's quadrant labels performs worse than learned routing in all three representative conditions, especially under anisotropy and curvature. The simulator's labelled regions are therefore not the best computational partition among those evaluated.</w:t>
      </w:r>
    </w:p>
    <w:p>
      <w:pPr>
        <w:keepNext/>
        <w:spacing w:after="60"/>
        <w:jc w:val="center"/>
      </w:pPr>
      <w:r>
        <w:drawing>
          <wp:inline xmlns:a="http://schemas.openxmlformats.org/drawingml/2006/main" xmlns:pic="http://schemas.openxmlformats.org/drawingml/2006/picture">
            <wp:extent cx="6309360" cy="3785616"/>
            <wp:docPr id="12" name="Picture 12"/>
            <wp:cNvGraphicFramePr>
              <a:graphicFrameLocks noChangeAspect="1"/>
            </wp:cNvGraphicFramePr>
            <a:graphic>
              <a:graphicData uri="http://schemas.openxmlformats.org/drawingml/2006/picture">
                <pic:pic>
                  <pic:nvPicPr>
                    <pic:cNvPr id="0" name="12_image12.png"/>
                    <pic:cNvPicPr/>
                  </pic:nvPicPr>
                  <pic:blipFill>
                    <a:blip r:embed="rId25"/>
                    <a:stretch>
                      <a:fillRect/>
                    </a:stretch>
                  </pic:blipFill>
                  <pic:spPr>
                    <a:xfrm>
                      <a:off x="0" y="0"/>
                      <a:ext cx="6309360" cy="3785616"/>
                    </a:xfrm>
                    <a:prstGeom prst="rect"/>
                  </pic:spPr>
                </pic:pic>
              </a:graphicData>
            </a:graphic>
          </wp:inline>
        </w:drawing>
      </w:r>
    </w:p>
    <w:p>
      <w:pPr>
        <w:pStyle w:val="Caption"/>
      </w:pPr>
      <w:r>
        <w:t>Figure 12. Matched, overcomplete and quadrant-oracle MoE comparisons. The synthetic intervention separates the effect of expert capacity from the effect of using the simulator's region labels.</w:t>
      </w:r>
    </w:p>
    <w:p>
      <w:pPr>
        <w:pStyle w:val="Heading3"/>
      </w:pPr>
      <w:r>
        <w:t>5.2.5 A multidimensional description of training geometry</w:t>
      </w:r>
    </w:p>
    <w:p>
      <w:pPr>
        <w:pStyle w:val="ListBullet"/>
      </w:pPr>
      <w:r>
        <w:t>Effective dimension d_eff describes the number of independent coordinates needed to represent the state distribution under the selected measure.</w:t>
      </w:r>
    </w:p>
    <w:p>
      <w:pPr>
        <w:pStyle w:val="ListBullet"/>
      </w:pPr>
      <w:r>
        <w:t>Local curvature κ_local describes how quickly the transition Jacobian changes across nearby states.</w:t>
      </w:r>
    </w:p>
    <w:p>
      <w:pPr>
        <w:pStyle w:val="ListBullet"/>
      </w:pPr>
      <w:r>
        <w:t>Anisotropy χ describes concentration of future sensitivity in a small number of high-gain directions.</w:t>
      </w:r>
    </w:p>
    <w:p>
      <w:pPr>
        <w:pStyle w:val="ListBullet"/>
      </w:pPr>
      <w:r>
        <w:t>Conditional entropy H(next | state) describes uncertainty in the next observation given the specified state information.</w:t>
      </w:r>
    </w:p>
    <w:p>
      <w:pPr>
        <w:pStyle w:val="ListBullet"/>
      </w:pPr>
      <w:r>
        <w:t>Observer memory τ_obs describes the history needed to identify a hidden state or generator, including when the full process is Markov.</w:t>
      </w:r>
    </w:p>
    <w:p>
      <w:pPr>
        <w:pStyle w:val="ListBullet"/>
      </w:pPr>
      <w:r>
        <w:t>Functional partitionability Π_F describes whether local response functions form reusable groups for computation.</w:t>
      </w:r>
    </w:p>
    <w:p>
      <w:r>
        <w:t>We summarize these quantities as the descriptive profile G(d_eff, κ_local, χ, H_cond, τ_obs, Π_F, topology, nonstationarity, tails, …). G denotes a collection of diagnostics, not a fitted equation or universal training law.</w:t>
      </w:r>
    </w:p>
    <w:p>
      <w:pPr>
        <w:pStyle w:val="Heading3"/>
      </w:pPr>
      <w:r>
        <w:t>5.2.6 Implications for shared and modular models</w:t>
      </w:r>
    </w:p>
    <w:p>
      <w:pPr>
        <w:pStyle w:val="ListBullet"/>
      </w:pPr>
      <w:r>
        <w:t>A monolithic model makes its full capacity available across the transition field. This can help with high curvature, anisotropy or weakly separable local functions.</w:t>
      </w:r>
    </w:p>
    <w:p>
      <w:pPr>
        <w:pStyle w:val="ListBullet"/>
      </w:pPr>
      <w:r>
        <w:t>Modularity can improve rollout when reusable local functions exist, the router identifies them from predictive state, and each expert can represent the assigned function. These conditions are assessed through capacity sweeps and routing interventions.</w:t>
      </w:r>
    </w:p>
    <w:p>
      <w:pPr>
        <w:pStyle w:val="ListBullet"/>
      </w:pPr>
      <w:r>
        <w:t>High conditional innovation can narrow differences in attainable error between architectures.</w:t>
      </w:r>
    </w:p>
    <w:p>
      <w:pPr>
        <w:pStyle w:val="ListBullet"/>
      </w:pPr>
      <w:r>
        <w:t>Expert identity is evaluated through its effect on prediction rather than assigned solely from simulator labels.</w:t>
      </w:r>
    </w:p>
    <w:p>
      <w:r>
        <w:t>The experiment supports considering partitionability, local capacity and conditional innovation together when comparing architectures.</w:t>
      </w:r>
    </w:p>
    <w:p>
      <w:pPr>
        <w:pStyle w:val="Heading3"/>
      </w:pPr>
      <w:r>
        <w:t>5.2.7 Evidence records</w:t>
      </w:r>
    </w:p>
    <w:p>
      <w:pPr>
        <w:spacing w:after="40"/>
      </w:pPr>
      <w:r>
        <w:rPr>
          <w:sz w:val="18"/>
        </w:rPr>
        <w:t>WORLD_​DATA_​MICROSTRUCTURE_​004_​bundle.zip</w:t>
      </w:r>
    </w:p>
    <w:p>
      <w:pPr>
        <w:spacing w:after="40"/>
      </w:pPr>
      <w:r>
        <w:rPr>
          <w:sz w:val="18"/>
        </w:rPr>
        <w:t>WORLD_​DATA_​MICROSTRUCTURE_​004/​condition_​comparison.csv</w:t>
      </w:r>
    </w:p>
    <w:p>
      <w:pPr>
        <w:spacing w:after="40"/>
      </w:pPr>
      <w:r>
        <w:rPr>
          <w:sz w:val="18"/>
        </w:rPr>
        <w:t>WORLD_​DATA_​MICROSTRUCTURE_​004/​data_​geometry.csv</w:t>
      </w:r>
    </w:p>
    <w:p>
      <w:pPr>
        <w:spacing w:after="40"/>
      </w:pPr>
      <w:r>
        <w:rPr>
          <w:sz w:val="18"/>
        </w:rPr>
        <w:t>WORLD_​DATA_​MICROSTRUCTURE_​004/​router_​intervention.csv</w:t>
      </w:r>
    </w:p>
    <w:p>
      <w:pPr>
        <w:spacing w:after="40"/>
      </w:pPr>
      <w:r>
        <w:rPr>
          <w:sz w:val="18"/>
        </w:rPr>
        <w:t>WORLD_​DATA_​MICROSTRUCTURE_​004/​capacity_​oracle_​comparison_​with_​baseline.csv</w:t>
      </w:r>
    </w:p>
    <w:p>
      <w:pPr>
        <w:spacing w:after="40"/>
      </w:pPr>
      <w:r>
        <w:rPr>
          <w:sz w:val="18"/>
        </w:rPr>
        <w:t>WORLD_​DATA_​MICROSTRUCTURE_​004/​curvature_​vs_​moe_​gain.png</w:t>
      </w:r>
    </w:p>
    <w:p>
      <w:pPr>
        <w:spacing w:after="40"/>
      </w:pPr>
      <w:r>
        <w:rPr>
          <w:sz w:val="18"/>
        </w:rPr>
        <w:t>WORLD_​DATA_​MICROSTRUCTURE_​004/​anisotropy_​vs_​error.png</w:t>
      </w:r>
    </w:p>
    <w:p>
      <w:pPr>
        <w:spacing w:after="40"/>
      </w:pPr>
      <w:r>
        <w:rPr>
          <w:sz w:val="18"/>
        </w:rPr>
        <w:t>WORLD_​DATA_​MICROSTRUCTURE_​004/​capacity_​oracle_​followup.png</w:t>
      </w:r>
    </w:p>
    <w:p>
      <w:pPr>
        <w:pStyle w:val="Heading2"/>
      </w:pPr>
      <w:r>
        <w:t>5.3 WORLD-OBSERVABILITY-005 History and hidden-state reconstruction</w:t>
      </w:r>
    </w:p>
    <w:p>
      <w:r>
        <w:t>History can recover some information hidden from the current observation and can identify an unobserved generator. Conditional innovation contributes a different source of uncertainty.</w:t>
      </w:r>
    </w:p>
    <w:p>
      <w:pPr>
        <w:pStyle w:val="Heading3"/>
      </w:pPr>
      <w:r>
        <w:t>5.3.1 What information does history supply</w:t>
      </w:r>
    </w:p>
    <w:p>
      <w:r>
        <w:t>The simulator has an almost deterministic first-order latent process of dimension 8 and observation dimension 12. The two factors are full observation versus a rank-4 projection, and one generator versus four hidden generators fixed within each episode.</w:t>
      </w:r>
    </w:p>
    <w:p>
      <w:r>
        <w:t>The models are a single-frame block, a four-frame RecurrentMono and a four-frame RecurrentMoE. They predict the next frame and autoregressive rollout without latent-state or law-identity supervision.</w:t>
      </w:r>
    </w:p>
    <w:p>
      <w:pPr>
        <w:pStyle w:val="Heading3"/>
      </w:pPr>
      <w:r>
        <w:t>5.3.2 Observability control</w:t>
      </w:r>
    </w:p>
    <w:p>
      <w:r>
        <w:t>The full observation operator has single-frame rank 8; the partial operator has rank 4. The finite-history observability matrix formed from four frames has rank 8 in the partial condition. Thus, in this construction, directions missing from one frame remain recoverable from the temporal observations.</w:t>
      </w:r>
    </w:p>
    <w:p>
      <w:r>
        <w:t>Finite-history observability distinguishes recoverable hidden-state information from conditional innovation under the specified model. Recovery also depends on conditioning and measurement noise.</w:t>
      </w:r>
    </w:p>
    <w:p>
      <w:pPr>
        <w:pStyle w:val="Caption"/>
        <w:keepNext/>
      </w:pPr>
      <w:r>
        <w:t>Table 29. Observability and history comparison.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076"/>
        <w:gridCol w:w="1076"/>
        <w:gridCol w:w="1076"/>
        <w:gridCol w:w="1076"/>
        <w:gridCol w:w="1076"/>
        <w:gridCol w:w="1076"/>
        <w:gridCol w:w="1076"/>
        <w:gridCol w:w="1076"/>
      </w:tblGrid>
      <w:tr>
        <w:trPr>
          <w:cantSplit/>
          <w:tblHeader/>
        </w:trPr>
        <w:tc>
          <w:tcPr>
            <w:tcW w:type="dxa" w:w="1613"/>
            <w:vAlign w:val="center"/>
            <w:shd w:fill="F2F2F2"/>
          </w:tcPr>
          <w:p>
            <w:pPr>
              <w:keepNext/>
              <w:spacing w:after="0" w:before="0" w:line="240" w:lineRule="auto"/>
            </w:pPr>
            <w:r>
              <w:rPr>
                <w:rFonts w:ascii="Calibri" w:hAnsi="Calibri"/>
                <w:b/>
                <w:sz w:val="18"/>
              </w:rPr>
              <w:t>Condition</w:t>
            </w:r>
          </w:p>
        </w:tc>
        <w:tc>
          <w:tcPr>
            <w:tcW w:type="dxa" w:w="1076"/>
            <w:vAlign w:val="center"/>
            <w:shd w:fill="F2F2F2"/>
          </w:tcPr>
          <w:p>
            <w:pPr>
              <w:keepNext/>
              <w:spacing w:after="0" w:before="0" w:line="240" w:lineRule="auto"/>
            </w:pPr>
            <w:r>
              <w:rPr>
                <w:rFonts w:ascii="Calibri" w:hAnsi="Calibri"/>
                <w:b/>
                <w:sz w:val="18"/>
              </w:rPr>
              <w:t>Rank 1</w:t>
            </w:r>
          </w:p>
        </w:tc>
        <w:tc>
          <w:tcPr>
            <w:tcW w:type="dxa" w:w="1076"/>
            <w:vAlign w:val="center"/>
            <w:shd w:fill="F2F2F2"/>
          </w:tcPr>
          <w:p>
            <w:pPr>
              <w:keepNext/>
              <w:spacing w:after="0" w:before="0" w:line="240" w:lineRule="auto"/>
            </w:pPr>
            <w:r>
              <w:rPr>
                <w:rFonts w:ascii="Calibri" w:hAnsi="Calibri"/>
                <w:b/>
                <w:sz w:val="18"/>
              </w:rPr>
              <w:t>Rank 4</w:t>
            </w:r>
          </w:p>
        </w:tc>
        <w:tc>
          <w:tcPr>
            <w:tcW w:type="dxa" w:w="1076"/>
            <w:vAlign w:val="center"/>
            <w:shd w:fill="F2F2F2"/>
          </w:tcPr>
          <w:p>
            <w:pPr>
              <w:keepNext/>
              <w:spacing w:after="0" w:before="0" w:line="240" w:lineRule="auto"/>
            </w:pPr>
            <w:r>
              <w:rPr>
                <w:rFonts w:ascii="Calibri" w:hAnsi="Calibri"/>
                <w:b/>
                <w:sz w:val="18"/>
              </w:rPr>
              <w:t>Single MSE</w:t>
            </w:r>
          </w:p>
        </w:tc>
        <w:tc>
          <w:tcPr>
            <w:tcW w:type="dxa" w:w="1076"/>
            <w:vAlign w:val="center"/>
            <w:shd w:fill="F2F2F2"/>
          </w:tcPr>
          <w:p>
            <w:pPr>
              <w:keepNext/>
              <w:spacing w:after="0" w:before="0" w:line="240" w:lineRule="auto"/>
            </w:pPr>
            <w:r>
              <w:rPr>
                <w:rFonts w:ascii="Calibri" w:hAnsi="Calibri"/>
                <w:b/>
                <w:sz w:val="18"/>
              </w:rPr>
              <w:t>Recurrent MSE</w:t>
            </w:r>
          </w:p>
        </w:tc>
        <w:tc>
          <w:tcPr>
            <w:tcW w:type="dxa" w:w="1076"/>
            <w:vAlign w:val="center"/>
            <w:shd w:fill="F2F2F2"/>
          </w:tcPr>
          <w:p>
            <w:pPr>
              <w:keepNext/>
              <w:spacing w:after="0" w:before="0" w:line="240" w:lineRule="auto"/>
            </w:pPr>
            <w:r>
              <w:rPr>
                <w:rFonts w:ascii="Calibri" w:hAnsi="Calibri"/>
                <w:b/>
                <w:sz w:val="18"/>
              </w:rPr>
              <w:t>History gain</w:t>
            </w:r>
          </w:p>
        </w:tc>
        <w:tc>
          <w:tcPr>
            <w:tcW w:type="dxa" w:w="1076"/>
            <w:vAlign w:val="center"/>
            <w:shd w:fill="F2F2F2"/>
          </w:tcPr>
          <w:p>
            <w:pPr>
              <w:keepNext/>
              <w:spacing w:after="0" w:before="0" w:line="240" w:lineRule="auto"/>
            </w:pPr>
            <w:r>
              <w:rPr>
                <w:rFonts w:ascii="Calibri" w:hAnsi="Calibri"/>
                <w:b/>
                <w:sz w:val="18"/>
              </w:rPr>
              <w:t>Recurrent rollout</w:t>
            </w:r>
          </w:p>
        </w:tc>
        <w:tc>
          <w:tcPr>
            <w:tcW w:type="dxa" w:w="1076"/>
            <w:vAlign w:val="center"/>
            <w:shd w:fill="F2F2F2"/>
          </w:tcPr>
          <w:p>
            <w:pPr>
              <w:keepNext/>
              <w:spacing w:after="0" w:before="0" w:line="240" w:lineRule="auto"/>
            </w:pPr>
            <w:r>
              <w:rPr>
                <w:rFonts w:ascii="Calibri" w:hAnsi="Calibri"/>
                <w:b/>
                <w:sz w:val="18"/>
              </w:rPr>
              <w:t>MoE rollout</w:t>
            </w:r>
          </w:p>
        </w:tc>
        <w:tc>
          <w:tcPr>
            <w:tcW w:type="dxa" w:w="1076"/>
            <w:vAlign w:val="center"/>
            <w:shd w:fill="F2F2F2"/>
          </w:tcPr>
          <w:p>
            <w:pPr>
              <w:keepNext/>
              <w:spacing w:after="0" w:before="0" w:line="240" w:lineRule="auto"/>
            </w:pPr>
            <w:r>
              <w:rPr>
                <w:rFonts w:ascii="Calibri" w:hAnsi="Calibri"/>
                <w:b/>
                <w:sz w:val="18"/>
              </w:rPr>
              <w:t>MoE gain</w:t>
            </w:r>
          </w:p>
        </w:tc>
      </w:tr>
      <w:tr>
        <w:trPr>
          <w:cantSplit/>
        </w:trPr>
        <w:tc>
          <w:tcPr>
            <w:tcW w:type="dxa" w:w="1613"/>
            <w:vAlign w:val="center"/>
          </w:tcPr>
          <w:p>
            <w:pPr>
              <w:keepNext w:val="0"/>
              <w:spacing w:after="0" w:before="0" w:line="240" w:lineRule="auto"/>
            </w:pPr>
            <w:r>
              <w:rPr>
                <w:rFonts w:ascii="Calibri" w:hAnsi="Calibri"/>
                <w:b w:val="0"/>
                <w:sz w:val="18"/>
              </w:rPr>
              <w:t>P0_M0</w:t>
            </w:r>
          </w:p>
        </w:tc>
        <w:tc>
          <w:tcPr>
            <w:tcW w:type="dxa" w:w="1076"/>
            <w:vAlign w:val="center"/>
          </w:tcPr>
          <w:p>
            <w:pPr>
              <w:keepNext w:val="0"/>
              <w:spacing w:after="0" w:before="0" w:line="240" w:lineRule="auto"/>
              <w:jc w:val="right"/>
            </w:pPr>
            <w:r>
              <w:rPr>
                <w:rFonts w:ascii="Calibri" w:hAnsi="Calibri"/>
                <w:b w:val="0"/>
                <w:sz w:val="18"/>
              </w:rPr>
              <w:t>8</w:t>
            </w:r>
          </w:p>
        </w:tc>
        <w:tc>
          <w:tcPr>
            <w:tcW w:type="dxa" w:w="1076"/>
            <w:vAlign w:val="center"/>
          </w:tcPr>
          <w:p>
            <w:pPr>
              <w:keepNext w:val="0"/>
              <w:spacing w:after="0" w:before="0" w:line="240" w:lineRule="auto"/>
              <w:jc w:val="right"/>
            </w:pPr>
            <w:r>
              <w:rPr>
                <w:rFonts w:ascii="Calibri" w:hAnsi="Calibri"/>
                <w:b w:val="0"/>
                <w:sz w:val="18"/>
              </w:rPr>
              <w:t>8</w:t>
            </w:r>
          </w:p>
        </w:tc>
        <w:tc>
          <w:tcPr>
            <w:tcW w:type="dxa" w:w="1076"/>
            <w:vAlign w:val="center"/>
          </w:tcPr>
          <w:p>
            <w:pPr>
              <w:keepNext w:val="0"/>
              <w:spacing w:after="0" w:before="0" w:line="240" w:lineRule="auto"/>
              <w:jc w:val="right"/>
            </w:pPr>
            <w:r>
              <w:rPr>
                <w:rFonts w:ascii="Calibri" w:hAnsi="Calibri"/>
                <w:b w:val="0"/>
                <w:sz w:val="18"/>
              </w:rPr>
              <w:t>0.0004</w:t>
            </w:r>
          </w:p>
        </w:tc>
        <w:tc>
          <w:tcPr>
            <w:tcW w:type="dxa" w:w="1076"/>
            <w:vAlign w:val="center"/>
          </w:tcPr>
          <w:p>
            <w:pPr>
              <w:keepNext w:val="0"/>
              <w:spacing w:after="0" w:before="0" w:line="240" w:lineRule="auto"/>
              <w:jc w:val="right"/>
            </w:pPr>
            <w:r>
              <w:rPr>
                <w:rFonts w:ascii="Calibri" w:hAnsi="Calibri"/>
                <w:b w:val="0"/>
                <w:sz w:val="18"/>
              </w:rPr>
              <w:t>0.0012</w:t>
            </w:r>
          </w:p>
        </w:tc>
        <w:tc>
          <w:tcPr>
            <w:tcW w:type="dxa" w:w="1076"/>
            <w:vAlign w:val="center"/>
          </w:tcPr>
          <w:p>
            <w:pPr>
              <w:keepNext w:val="0"/>
              <w:spacing w:after="0" w:before="0" w:line="240" w:lineRule="auto"/>
              <w:jc w:val="right"/>
            </w:pPr>
            <w:r>
              <w:rPr>
                <w:rFonts w:ascii="Calibri" w:hAnsi="Calibri"/>
                <w:b w:val="0"/>
                <w:sz w:val="18"/>
              </w:rPr>
              <w:t>-163.3%</w:t>
            </w:r>
          </w:p>
        </w:tc>
        <w:tc>
          <w:tcPr>
            <w:tcW w:type="dxa" w:w="1076"/>
            <w:vAlign w:val="center"/>
          </w:tcPr>
          <w:p>
            <w:pPr>
              <w:keepNext w:val="0"/>
              <w:spacing w:after="0" w:before="0" w:line="240" w:lineRule="auto"/>
              <w:jc w:val="right"/>
            </w:pPr>
            <w:r>
              <w:rPr>
                <w:rFonts w:ascii="Calibri" w:hAnsi="Calibri"/>
                <w:b w:val="0"/>
                <w:sz w:val="18"/>
              </w:rPr>
              <w:t>0.0013</w:t>
            </w:r>
          </w:p>
        </w:tc>
        <w:tc>
          <w:tcPr>
            <w:tcW w:type="dxa" w:w="1076"/>
            <w:vAlign w:val="center"/>
          </w:tcPr>
          <w:p>
            <w:pPr>
              <w:keepNext w:val="0"/>
              <w:spacing w:after="0" w:before="0" w:line="240" w:lineRule="auto"/>
              <w:jc w:val="right"/>
            </w:pPr>
            <w:r>
              <w:rPr>
                <w:rFonts w:ascii="Calibri" w:hAnsi="Calibri"/>
                <w:b w:val="0"/>
                <w:sz w:val="18"/>
              </w:rPr>
              <w:t>0.0021</w:t>
            </w:r>
          </w:p>
        </w:tc>
        <w:tc>
          <w:tcPr>
            <w:tcW w:type="dxa" w:w="1076"/>
            <w:vAlign w:val="center"/>
          </w:tcPr>
          <w:p>
            <w:pPr>
              <w:keepNext w:val="0"/>
              <w:spacing w:after="0" w:before="0" w:line="240" w:lineRule="auto"/>
              <w:jc w:val="right"/>
            </w:pPr>
            <w:r>
              <w:rPr>
                <w:rFonts w:ascii="Calibri" w:hAnsi="Calibri"/>
                <w:b w:val="0"/>
                <w:sz w:val="18"/>
              </w:rPr>
              <w:t>-59.9%</w:t>
            </w:r>
          </w:p>
        </w:tc>
      </w:tr>
      <w:tr>
        <w:trPr>
          <w:cantSplit/>
        </w:trPr>
        <w:tc>
          <w:tcPr>
            <w:tcW w:type="dxa" w:w="1613"/>
            <w:vAlign w:val="center"/>
          </w:tcPr>
          <w:p>
            <w:pPr>
              <w:keepNext w:val="0"/>
              <w:spacing w:after="0" w:before="0" w:line="240" w:lineRule="auto"/>
            </w:pPr>
            <w:r>
              <w:rPr>
                <w:rFonts w:ascii="Calibri" w:hAnsi="Calibri"/>
                <w:b w:val="0"/>
                <w:sz w:val="18"/>
              </w:rPr>
              <w:t>P0_M1</w:t>
            </w:r>
          </w:p>
        </w:tc>
        <w:tc>
          <w:tcPr>
            <w:tcW w:type="dxa" w:w="1076"/>
            <w:vAlign w:val="center"/>
          </w:tcPr>
          <w:p>
            <w:pPr>
              <w:keepNext w:val="0"/>
              <w:spacing w:after="0" w:before="0" w:line="240" w:lineRule="auto"/>
              <w:jc w:val="right"/>
            </w:pPr>
            <w:r>
              <w:rPr>
                <w:rFonts w:ascii="Calibri" w:hAnsi="Calibri"/>
                <w:b w:val="0"/>
                <w:sz w:val="18"/>
              </w:rPr>
              <w:t>8</w:t>
            </w:r>
          </w:p>
        </w:tc>
        <w:tc>
          <w:tcPr>
            <w:tcW w:type="dxa" w:w="1076"/>
            <w:vAlign w:val="center"/>
          </w:tcPr>
          <w:p>
            <w:pPr>
              <w:keepNext w:val="0"/>
              <w:spacing w:after="0" w:before="0" w:line="240" w:lineRule="auto"/>
              <w:jc w:val="right"/>
            </w:pPr>
            <w:r>
              <w:rPr>
                <w:rFonts w:ascii="Calibri" w:hAnsi="Calibri"/>
                <w:b w:val="0"/>
                <w:sz w:val="18"/>
              </w:rPr>
              <w:t>8</w:t>
            </w:r>
          </w:p>
        </w:tc>
        <w:tc>
          <w:tcPr>
            <w:tcW w:type="dxa" w:w="1076"/>
            <w:vAlign w:val="center"/>
          </w:tcPr>
          <w:p>
            <w:pPr>
              <w:keepNext w:val="0"/>
              <w:spacing w:after="0" w:before="0" w:line="240" w:lineRule="auto"/>
              <w:jc w:val="right"/>
            </w:pPr>
            <w:r>
              <w:rPr>
                <w:rFonts w:ascii="Calibri" w:hAnsi="Calibri"/>
                <w:b w:val="0"/>
                <w:sz w:val="18"/>
              </w:rPr>
              <w:t>0.1058</w:t>
            </w:r>
          </w:p>
        </w:tc>
        <w:tc>
          <w:tcPr>
            <w:tcW w:type="dxa" w:w="1076"/>
            <w:vAlign w:val="center"/>
          </w:tcPr>
          <w:p>
            <w:pPr>
              <w:keepNext w:val="0"/>
              <w:spacing w:after="0" w:before="0" w:line="240" w:lineRule="auto"/>
              <w:jc w:val="right"/>
            </w:pPr>
            <w:r>
              <w:rPr>
                <w:rFonts w:ascii="Calibri" w:hAnsi="Calibri"/>
                <w:b w:val="0"/>
                <w:sz w:val="18"/>
              </w:rPr>
              <w:t>0.0368</w:t>
            </w:r>
          </w:p>
        </w:tc>
        <w:tc>
          <w:tcPr>
            <w:tcW w:type="dxa" w:w="1076"/>
            <w:vAlign w:val="center"/>
          </w:tcPr>
          <w:p>
            <w:pPr>
              <w:keepNext w:val="0"/>
              <w:spacing w:after="0" w:before="0" w:line="240" w:lineRule="auto"/>
              <w:jc w:val="right"/>
            </w:pPr>
            <w:r>
              <w:rPr>
                <w:rFonts w:ascii="Calibri" w:hAnsi="Calibri"/>
                <w:b w:val="0"/>
                <w:sz w:val="18"/>
              </w:rPr>
              <w:t>+65.2%</w:t>
            </w:r>
          </w:p>
        </w:tc>
        <w:tc>
          <w:tcPr>
            <w:tcW w:type="dxa" w:w="1076"/>
            <w:vAlign w:val="center"/>
          </w:tcPr>
          <w:p>
            <w:pPr>
              <w:keepNext w:val="0"/>
              <w:spacing w:after="0" w:before="0" w:line="240" w:lineRule="auto"/>
              <w:jc w:val="right"/>
            </w:pPr>
            <w:r>
              <w:rPr>
                <w:rFonts w:ascii="Calibri" w:hAnsi="Calibri"/>
                <w:b w:val="0"/>
                <w:sz w:val="18"/>
              </w:rPr>
              <w:t>0.0145</w:t>
            </w:r>
          </w:p>
        </w:tc>
        <w:tc>
          <w:tcPr>
            <w:tcW w:type="dxa" w:w="1076"/>
            <w:vAlign w:val="center"/>
          </w:tcPr>
          <w:p>
            <w:pPr>
              <w:keepNext w:val="0"/>
              <w:spacing w:after="0" w:before="0" w:line="240" w:lineRule="auto"/>
              <w:jc w:val="right"/>
            </w:pPr>
            <w:r>
              <w:rPr>
                <w:rFonts w:ascii="Calibri" w:hAnsi="Calibri"/>
                <w:b w:val="0"/>
                <w:sz w:val="18"/>
              </w:rPr>
              <w:t>0.0158</w:t>
            </w:r>
          </w:p>
        </w:tc>
        <w:tc>
          <w:tcPr>
            <w:tcW w:type="dxa" w:w="1076"/>
            <w:vAlign w:val="center"/>
          </w:tcPr>
          <w:p>
            <w:pPr>
              <w:keepNext w:val="0"/>
              <w:spacing w:after="0" w:before="0" w:line="240" w:lineRule="auto"/>
              <w:jc w:val="right"/>
            </w:pPr>
            <w:r>
              <w:rPr>
                <w:rFonts w:ascii="Calibri" w:hAnsi="Calibri"/>
                <w:b w:val="0"/>
                <w:sz w:val="18"/>
              </w:rPr>
              <w:t>-9.0%</w:t>
            </w:r>
          </w:p>
        </w:tc>
      </w:tr>
      <w:tr>
        <w:trPr>
          <w:cantSplit/>
        </w:trPr>
        <w:tc>
          <w:tcPr>
            <w:tcW w:type="dxa" w:w="1613"/>
            <w:vAlign w:val="center"/>
          </w:tcPr>
          <w:p>
            <w:pPr>
              <w:keepNext w:val="0"/>
              <w:spacing w:after="0" w:before="0" w:line="240" w:lineRule="auto"/>
            </w:pPr>
            <w:r>
              <w:rPr>
                <w:rFonts w:ascii="Calibri" w:hAnsi="Calibri"/>
                <w:b w:val="0"/>
                <w:sz w:val="18"/>
              </w:rPr>
              <w:t>P1_M0</w:t>
            </w:r>
          </w:p>
        </w:tc>
        <w:tc>
          <w:tcPr>
            <w:tcW w:type="dxa" w:w="1076"/>
            <w:vAlign w:val="center"/>
          </w:tcPr>
          <w:p>
            <w:pPr>
              <w:keepNext w:val="0"/>
              <w:spacing w:after="0" w:before="0" w:line="240" w:lineRule="auto"/>
              <w:jc w:val="right"/>
            </w:pPr>
            <w:r>
              <w:rPr>
                <w:rFonts w:ascii="Calibri" w:hAnsi="Calibri"/>
                <w:b w:val="0"/>
                <w:sz w:val="18"/>
              </w:rPr>
              <w:t>4</w:t>
            </w:r>
          </w:p>
        </w:tc>
        <w:tc>
          <w:tcPr>
            <w:tcW w:type="dxa" w:w="1076"/>
            <w:vAlign w:val="center"/>
          </w:tcPr>
          <w:p>
            <w:pPr>
              <w:keepNext w:val="0"/>
              <w:spacing w:after="0" w:before="0" w:line="240" w:lineRule="auto"/>
              <w:jc w:val="right"/>
            </w:pPr>
            <w:r>
              <w:rPr>
                <w:rFonts w:ascii="Calibri" w:hAnsi="Calibri"/>
                <w:b w:val="0"/>
                <w:sz w:val="18"/>
              </w:rPr>
              <w:t>8</w:t>
            </w:r>
          </w:p>
        </w:tc>
        <w:tc>
          <w:tcPr>
            <w:tcW w:type="dxa" w:w="1076"/>
            <w:vAlign w:val="center"/>
          </w:tcPr>
          <w:p>
            <w:pPr>
              <w:keepNext w:val="0"/>
              <w:spacing w:after="0" w:before="0" w:line="240" w:lineRule="auto"/>
              <w:jc w:val="right"/>
            </w:pPr>
            <w:r>
              <w:rPr>
                <w:rFonts w:ascii="Calibri" w:hAnsi="Calibri"/>
                <w:b w:val="0"/>
                <w:sz w:val="18"/>
              </w:rPr>
              <w:t>0.0652</w:t>
            </w:r>
          </w:p>
        </w:tc>
        <w:tc>
          <w:tcPr>
            <w:tcW w:type="dxa" w:w="1076"/>
            <w:vAlign w:val="center"/>
          </w:tcPr>
          <w:p>
            <w:pPr>
              <w:keepNext w:val="0"/>
              <w:spacing w:after="0" w:before="0" w:line="240" w:lineRule="auto"/>
              <w:jc w:val="right"/>
            </w:pPr>
            <w:r>
              <w:rPr>
                <w:rFonts w:ascii="Calibri" w:hAnsi="Calibri"/>
                <w:b w:val="0"/>
                <w:sz w:val="18"/>
              </w:rPr>
              <w:t>0.0020</w:t>
            </w:r>
          </w:p>
        </w:tc>
        <w:tc>
          <w:tcPr>
            <w:tcW w:type="dxa" w:w="1076"/>
            <w:vAlign w:val="center"/>
          </w:tcPr>
          <w:p>
            <w:pPr>
              <w:keepNext w:val="0"/>
              <w:spacing w:after="0" w:before="0" w:line="240" w:lineRule="auto"/>
              <w:jc w:val="right"/>
            </w:pPr>
            <w:r>
              <w:rPr>
                <w:rFonts w:ascii="Calibri" w:hAnsi="Calibri"/>
                <w:b w:val="0"/>
                <w:sz w:val="18"/>
              </w:rPr>
              <w:t>+97.0%</w:t>
            </w:r>
          </w:p>
        </w:tc>
        <w:tc>
          <w:tcPr>
            <w:tcW w:type="dxa" w:w="1076"/>
            <w:vAlign w:val="center"/>
          </w:tcPr>
          <w:p>
            <w:pPr>
              <w:keepNext w:val="0"/>
              <w:spacing w:after="0" w:before="0" w:line="240" w:lineRule="auto"/>
              <w:jc w:val="right"/>
            </w:pPr>
            <w:r>
              <w:rPr>
                <w:rFonts w:ascii="Calibri" w:hAnsi="Calibri"/>
                <w:b w:val="0"/>
                <w:sz w:val="18"/>
              </w:rPr>
              <w:t>0.0014</w:t>
            </w:r>
          </w:p>
        </w:tc>
        <w:tc>
          <w:tcPr>
            <w:tcW w:type="dxa" w:w="1076"/>
            <w:vAlign w:val="center"/>
          </w:tcPr>
          <w:p>
            <w:pPr>
              <w:keepNext w:val="0"/>
              <w:spacing w:after="0" w:before="0" w:line="240" w:lineRule="auto"/>
              <w:jc w:val="right"/>
            </w:pPr>
            <w:r>
              <w:rPr>
                <w:rFonts w:ascii="Calibri" w:hAnsi="Calibri"/>
                <w:b w:val="0"/>
                <w:sz w:val="18"/>
              </w:rPr>
              <w:t>0.0017</w:t>
            </w:r>
          </w:p>
        </w:tc>
        <w:tc>
          <w:tcPr>
            <w:tcW w:type="dxa" w:w="1076"/>
            <w:vAlign w:val="center"/>
          </w:tcPr>
          <w:p>
            <w:pPr>
              <w:keepNext w:val="0"/>
              <w:spacing w:after="0" w:before="0" w:line="240" w:lineRule="auto"/>
              <w:jc w:val="right"/>
            </w:pPr>
            <w:r>
              <w:rPr>
                <w:rFonts w:ascii="Calibri" w:hAnsi="Calibri"/>
                <w:b w:val="0"/>
                <w:sz w:val="18"/>
              </w:rPr>
              <w:t>-14.3%</w:t>
            </w:r>
          </w:p>
        </w:tc>
      </w:tr>
      <w:tr>
        <w:trPr>
          <w:cantSplit/>
        </w:trPr>
        <w:tc>
          <w:tcPr>
            <w:tcW w:type="dxa" w:w="1613"/>
            <w:vAlign w:val="center"/>
          </w:tcPr>
          <w:p>
            <w:pPr>
              <w:keepNext/>
              <w:spacing w:after="0" w:before="0" w:line="240" w:lineRule="auto"/>
            </w:pPr>
            <w:r>
              <w:rPr>
                <w:rFonts w:ascii="Calibri" w:hAnsi="Calibri"/>
                <w:b w:val="0"/>
                <w:sz w:val="18"/>
              </w:rPr>
              <w:t>P1_M1</w:t>
            </w:r>
          </w:p>
        </w:tc>
        <w:tc>
          <w:tcPr>
            <w:tcW w:type="dxa" w:w="1076"/>
            <w:vAlign w:val="center"/>
          </w:tcPr>
          <w:p>
            <w:pPr>
              <w:keepNext/>
              <w:spacing w:after="0" w:before="0" w:line="240" w:lineRule="auto"/>
              <w:jc w:val="right"/>
            </w:pPr>
            <w:r>
              <w:rPr>
                <w:rFonts w:ascii="Calibri" w:hAnsi="Calibri"/>
                <w:b w:val="0"/>
                <w:sz w:val="18"/>
              </w:rPr>
              <w:t>4</w:t>
            </w:r>
          </w:p>
        </w:tc>
        <w:tc>
          <w:tcPr>
            <w:tcW w:type="dxa" w:w="1076"/>
            <w:vAlign w:val="center"/>
          </w:tcPr>
          <w:p>
            <w:pPr>
              <w:keepNext/>
              <w:spacing w:after="0" w:before="0" w:line="240" w:lineRule="auto"/>
              <w:jc w:val="right"/>
            </w:pPr>
            <w:r>
              <w:rPr>
                <w:rFonts w:ascii="Calibri" w:hAnsi="Calibri"/>
                <w:b w:val="0"/>
                <w:sz w:val="18"/>
              </w:rPr>
              <w:t>8</w:t>
            </w:r>
          </w:p>
        </w:tc>
        <w:tc>
          <w:tcPr>
            <w:tcW w:type="dxa" w:w="1076"/>
            <w:vAlign w:val="center"/>
          </w:tcPr>
          <w:p>
            <w:pPr>
              <w:keepNext/>
              <w:spacing w:after="0" w:before="0" w:line="240" w:lineRule="auto"/>
              <w:jc w:val="right"/>
            </w:pPr>
            <w:r>
              <w:rPr>
                <w:rFonts w:ascii="Calibri" w:hAnsi="Calibri"/>
                <w:b w:val="0"/>
                <w:sz w:val="18"/>
              </w:rPr>
              <w:t>0.1115</w:t>
            </w:r>
          </w:p>
        </w:tc>
        <w:tc>
          <w:tcPr>
            <w:tcW w:type="dxa" w:w="1076"/>
            <w:vAlign w:val="center"/>
          </w:tcPr>
          <w:p>
            <w:pPr>
              <w:keepNext/>
              <w:spacing w:after="0" w:before="0" w:line="240" w:lineRule="auto"/>
              <w:jc w:val="right"/>
            </w:pPr>
            <w:r>
              <w:rPr>
                <w:rFonts w:ascii="Calibri" w:hAnsi="Calibri"/>
                <w:b w:val="0"/>
                <w:sz w:val="18"/>
              </w:rPr>
              <w:t>0.0794</w:t>
            </w:r>
          </w:p>
        </w:tc>
        <w:tc>
          <w:tcPr>
            <w:tcW w:type="dxa" w:w="1076"/>
            <w:vAlign w:val="center"/>
          </w:tcPr>
          <w:p>
            <w:pPr>
              <w:keepNext/>
              <w:spacing w:after="0" w:before="0" w:line="240" w:lineRule="auto"/>
              <w:jc w:val="right"/>
            </w:pPr>
            <w:r>
              <w:rPr>
                <w:rFonts w:ascii="Calibri" w:hAnsi="Calibri"/>
                <w:b w:val="0"/>
                <w:sz w:val="18"/>
              </w:rPr>
              <w:t>+28.8%</w:t>
            </w:r>
          </w:p>
        </w:tc>
        <w:tc>
          <w:tcPr>
            <w:tcW w:type="dxa" w:w="1076"/>
            <w:vAlign w:val="center"/>
          </w:tcPr>
          <w:p>
            <w:pPr>
              <w:keepNext/>
              <w:spacing w:after="0" w:before="0" w:line="240" w:lineRule="auto"/>
              <w:jc w:val="right"/>
            </w:pPr>
            <w:r>
              <w:rPr>
                <w:rFonts w:ascii="Calibri" w:hAnsi="Calibri"/>
                <w:b w:val="0"/>
                <w:sz w:val="18"/>
              </w:rPr>
              <w:t>0.0187</w:t>
            </w:r>
          </w:p>
        </w:tc>
        <w:tc>
          <w:tcPr>
            <w:tcW w:type="dxa" w:w="1076"/>
            <w:vAlign w:val="center"/>
          </w:tcPr>
          <w:p>
            <w:pPr>
              <w:keepNext/>
              <w:spacing w:after="0" w:before="0" w:line="240" w:lineRule="auto"/>
              <w:jc w:val="right"/>
            </w:pPr>
            <w:r>
              <w:rPr>
                <w:rFonts w:ascii="Calibri" w:hAnsi="Calibri"/>
                <w:b w:val="0"/>
                <w:sz w:val="18"/>
              </w:rPr>
              <w:t>0.0195</w:t>
            </w:r>
          </w:p>
        </w:tc>
        <w:tc>
          <w:tcPr>
            <w:tcW w:type="dxa" w:w="1076"/>
            <w:vAlign w:val="center"/>
          </w:tcPr>
          <w:p>
            <w:pPr>
              <w:keepNext/>
              <w:spacing w:after="0" w:before="0" w:line="240" w:lineRule="auto"/>
              <w:jc w:val="right"/>
            </w:pPr>
            <w:r>
              <w:rPr>
                <w:rFonts w:ascii="Calibri" w:hAnsi="Calibri"/>
                <w:b w:val="0"/>
                <w:sz w:val="18"/>
              </w:rPr>
              <w:t>-4.4%</w:t>
            </w:r>
          </w:p>
        </w:tc>
      </w:tr>
    </w:tbl>
    <w:p>
      <w:pPr>
        <w:keepLines/>
        <w:spacing w:before="60" w:after="120"/>
      </w:pPr>
      <w:r>
        <w:rPr>
          <w:sz w:val="18"/>
        </w:rPr>
        <w:t>Controlled simulation. Lower MSE indicates lower prediction error within the same task and target scaling.</w:t>
      </w:r>
    </w:p>
    <w:p>
      <w:pPr>
        <w:keepNext/>
        <w:spacing w:after="60"/>
        <w:jc w:val="center"/>
      </w:pPr>
      <w:r>
        <w:drawing>
          <wp:inline xmlns:a="http://schemas.openxmlformats.org/drawingml/2006/main" xmlns:pic="http://schemas.openxmlformats.org/drawingml/2006/picture">
            <wp:extent cx="6309360" cy="4141143"/>
            <wp:docPr id="13" name="Picture 13"/>
            <wp:cNvGraphicFramePr>
              <a:graphicFrameLocks noChangeAspect="1"/>
            </wp:cNvGraphicFramePr>
            <a:graphic>
              <a:graphicData uri="http://schemas.openxmlformats.org/drawingml/2006/picture">
                <pic:pic>
                  <pic:nvPicPr>
                    <pic:cNvPr id="0" name="13_image13.png"/>
                    <pic:cNvPicPr/>
                  </pic:nvPicPr>
                  <pic:blipFill>
                    <a:blip r:embed="rId26"/>
                    <a:stretch>
                      <a:fillRect/>
                    </a:stretch>
                  </pic:blipFill>
                  <pic:spPr>
                    <a:xfrm>
                      <a:off x="0" y="0"/>
                      <a:ext cx="6309360" cy="4141143"/>
                    </a:xfrm>
                    <a:prstGeom prst="rect"/>
                  </pic:spPr>
                </pic:pic>
              </a:graphicData>
            </a:graphic>
          </wp:inline>
        </w:drawing>
      </w:r>
    </w:p>
    <w:p>
      <w:pPr>
        <w:pStyle w:val="Caption"/>
      </w:pPr>
      <w:r>
        <w:t>Figure 13. History gains in the synthetic observability design. The four conditions separate state reconstruction from hidden-generator identification. P denotes partial observation and M denotes multiple hidden generators.</w:t>
      </w:r>
    </w:p>
    <w:p>
      <w:pPr>
        <w:pStyle w:val="Heading3"/>
      </w:pPr>
      <w:r>
        <w:t>5.3.3 Interpretation of the four conditions</w:t>
      </w:r>
    </w:p>
    <w:p>
      <w:pPr>
        <w:pStyle w:val="ListBullet"/>
      </w:pPr>
      <w:r>
        <w:t>P0_M0, full observation and one law: SingleFrame MSE is approximately 0.0004 and RecurrentMono MSE approximately 0.0012. The current frame is sufficient for the tested transition, and the recurrent model introduces additional estimation and optimization costs.</w:t>
      </w:r>
    </w:p>
    <w:p>
      <w:pPr>
        <w:pStyle w:val="ListBullet"/>
      </w:pPr>
      <w:r>
        <w:t>P0_M1, full observation and multiple hidden laws: history reduces one-step MSE from approximately 0.1058 to 0.0368, a reported gain of 65.2%. Here the additional information identifies the generator.</w:t>
      </w:r>
    </w:p>
    <w:p>
      <w:pPr>
        <w:pStyle w:val="ListBullet"/>
      </w:pPr>
      <w:r>
        <w:t>P1_M0, partial observation and one law: the observability rank increases from 4 for one frame to 8 for four. History reduces MSE from approximately 0.0652 to 0.0020, a gain of approximately 97.0%, through hidden-state reconstruction.</w:t>
      </w:r>
    </w:p>
    <w:p>
      <w:pPr>
        <w:pStyle w:val="ListBullet"/>
      </w:pPr>
      <w:r>
        <w:t>P1_M1, partial observation and multiple laws: history supports both reconstruction and generator identification. The gain is approximately 28.8%, with greater residual error than when either requirement is isolated.</w:t>
      </w:r>
    </w:p>
    <w:p>
      <w:pPr>
        <w:pStyle w:val="Heading3"/>
      </w:pPr>
      <w:r>
        <w:t>5.3.4 Three sources of uncertainty</w:t>
      </w:r>
    </w:p>
    <w:p>
      <w:pPr>
        <w:pStyle w:val="ListBullet"/>
      </w:pPr>
      <w:r>
        <w:t>Conditional innovation is random given the specified history and inputs.</w:t>
      </w:r>
    </w:p>
    <w:p>
      <w:pPr>
        <w:pStyle w:val="ListBullet"/>
      </w:pPr>
      <w:r>
        <w:t>Partial observability hides state directions in the current frame. History recovers them when the observation dynamics provide sufficient information.</w:t>
      </w:r>
    </w:p>
    <w:p>
      <w:pPr>
        <w:pStyle w:val="ListBullet"/>
      </w:pPr>
      <w:r>
        <w:t>Generator ambiguity allows the same observed state to continue under different transition laws. History can help identify the active law.</w:t>
      </w:r>
    </w:p>
    <w:p>
      <w:r>
        <w:t>An identification horizon is the history length needed for approximate predictive sufficiency under a specified query and error tolerance. It can exceed the dynamical order of the latent process.</w:t>
      </w:r>
    </w:p>
    <w:p>
      <w:pPr>
        <w:pStyle w:val="Heading3"/>
      </w:pPr>
      <w:r>
        <w:t>5.3.5 Memory and expert routing</w:t>
      </w:r>
    </w:p>
    <w:p>
      <w:r>
        <w:t>Matched-budget RecurrentMoE has higher rollout error than RecurrentMono in all four conditions. Reported MoE gains are approximately −59.9%, −9.0%, −14.3% and −4.4% for full/single, full/multiple, partial/single and partial/multiple conditions. Partial observation therefore creates a state-estimation requirement that expert routing alone does not satisfy in this design.</w:t>
      </w:r>
    </w:p>
    <w:p>
      <w:r>
        <w:t>Routing interventions still change prediction, so routing can be functionally relevant without yielding a net architectural advantage. Router–law NMI is only about 0.02 in the multi-law conditions, indicating weak correspondence with the simulator categories.</w:t>
      </w:r>
    </w:p>
    <w:p>
      <w:pPr>
        <w:keepNext/>
        <w:spacing w:after="60"/>
        <w:jc w:val="center"/>
      </w:pPr>
      <w:r>
        <w:drawing>
          <wp:inline xmlns:a="http://schemas.openxmlformats.org/drawingml/2006/main" xmlns:pic="http://schemas.openxmlformats.org/drawingml/2006/picture">
            <wp:extent cx="6309360" cy="4141143"/>
            <wp:docPr id="14" name="Picture 14"/>
            <wp:cNvGraphicFramePr>
              <a:graphicFrameLocks noChangeAspect="1"/>
            </wp:cNvGraphicFramePr>
            <a:graphic>
              <a:graphicData uri="http://schemas.openxmlformats.org/drawingml/2006/picture">
                <pic:pic>
                  <pic:nvPicPr>
                    <pic:cNvPr id="0" name="14_image14.png"/>
                    <pic:cNvPicPr/>
                  </pic:nvPicPr>
                  <pic:blipFill>
                    <a:blip r:embed="rId27"/>
                    <a:stretch>
                      <a:fillRect/>
                    </a:stretch>
                  </pic:blipFill>
                  <pic:spPr>
                    <a:xfrm>
                      <a:off x="0" y="0"/>
                      <a:ext cx="6309360" cy="4141143"/>
                    </a:xfrm>
                    <a:prstGeom prst="rect"/>
                  </pic:spPr>
                </pic:pic>
              </a:graphicData>
            </a:graphic>
          </wp:inline>
        </w:drawing>
      </w:r>
    </w:p>
    <w:p>
      <w:pPr>
        <w:pStyle w:val="Caption"/>
      </w:pPr>
      <w:r>
        <w:t>Figure 14. Recurrent prediction under partial observation. The synthetic comparison evaluates whether expert partitioning adds value after introducing history; RecurrentMono has lower rollout error in each tested condition.</w:t>
      </w:r>
    </w:p>
    <w:p>
      <w:pPr>
        <w:pStyle w:val="Heading3"/>
      </w:pPr>
      <w:r>
        <w:t>5.3.6 Observability diagnostics</w:t>
      </w:r>
    </w:p>
    <w:p>
      <w:pPr>
        <w:pStyle w:val="ListBullet"/>
      </w:pPr>
      <w:r>
        <w:t>Instantaneous rank rank(C): the latent directions visible in a single observation.</w:t>
      </w:r>
    </w:p>
    <w:p>
      <w:pPr>
        <w:pStyle w:val="ListBullet"/>
      </w:pPr>
      <w:r>
        <w:t>Finite-history rank rank(O_H): the directions recoverable from H observations under the specified dynamics.</w:t>
      </w:r>
    </w:p>
    <w:p>
      <w:pPr>
        <w:pStyle w:val="ListBullet"/>
      </w:pPr>
      <w:r>
        <w:t>Observability conditioning: the numerical sensitivity of hidden-state reconstruction.</w:t>
      </w:r>
    </w:p>
    <w:p>
      <w:pPr>
        <w:pStyle w:val="ListBullet"/>
      </w:pPr>
      <w:r>
        <w:t>Identification horizon H*: the shortest history meeting a specified predictive-sufficiency criterion.</w:t>
      </w:r>
    </w:p>
    <w:p>
      <w:r>
        <w:t>The descriptive training profile becomes G(d_eff, κ_local, χ, H_cond, observability, H*, generator ambiguity, Π_F, topology, nonstationarity, tails, …).</w:t>
      </w:r>
    </w:p>
    <w:p>
      <w:pPr>
        <w:pStyle w:val="Heading3"/>
      </w:pPr>
      <w:r>
        <w:t>5.3.7 Implications for partially observed data</w:t>
      </w:r>
    </w:p>
    <w:p>
      <w:r>
        <w:t>Occlusion, contact-dependent measurements, acoustic projections and aggregated population records are examples of observation processes that retain only part of an underlying state. The controlled result motivates testing both state reconstruction and generator identification before selecting a current-frame representation.</w:t>
      </w:r>
    </w:p>
    <w:p>
      <w:r>
        <w:t>Evaluate expert routing on a predictive state with adequate information for the task, and measure state-estimation error separately from routing error.</w:t>
      </w:r>
    </w:p>
    <w:p>
      <w:pPr>
        <w:pStyle w:val="Heading3"/>
      </w:pPr>
      <w:r>
        <w:t>5.3.8 Evidence records</w:t>
      </w:r>
    </w:p>
    <w:p>
      <w:pPr>
        <w:spacing w:after="40"/>
      </w:pPr>
      <w:r>
        <w:rPr>
          <w:sz w:val="18"/>
        </w:rPr>
        <w:t>WORLD_​OBSERVABILITY_​005_​bundle.zip</w:t>
      </w:r>
    </w:p>
    <w:p>
      <w:pPr>
        <w:spacing w:after="40"/>
      </w:pPr>
      <w:r>
        <w:rPr>
          <w:sz w:val="18"/>
        </w:rPr>
        <w:t>WORLD_​OBSERVABILITY_​005/​condition_​comparison.csv</w:t>
      </w:r>
    </w:p>
    <w:p>
      <w:pPr>
        <w:spacing w:after="40"/>
      </w:pPr>
      <w:r>
        <w:rPr>
          <w:sz w:val="18"/>
        </w:rPr>
        <w:t>WORLD_​OBSERVABILITY_​005/​observability_​geometry.csv</w:t>
      </w:r>
    </w:p>
    <w:p>
      <w:pPr>
        <w:spacing w:after="40"/>
      </w:pPr>
      <w:r>
        <w:rPr>
          <w:sz w:val="18"/>
        </w:rPr>
        <w:t>WORLD_​OBSERVABILITY_​005/​router_​intervention.csv</w:t>
      </w:r>
    </w:p>
    <w:p>
      <w:pPr>
        <w:spacing w:after="40"/>
      </w:pPr>
      <w:r>
        <w:rPr>
          <w:sz w:val="18"/>
        </w:rPr>
        <w:t>WORLD_​OBSERVABILITY_​005/​history_​benefit.png</w:t>
      </w:r>
    </w:p>
    <w:p>
      <w:pPr>
        <w:spacing w:after="40"/>
      </w:pPr>
      <w:r>
        <w:rPr>
          <w:sz w:val="18"/>
        </w:rPr>
        <w:t>WORLD_​OBSERVABILITY_​005/​moe_​under_​partial_​observability.png</w:t>
      </w:r>
    </w:p>
    <w:p>
      <w:pPr>
        <w:pStyle w:val="Heading2"/>
      </w:pPr>
      <w:r>
        <w:t>5.4 DATA-FUSION-PARTITION-006 Parameter sharing along a continuous mechanism field</w:t>
      </w:r>
    </w:p>
    <w:p>
      <w:r>
        <w:t>Generating mechanisms can vary continuously with environment, state, scale and time. Source labels, differences in means or gaps in sample density do not by themselves determine where parameters should be separated. This experiment measures whether training in one data region helps or harms future prediction in another.</w:t>
      </w:r>
    </w:p>
    <w:p>
      <w:r>
        <w:t>A useful partition criterion is the compatibility of the regions' predictive constraints under shared parameters.</w:t>
      </w:r>
    </w:p>
    <w:p>
      <w:pPr>
        <w:pStyle w:val="Heading3"/>
      </w:pPr>
      <w:r>
        <w:t>5.4.1 A continuous mechanism without discrete law boundaries</w:t>
      </w:r>
    </w:p>
    <w:p>
      <w:r>
        <w:t>Context u lies in [−1, 1], and the local transition operator changes smoothly with u. Even the sharp-transition condition uses a continuous sigmoid rather than discrete mechanism labels.</w:t>
      </w:r>
    </w:p>
    <w:p>
      <w:pPr>
        <w:pStyle w:val="ListBullet"/>
      </w:pPr>
      <w:r>
        <w:t>Generator contrast measures the difference between the transition rules at the ends of the continuum.</w:t>
      </w:r>
    </w:p>
    <w:p>
      <w:pPr>
        <w:pStyle w:val="ListBullet"/>
      </w:pPr>
      <w:r>
        <w:t>Transition width controls whether that difference is spread broadly or concentrated in a narrow region.</w:t>
      </w:r>
    </w:p>
    <w:p>
      <w:pPr>
        <w:pStyle w:val="ListBullet"/>
      </w:pPr>
      <w:r>
        <w:t>Support connectivity controls whether the two ends are linked by dense observations or sparse bridge samples.</w:t>
      </w:r>
    </w:p>
    <w:p>
      <w:r>
        <w:t>The training strategies are MonoFull, using all data jointly; HardSplitFull, dividing at u=0; SoftMoEFull, using continuous routing; and SharedResidualFull, combining a shared predictor with softly routed local residuals.</w:t>
      </w:r>
    </w:p>
    <w:p>
      <w:pPr>
        <w:pStyle w:val="Heading3"/>
      </w:pPr>
      <w:r>
        <w:t>5.4.2 Capacity control</w:t>
      </w:r>
    </w:p>
    <w:p>
      <w:r>
        <w:t>With small experts, Mono performs best across the continuous conditions. Since each expert also has less capacity, this comparison mixes partition effects with undercapacity. A further comparison gives each expert a complete block equal in capacity to Mono and increases the endpoint mechanism contrast. This matches local block capacity, not total model size, and the ranking changes.</w:t>
      </w:r>
    </w:p>
    <w:p>
      <w:pPr>
        <w:pStyle w:val="Heading3"/>
      </w:pPr>
      <w:r>
        <w:t>5.4.3 Results with matched local block capacity</w:t>
      </w:r>
    </w:p>
    <w:p>
      <w:pPr>
        <w:pStyle w:val="Caption"/>
        <w:keepNext/>
      </w:pPr>
      <w:r>
        <w:t>Table 30. Sharing strategies with matched local block capacity.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56"/>
        <w:gridCol w:w="965"/>
        <w:gridCol w:w="1037"/>
        <w:gridCol w:w="1066"/>
        <w:gridCol w:w="1368"/>
        <w:gridCol w:w="4133"/>
      </w:tblGrid>
      <w:tr>
        <w:trPr>
          <w:cantSplit/>
          <w:tblHeader/>
        </w:trPr>
        <w:tc>
          <w:tcPr>
            <w:tcW w:type="dxa" w:w="1656"/>
            <w:vAlign w:val="center"/>
            <w:shd w:fill="F2F2F2"/>
          </w:tcPr>
          <w:p>
            <w:pPr>
              <w:keepNext/>
              <w:spacing w:after="0" w:before="0" w:line="240" w:lineRule="auto"/>
            </w:pPr>
            <w:r>
              <w:rPr>
                <w:rFonts w:ascii="Calibri" w:hAnsi="Calibri"/>
                <w:b/>
                <w:sz w:val="19"/>
              </w:rPr>
              <w:t>Condition</w:t>
            </w:r>
          </w:p>
        </w:tc>
        <w:tc>
          <w:tcPr>
            <w:tcW w:type="dxa" w:w="965"/>
            <w:vAlign w:val="center"/>
            <w:shd w:fill="F2F2F2"/>
          </w:tcPr>
          <w:p>
            <w:pPr>
              <w:keepNext/>
              <w:spacing w:after="0" w:before="0" w:line="240" w:lineRule="auto"/>
            </w:pPr>
            <w:r>
              <w:rPr>
                <w:rFonts w:ascii="Calibri" w:hAnsi="Calibri"/>
                <w:b/>
                <w:sz w:val="19"/>
              </w:rPr>
              <w:t>Mono</w:t>
            </w:r>
          </w:p>
        </w:tc>
        <w:tc>
          <w:tcPr>
            <w:tcW w:type="dxa" w:w="1037"/>
            <w:vAlign w:val="center"/>
            <w:shd w:fill="F2F2F2"/>
          </w:tcPr>
          <w:p>
            <w:pPr>
              <w:keepNext/>
              <w:spacing w:after="0" w:before="0" w:line="240" w:lineRule="auto"/>
            </w:pPr>
            <w:r>
              <w:rPr>
                <w:rFonts w:ascii="Calibri" w:hAnsi="Calibri"/>
                <w:b/>
                <w:sz w:val="19"/>
              </w:rPr>
              <w:t>Hard split</w:t>
            </w:r>
          </w:p>
        </w:tc>
        <w:tc>
          <w:tcPr>
            <w:tcW w:type="dxa" w:w="1066"/>
            <w:vAlign w:val="center"/>
            <w:shd w:fill="F2F2F2"/>
          </w:tcPr>
          <w:p>
            <w:pPr>
              <w:keepNext/>
              <w:spacing w:after="0" w:before="0" w:line="240" w:lineRule="auto"/>
            </w:pPr>
            <w:r>
              <w:rPr>
                <w:rFonts w:ascii="Calibri" w:hAnsi="Calibri"/>
                <w:b/>
                <w:sz w:val="19"/>
              </w:rPr>
              <w:t>Soft MoE</w:t>
            </w:r>
          </w:p>
        </w:tc>
        <w:tc>
          <w:tcPr>
            <w:tcW w:type="dxa" w:w="1368"/>
            <w:vAlign w:val="center"/>
            <w:shd w:fill="F2F2F2"/>
          </w:tcPr>
          <w:p>
            <w:pPr>
              <w:keepNext/>
              <w:spacing w:after="0" w:before="0" w:line="240" w:lineRule="auto"/>
            </w:pPr>
            <w:r>
              <w:rPr>
                <w:rFonts w:ascii="Calibri" w:hAnsi="Calibri"/>
                <w:b/>
                <w:sz w:val="19"/>
              </w:rPr>
              <w:t>Shared+residual</w:t>
            </w:r>
          </w:p>
        </w:tc>
        <w:tc>
          <w:tcPr>
            <w:tcW w:type="dxa" w:w="4133"/>
            <w:vAlign w:val="center"/>
            <w:shd w:fill="F2F2F2"/>
          </w:tcPr>
          <w:p>
            <w:pPr>
              <w:keepNext/>
              <w:spacing w:after="0" w:before="0" w:line="240" w:lineRule="auto"/>
            </w:pPr>
            <w:r>
              <w:rPr>
                <w:rFonts w:ascii="Calibri" w:hAnsi="Calibri"/>
                <w:b/>
                <w:sz w:val="19"/>
              </w:rPr>
              <w:t>Interpretation</w:t>
            </w:r>
          </w:p>
        </w:tc>
      </w:tr>
      <w:tr>
        <w:trPr>
          <w:cantSplit/>
        </w:trPr>
        <w:tc>
          <w:tcPr>
            <w:tcW w:type="dxa" w:w="1656"/>
            <w:vAlign w:val="center"/>
          </w:tcPr>
          <w:p>
            <w:pPr>
              <w:keepNext w:val="0"/>
              <w:spacing w:after="0" w:before="0" w:line="240" w:lineRule="auto"/>
            </w:pPr>
            <w:r>
              <w:rPr>
                <w:rFonts w:ascii="Calibri" w:hAnsi="Calibri"/>
                <w:b w:val="0"/>
                <w:sz w:val="19"/>
              </w:rPr>
              <w:t>broad+dense</w:t>
            </w:r>
          </w:p>
        </w:tc>
        <w:tc>
          <w:tcPr>
            <w:tcW w:type="dxa" w:w="965"/>
            <w:vAlign w:val="center"/>
          </w:tcPr>
          <w:p>
            <w:pPr>
              <w:keepNext w:val="0"/>
              <w:spacing w:after="0" w:before="0" w:line="240" w:lineRule="auto"/>
              <w:jc w:val="right"/>
            </w:pPr>
            <w:r>
              <w:rPr>
                <w:rFonts w:ascii="Calibri" w:hAnsi="Calibri"/>
                <w:b w:val="0"/>
                <w:sz w:val="19"/>
              </w:rPr>
              <w:t>0.0881</w:t>
            </w:r>
          </w:p>
        </w:tc>
        <w:tc>
          <w:tcPr>
            <w:tcW w:type="dxa" w:w="1037"/>
            <w:vAlign w:val="center"/>
          </w:tcPr>
          <w:p>
            <w:pPr>
              <w:keepNext w:val="0"/>
              <w:spacing w:after="0" w:before="0" w:line="240" w:lineRule="auto"/>
              <w:jc w:val="right"/>
            </w:pPr>
            <w:r>
              <w:rPr>
                <w:rFonts w:ascii="Calibri" w:hAnsi="Calibri"/>
                <w:b w:val="0"/>
                <w:sz w:val="19"/>
              </w:rPr>
              <w:t>0.0469</w:t>
            </w:r>
          </w:p>
        </w:tc>
        <w:tc>
          <w:tcPr>
            <w:tcW w:type="dxa" w:w="1066"/>
            <w:vAlign w:val="center"/>
          </w:tcPr>
          <w:p>
            <w:pPr>
              <w:keepNext w:val="0"/>
              <w:spacing w:after="0" w:before="0" w:line="240" w:lineRule="auto"/>
              <w:jc w:val="right"/>
            </w:pPr>
            <w:r>
              <w:rPr>
                <w:rFonts w:ascii="Calibri" w:hAnsi="Calibri"/>
                <w:b w:val="0"/>
                <w:sz w:val="19"/>
              </w:rPr>
              <w:t>0.0148</w:t>
            </w:r>
          </w:p>
        </w:tc>
        <w:tc>
          <w:tcPr>
            <w:tcW w:type="dxa" w:w="1368"/>
            <w:vAlign w:val="center"/>
          </w:tcPr>
          <w:p>
            <w:pPr>
              <w:keepNext w:val="0"/>
              <w:spacing w:after="0" w:before="0" w:line="240" w:lineRule="auto"/>
              <w:jc w:val="right"/>
            </w:pPr>
            <w:r>
              <w:rPr>
                <w:rFonts w:ascii="Calibri" w:hAnsi="Calibri"/>
                <w:b w:val="0"/>
                <w:sz w:val="19"/>
              </w:rPr>
              <w:t>0.0334</w:t>
            </w:r>
          </w:p>
        </w:tc>
        <w:tc>
          <w:tcPr>
            <w:tcW w:type="dxa" w:w="4133"/>
            <w:vAlign w:val="center"/>
          </w:tcPr>
          <w:p>
            <w:pPr>
              <w:keepNext w:val="0"/>
              <w:spacing w:after="0" w:before="0" w:line="240" w:lineRule="auto"/>
            </w:pPr>
            <w:r>
              <w:rPr>
                <w:rFonts w:ascii="Calibri" w:hAnsi="Calibri"/>
                <w:b w:val="0"/>
                <w:sz w:val="19"/>
              </w:rPr>
              <w:t>Soft routing retains continuous sharing and local specialization</w:t>
            </w:r>
          </w:p>
        </w:tc>
      </w:tr>
      <w:tr>
        <w:trPr>
          <w:cantSplit/>
        </w:trPr>
        <w:tc>
          <w:tcPr>
            <w:tcW w:type="dxa" w:w="1656"/>
            <w:vAlign w:val="center"/>
          </w:tcPr>
          <w:p>
            <w:pPr>
              <w:keepNext w:val="0"/>
              <w:spacing w:after="0" w:before="0" w:line="240" w:lineRule="auto"/>
            </w:pPr>
            <w:r>
              <w:rPr>
                <w:rFonts w:ascii="Calibri" w:hAnsi="Calibri"/>
                <w:b w:val="0"/>
                <w:sz w:val="19"/>
              </w:rPr>
              <w:t>broad+sparse</w:t>
            </w:r>
          </w:p>
        </w:tc>
        <w:tc>
          <w:tcPr>
            <w:tcW w:type="dxa" w:w="965"/>
            <w:vAlign w:val="center"/>
          </w:tcPr>
          <w:p>
            <w:pPr>
              <w:keepNext w:val="0"/>
              <w:spacing w:after="0" w:before="0" w:line="240" w:lineRule="auto"/>
              <w:jc w:val="right"/>
            </w:pPr>
            <w:r>
              <w:rPr>
                <w:rFonts w:ascii="Calibri" w:hAnsi="Calibri"/>
                <w:b w:val="0"/>
                <w:sz w:val="19"/>
              </w:rPr>
              <w:t>0.0682</w:t>
            </w:r>
          </w:p>
        </w:tc>
        <w:tc>
          <w:tcPr>
            <w:tcW w:type="dxa" w:w="1037"/>
            <w:vAlign w:val="center"/>
          </w:tcPr>
          <w:p>
            <w:pPr>
              <w:keepNext w:val="0"/>
              <w:spacing w:after="0" w:before="0" w:line="240" w:lineRule="auto"/>
              <w:jc w:val="right"/>
            </w:pPr>
            <w:r>
              <w:rPr>
                <w:rFonts w:ascii="Calibri" w:hAnsi="Calibri"/>
                <w:b w:val="0"/>
                <w:sz w:val="19"/>
              </w:rPr>
              <w:t>0.0608</w:t>
            </w:r>
          </w:p>
        </w:tc>
        <w:tc>
          <w:tcPr>
            <w:tcW w:type="dxa" w:w="1066"/>
            <w:vAlign w:val="center"/>
          </w:tcPr>
          <w:p>
            <w:pPr>
              <w:keepNext w:val="0"/>
              <w:spacing w:after="0" w:before="0" w:line="240" w:lineRule="auto"/>
              <w:jc w:val="right"/>
            </w:pPr>
            <w:r>
              <w:rPr>
                <w:rFonts w:ascii="Calibri" w:hAnsi="Calibri"/>
                <w:b w:val="0"/>
                <w:sz w:val="19"/>
              </w:rPr>
              <w:t>0.0135</w:t>
            </w:r>
          </w:p>
        </w:tc>
        <w:tc>
          <w:tcPr>
            <w:tcW w:type="dxa" w:w="1368"/>
            <w:vAlign w:val="center"/>
          </w:tcPr>
          <w:p>
            <w:pPr>
              <w:keepNext w:val="0"/>
              <w:spacing w:after="0" w:before="0" w:line="240" w:lineRule="auto"/>
              <w:jc w:val="right"/>
            </w:pPr>
            <w:r>
              <w:rPr>
                <w:rFonts w:ascii="Calibri" w:hAnsi="Calibri"/>
                <w:b w:val="0"/>
                <w:sz w:val="19"/>
              </w:rPr>
              <w:t>0.0256</w:t>
            </w:r>
          </w:p>
        </w:tc>
        <w:tc>
          <w:tcPr>
            <w:tcW w:type="dxa" w:w="4133"/>
            <w:vAlign w:val="center"/>
          </w:tcPr>
          <w:p>
            <w:pPr>
              <w:keepNext w:val="0"/>
              <w:spacing w:after="0" w:before="0" w:line="240" w:lineRule="auto"/>
            </w:pPr>
            <w:r>
              <w:rPr>
                <w:rFonts w:ascii="Calibri" w:hAnsi="Calibri"/>
                <w:b w:val="0"/>
                <w:sz w:val="19"/>
              </w:rPr>
              <w:t>Soft routing has lower error despite sparse bridge samples</w:t>
            </w:r>
          </w:p>
        </w:tc>
      </w:tr>
      <w:tr>
        <w:trPr>
          <w:cantSplit/>
        </w:trPr>
        <w:tc>
          <w:tcPr>
            <w:tcW w:type="dxa" w:w="1656"/>
            <w:vAlign w:val="center"/>
          </w:tcPr>
          <w:p>
            <w:pPr>
              <w:keepNext w:val="0"/>
              <w:spacing w:after="0" w:before="0" w:line="240" w:lineRule="auto"/>
            </w:pPr>
            <w:r>
              <w:rPr>
                <w:rFonts w:ascii="Calibri" w:hAnsi="Calibri"/>
                <w:b w:val="0"/>
                <w:sz w:val="19"/>
              </w:rPr>
              <w:t>sharp+dense</w:t>
            </w:r>
          </w:p>
        </w:tc>
        <w:tc>
          <w:tcPr>
            <w:tcW w:type="dxa" w:w="965"/>
            <w:vAlign w:val="center"/>
          </w:tcPr>
          <w:p>
            <w:pPr>
              <w:keepNext w:val="0"/>
              <w:spacing w:after="0" w:before="0" w:line="240" w:lineRule="auto"/>
              <w:jc w:val="right"/>
            </w:pPr>
            <w:r>
              <w:rPr>
                <w:rFonts w:ascii="Calibri" w:hAnsi="Calibri"/>
                <w:b w:val="0"/>
                <w:sz w:val="19"/>
              </w:rPr>
              <w:t>0.2008</w:t>
            </w:r>
          </w:p>
        </w:tc>
        <w:tc>
          <w:tcPr>
            <w:tcW w:type="dxa" w:w="1037"/>
            <w:vAlign w:val="center"/>
          </w:tcPr>
          <w:p>
            <w:pPr>
              <w:keepNext w:val="0"/>
              <w:spacing w:after="0" w:before="0" w:line="240" w:lineRule="auto"/>
              <w:jc w:val="right"/>
            </w:pPr>
            <w:r>
              <w:rPr>
                <w:rFonts w:ascii="Calibri" w:hAnsi="Calibri"/>
                <w:b w:val="0"/>
                <w:sz w:val="19"/>
              </w:rPr>
              <w:t>0.0403</w:t>
            </w:r>
          </w:p>
        </w:tc>
        <w:tc>
          <w:tcPr>
            <w:tcW w:type="dxa" w:w="1066"/>
            <w:vAlign w:val="center"/>
          </w:tcPr>
          <w:p>
            <w:pPr>
              <w:keepNext w:val="0"/>
              <w:spacing w:after="0" w:before="0" w:line="240" w:lineRule="auto"/>
              <w:jc w:val="right"/>
            </w:pPr>
            <w:r>
              <w:rPr>
                <w:rFonts w:ascii="Calibri" w:hAnsi="Calibri"/>
                <w:b w:val="0"/>
                <w:sz w:val="19"/>
              </w:rPr>
              <w:t>0.0636</w:t>
            </w:r>
          </w:p>
        </w:tc>
        <w:tc>
          <w:tcPr>
            <w:tcW w:type="dxa" w:w="1368"/>
            <w:vAlign w:val="center"/>
          </w:tcPr>
          <w:p>
            <w:pPr>
              <w:keepNext w:val="0"/>
              <w:spacing w:after="0" w:before="0" w:line="240" w:lineRule="auto"/>
              <w:jc w:val="right"/>
            </w:pPr>
            <w:r>
              <w:rPr>
                <w:rFonts w:ascii="Calibri" w:hAnsi="Calibri"/>
                <w:b w:val="0"/>
                <w:sz w:val="19"/>
              </w:rPr>
              <w:t>0.0937</w:t>
            </w:r>
          </w:p>
        </w:tc>
        <w:tc>
          <w:tcPr>
            <w:tcW w:type="dxa" w:w="4133"/>
            <w:vAlign w:val="center"/>
          </w:tcPr>
          <w:p>
            <w:pPr>
              <w:keepNext w:val="0"/>
              <w:spacing w:after="0" w:before="0" w:line="240" w:lineRule="auto"/>
            </w:pPr>
            <w:r>
              <w:rPr>
                <w:rFonts w:ascii="Calibri" w:hAnsi="Calibri"/>
                <w:b w:val="0"/>
                <w:sz w:val="19"/>
              </w:rPr>
              <w:t>Hard split has lower overall error; boundary cost is separate</w:t>
            </w:r>
          </w:p>
        </w:tc>
      </w:tr>
      <w:tr>
        <w:trPr>
          <w:cantSplit/>
        </w:trPr>
        <w:tc>
          <w:tcPr>
            <w:tcW w:type="dxa" w:w="1656"/>
            <w:vAlign w:val="center"/>
          </w:tcPr>
          <w:p>
            <w:pPr>
              <w:keepNext/>
              <w:spacing w:after="0" w:before="0" w:line="240" w:lineRule="auto"/>
            </w:pPr>
            <w:r>
              <w:rPr>
                <w:rFonts w:ascii="Calibri" w:hAnsi="Calibri"/>
                <w:b w:val="0"/>
                <w:sz w:val="19"/>
              </w:rPr>
              <w:t>sharp+sparse</w:t>
            </w:r>
          </w:p>
        </w:tc>
        <w:tc>
          <w:tcPr>
            <w:tcW w:type="dxa" w:w="965"/>
            <w:vAlign w:val="center"/>
          </w:tcPr>
          <w:p>
            <w:pPr>
              <w:keepNext/>
              <w:spacing w:after="0" w:before="0" w:line="240" w:lineRule="auto"/>
              <w:jc w:val="right"/>
            </w:pPr>
            <w:r>
              <w:rPr>
                <w:rFonts w:ascii="Calibri" w:hAnsi="Calibri"/>
                <w:b w:val="0"/>
                <w:sz w:val="19"/>
              </w:rPr>
              <w:t>0.1961</w:t>
            </w:r>
          </w:p>
        </w:tc>
        <w:tc>
          <w:tcPr>
            <w:tcW w:type="dxa" w:w="1037"/>
            <w:vAlign w:val="center"/>
          </w:tcPr>
          <w:p>
            <w:pPr>
              <w:keepNext/>
              <w:spacing w:after="0" w:before="0" w:line="240" w:lineRule="auto"/>
              <w:jc w:val="right"/>
            </w:pPr>
            <w:r>
              <w:rPr>
                <w:rFonts w:ascii="Calibri" w:hAnsi="Calibri"/>
                <w:b w:val="0"/>
                <w:sz w:val="19"/>
              </w:rPr>
              <w:t>0.0451</w:t>
            </w:r>
          </w:p>
        </w:tc>
        <w:tc>
          <w:tcPr>
            <w:tcW w:type="dxa" w:w="1066"/>
            <w:vAlign w:val="center"/>
          </w:tcPr>
          <w:p>
            <w:pPr>
              <w:keepNext/>
              <w:spacing w:after="0" w:before="0" w:line="240" w:lineRule="auto"/>
              <w:jc w:val="right"/>
            </w:pPr>
            <w:r>
              <w:rPr>
                <w:rFonts w:ascii="Calibri" w:hAnsi="Calibri"/>
                <w:b w:val="0"/>
                <w:sz w:val="19"/>
              </w:rPr>
              <w:t>0.0814</w:t>
            </w:r>
          </w:p>
        </w:tc>
        <w:tc>
          <w:tcPr>
            <w:tcW w:type="dxa" w:w="1368"/>
            <w:vAlign w:val="center"/>
          </w:tcPr>
          <w:p>
            <w:pPr>
              <w:keepNext/>
              <w:spacing w:after="0" w:before="0" w:line="240" w:lineRule="auto"/>
              <w:jc w:val="right"/>
            </w:pPr>
            <w:r>
              <w:rPr>
                <w:rFonts w:ascii="Calibri" w:hAnsi="Calibri"/>
                <w:b w:val="0"/>
                <w:sz w:val="19"/>
              </w:rPr>
              <w:t>0.1036</w:t>
            </w:r>
          </w:p>
        </w:tc>
        <w:tc>
          <w:tcPr>
            <w:tcW w:type="dxa" w:w="4133"/>
            <w:vAlign w:val="center"/>
          </w:tcPr>
          <w:p>
            <w:pPr>
              <w:keepNext/>
              <w:spacing w:after="0" w:before="0" w:line="240" w:lineRule="auto"/>
            </w:pPr>
            <w:r>
              <w:rPr>
                <w:rFonts w:ascii="Calibri" w:hAnsi="Calibri"/>
                <w:b w:val="0"/>
                <w:sz w:val="19"/>
              </w:rPr>
              <w:t>Concentrated drift and weak bridge favour hard split overall</w:t>
            </w:r>
          </w:p>
        </w:tc>
      </w:tr>
    </w:tbl>
    <w:p>
      <w:pPr>
        <w:keepLines/>
        <w:spacing w:before="60" w:after="120"/>
      </w:pPr>
      <w:r>
        <w:rPr>
          <w:sz w:val="18"/>
        </w:rPr>
        <w:t>Controlled simulation. Each expert matches Mono block capacity; total model capacity is larger for modular models.</w:t>
      </w:r>
    </w:p>
    <w:p>
      <w:r>
        <w:t>Relative to Mono, Soft MoE reduces error by 83.2% in broad+dense and 80.2% in broad+sparse conditions. In sharp+dense, Hard split reduces error by 79.9% and Soft MoE by 68.3%; in sharp+sparse, the reductions are 77.0% and 58.5%. The rate of mechanism change affects the value of each partition strategy.</w:t>
      </w:r>
    </w:p>
    <w:p>
      <w:pPr>
        <w:keepNext/>
        <w:spacing w:after="60"/>
        <w:jc w:val="center"/>
      </w:pPr>
      <w:r>
        <w:drawing>
          <wp:inline xmlns:a="http://schemas.openxmlformats.org/drawingml/2006/main" xmlns:pic="http://schemas.openxmlformats.org/drawingml/2006/picture">
            <wp:extent cx="6309360" cy="3695788"/>
            <wp:docPr id="15" name="Picture 15"/>
            <wp:cNvGraphicFramePr>
              <a:graphicFrameLocks noChangeAspect="1"/>
            </wp:cNvGraphicFramePr>
            <a:graphic>
              <a:graphicData uri="http://schemas.openxmlformats.org/drawingml/2006/picture">
                <pic:pic>
                  <pic:nvPicPr>
                    <pic:cNvPr id="0" name="15_image15.png"/>
                    <pic:cNvPicPr/>
                  </pic:nvPicPr>
                  <pic:blipFill>
                    <a:blip r:embed="rId28"/>
                    <a:stretch>
                      <a:fillRect/>
                    </a:stretch>
                  </pic:blipFill>
                  <pic:spPr>
                    <a:xfrm>
                      <a:off x="0" y="0"/>
                      <a:ext cx="6309360" cy="3695788"/>
                    </a:xfrm>
                    <a:prstGeom prst="rect"/>
                  </pic:spPr>
                </pic:pic>
              </a:graphicData>
            </a:graphic>
          </wp:inline>
        </w:drawing>
      </w:r>
    </w:p>
    <w:p>
      <w:pPr>
        <w:pStyle w:val="Caption"/>
      </w:pPr>
      <w:r>
        <w:t>Figure 15. Prediction error under continuous generator drift. The synthetic comparison varies transition width and bridge density; experts have the same local block capacity as Mono, so modular models have larger total capacity.</w:t>
      </w:r>
    </w:p>
    <w:p>
      <w:pPr>
        <w:pStyle w:val="Heading3"/>
      </w:pPr>
      <w:r>
        <w:t>5.4.4 Prediction near hard boundaries</w:t>
      </w:r>
    </w:p>
    <w:p>
      <w:r>
        <w:t>Overall MSE conceals a local cost of hard partitioning: the fitted model can be discontinuous where the true mechanism is continuous.</w:t>
      </w:r>
    </w:p>
    <w:p>
      <w:pPr>
        <w:pStyle w:val="Caption"/>
        <w:keepNext/>
      </w:pPr>
      <w:r>
        <w:t>Table 31. Boundary error and response jumps.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Condition</w:t>
            </w:r>
          </w:p>
        </w:tc>
        <w:tc>
          <w:tcPr>
            <w:tcW w:type="dxa" w:w="2153"/>
            <w:vAlign w:val="center"/>
            <w:shd w:fill="F2F2F2"/>
          </w:tcPr>
          <w:p>
            <w:pPr>
              <w:keepNext/>
              <w:spacing w:after="0" w:before="0" w:line="240" w:lineRule="auto"/>
            </w:pPr>
            <w:r>
              <w:rPr>
                <w:rFonts w:ascii="Calibri" w:hAnsi="Calibri"/>
                <w:b/>
                <w:sz w:val="19"/>
              </w:rPr>
              <w:t>Hard boundary MSE</w:t>
            </w:r>
          </w:p>
        </w:tc>
        <w:tc>
          <w:tcPr>
            <w:tcW w:type="dxa" w:w="2153"/>
            <w:vAlign w:val="center"/>
            <w:shd w:fill="F2F2F2"/>
          </w:tcPr>
          <w:p>
            <w:pPr>
              <w:keepNext/>
              <w:spacing w:after="0" w:before="0" w:line="240" w:lineRule="auto"/>
            </w:pPr>
            <w:r>
              <w:rPr>
                <w:rFonts w:ascii="Calibri" w:hAnsi="Calibri"/>
                <w:b/>
                <w:sz w:val="19"/>
              </w:rPr>
              <w:t>Soft boundary MSE</w:t>
            </w:r>
          </w:p>
        </w:tc>
        <w:tc>
          <w:tcPr>
            <w:tcW w:type="dxa" w:w="2153"/>
            <w:vAlign w:val="center"/>
            <w:shd w:fill="F2F2F2"/>
          </w:tcPr>
          <w:p>
            <w:pPr>
              <w:keepNext/>
              <w:spacing w:after="0" w:before="0" w:line="240" w:lineRule="auto"/>
            </w:pPr>
            <w:r>
              <w:rPr>
                <w:rFonts w:ascii="Calibri" w:hAnsi="Calibri"/>
                <w:b/>
                <w:sz w:val="19"/>
              </w:rPr>
              <w:t>Hard jump</w:t>
            </w:r>
          </w:p>
        </w:tc>
        <w:tc>
          <w:tcPr>
            <w:tcW w:type="dxa" w:w="2153"/>
            <w:vAlign w:val="center"/>
            <w:shd w:fill="F2F2F2"/>
          </w:tcPr>
          <w:p>
            <w:pPr>
              <w:keepNext/>
              <w:spacing w:after="0" w:before="0" w:line="240" w:lineRule="auto"/>
            </w:pPr>
            <w:r>
              <w:rPr>
                <w:rFonts w:ascii="Calibri" w:hAnsi="Calibri"/>
                <w:b/>
                <w:sz w:val="19"/>
              </w:rPr>
              <w:t>Soft jump</w:t>
            </w:r>
          </w:p>
        </w:tc>
      </w:tr>
      <w:tr>
        <w:trPr>
          <w:cantSplit/>
        </w:trPr>
        <w:tc>
          <w:tcPr>
            <w:tcW w:type="dxa" w:w="1613"/>
            <w:vAlign w:val="center"/>
          </w:tcPr>
          <w:p>
            <w:pPr>
              <w:keepNext w:val="0"/>
              <w:spacing w:after="0" w:before="0" w:line="240" w:lineRule="auto"/>
            </w:pPr>
            <w:r>
              <w:rPr>
                <w:rFonts w:ascii="Calibri" w:hAnsi="Calibri"/>
                <w:b w:val="0"/>
                <w:sz w:val="19"/>
              </w:rPr>
              <w:t>broad+dense</w:t>
            </w:r>
          </w:p>
        </w:tc>
        <w:tc>
          <w:tcPr>
            <w:tcW w:type="dxa" w:w="2153"/>
            <w:vAlign w:val="center"/>
          </w:tcPr>
          <w:p>
            <w:pPr>
              <w:keepNext w:val="0"/>
              <w:spacing w:after="0" w:before="0" w:line="240" w:lineRule="auto"/>
              <w:jc w:val="right"/>
            </w:pPr>
            <w:r>
              <w:rPr>
                <w:rFonts w:ascii="Calibri" w:hAnsi="Calibri"/>
                <w:b w:val="0"/>
                <w:sz w:val="19"/>
              </w:rPr>
              <w:t>0.0946</w:t>
            </w:r>
          </w:p>
        </w:tc>
        <w:tc>
          <w:tcPr>
            <w:tcW w:type="dxa" w:w="2153"/>
            <w:vAlign w:val="center"/>
          </w:tcPr>
          <w:p>
            <w:pPr>
              <w:keepNext w:val="0"/>
              <w:spacing w:after="0" w:before="0" w:line="240" w:lineRule="auto"/>
              <w:jc w:val="right"/>
            </w:pPr>
            <w:r>
              <w:rPr>
                <w:rFonts w:ascii="Calibri" w:hAnsi="Calibri"/>
                <w:b w:val="0"/>
                <w:sz w:val="19"/>
              </w:rPr>
              <w:t>0.0125</w:t>
            </w:r>
          </w:p>
        </w:tc>
        <w:tc>
          <w:tcPr>
            <w:tcW w:type="dxa" w:w="2153"/>
            <w:vAlign w:val="center"/>
          </w:tcPr>
          <w:p>
            <w:pPr>
              <w:keepNext w:val="0"/>
              <w:spacing w:after="0" w:before="0" w:line="240" w:lineRule="auto"/>
              <w:jc w:val="right"/>
            </w:pPr>
            <w:r>
              <w:rPr>
                <w:rFonts w:ascii="Calibri" w:hAnsi="Calibri"/>
                <w:b w:val="0"/>
                <w:sz w:val="19"/>
              </w:rPr>
              <w:t>0.728</w:t>
            </w:r>
          </w:p>
        </w:tc>
        <w:tc>
          <w:tcPr>
            <w:tcW w:type="dxa" w:w="2153"/>
            <w:vAlign w:val="center"/>
          </w:tcPr>
          <w:p>
            <w:pPr>
              <w:keepNext w:val="0"/>
              <w:spacing w:after="0" w:before="0" w:line="240" w:lineRule="auto"/>
              <w:jc w:val="right"/>
            </w:pPr>
            <w:r>
              <w:rPr>
                <w:rFonts w:ascii="Calibri" w:hAnsi="Calibri"/>
                <w:b w:val="0"/>
                <w:sz w:val="19"/>
              </w:rPr>
              <w:t>0.011</w:t>
            </w:r>
          </w:p>
        </w:tc>
      </w:tr>
      <w:tr>
        <w:trPr>
          <w:cantSplit/>
        </w:trPr>
        <w:tc>
          <w:tcPr>
            <w:tcW w:type="dxa" w:w="1613"/>
            <w:vAlign w:val="center"/>
          </w:tcPr>
          <w:p>
            <w:pPr>
              <w:keepNext w:val="0"/>
              <w:spacing w:after="0" w:before="0" w:line="240" w:lineRule="auto"/>
            </w:pPr>
            <w:r>
              <w:rPr>
                <w:rFonts w:ascii="Calibri" w:hAnsi="Calibri"/>
                <w:b w:val="0"/>
                <w:sz w:val="19"/>
              </w:rPr>
              <w:t>broad+sparse</w:t>
            </w:r>
          </w:p>
        </w:tc>
        <w:tc>
          <w:tcPr>
            <w:tcW w:type="dxa" w:w="2153"/>
            <w:vAlign w:val="center"/>
          </w:tcPr>
          <w:p>
            <w:pPr>
              <w:keepNext w:val="0"/>
              <w:spacing w:after="0" w:before="0" w:line="240" w:lineRule="auto"/>
              <w:jc w:val="right"/>
            </w:pPr>
            <w:r>
              <w:rPr>
                <w:rFonts w:ascii="Calibri" w:hAnsi="Calibri"/>
                <w:b w:val="0"/>
                <w:sz w:val="19"/>
              </w:rPr>
              <w:t>0.1903</w:t>
            </w:r>
          </w:p>
        </w:tc>
        <w:tc>
          <w:tcPr>
            <w:tcW w:type="dxa" w:w="2153"/>
            <w:vAlign w:val="center"/>
          </w:tcPr>
          <w:p>
            <w:pPr>
              <w:keepNext w:val="0"/>
              <w:spacing w:after="0" w:before="0" w:line="240" w:lineRule="auto"/>
              <w:jc w:val="right"/>
            </w:pPr>
            <w:r>
              <w:rPr>
                <w:rFonts w:ascii="Calibri" w:hAnsi="Calibri"/>
                <w:b w:val="0"/>
                <w:sz w:val="19"/>
              </w:rPr>
              <w:t>0.0156</w:t>
            </w:r>
          </w:p>
        </w:tc>
        <w:tc>
          <w:tcPr>
            <w:tcW w:type="dxa" w:w="2153"/>
            <w:vAlign w:val="center"/>
          </w:tcPr>
          <w:p>
            <w:pPr>
              <w:keepNext w:val="0"/>
              <w:spacing w:after="0" w:before="0" w:line="240" w:lineRule="auto"/>
              <w:jc w:val="right"/>
            </w:pPr>
            <w:r>
              <w:rPr>
                <w:rFonts w:ascii="Calibri" w:hAnsi="Calibri"/>
                <w:b w:val="0"/>
                <w:sz w:val="19"/>
              </w:rPr>
              <w:t>0.963</w:t>
            </w:r>
          </w:p>
        </w:tc>
        <w:tc>
          <w:tcPr>
            <w:tcW w:type="dxa" w:w="2153"/>
            <w:vAlign w:val="center"/>
          </w:tcPr>
          <w:p>
            <w:pPr>
              <w:keepNext w:val="0"/>
              <w:spacing w:after="0" w:before="0" w:line="240" w:lineRule="auto"/>
              <w:jc w:val="right"/>
            </w:pPr>
            <w:r>
              <w:rPr>
                <w:rFonts w:ascii="Calibri" w:hAnsi="Calibri"/>
                <w:b w:val="0"/>
                <w:sz w:val="19"/>
              </w:rPr>
              <w:t>0.013</w:t>
            </w:r>
          </w:p>
        </w:tc>
      </w:tr>
      <w:tr>
        <w:trPr>
          <w:cantSplit/>
        </w:trPr>
        <w:tc>
          <w:tcPr>
            <w:tcW w:type="dxa" w:w="1613"/>
            <w:vAlign w:val="center"/>
          </w:tcPr>
          <w:p>
            <w:pPr>
              <w:keepNext w:val="0"/>
              <w:spacing w:after="0" w:before="0" w:line="240" w:lineRule="auto"/>
            </w:pPr>
            <w:r>
              <w:rPr>
                <w:rFonts w:ascii="Calibri" w:hAnsi="Calibri"/>
                <w:b w:val="0"/>
                <w:sz w:val="19"/>
              </w:rPr>
              <w:t>sharp+dense</w:t>
            </w:r>
          </w:p>
        </w:tc>
        <w:tc>
          <w:tcPr>
            <w:tcW w:type="dxa" w:w="2153"/>
            <w:vAlign w:val="center"/>
          </w:tcPr>
          <w:p>
            <w:pPr>
              <w:keepNext w:val="0"/>
              <w:spacing w:after="0" w:before="0" w:line="240" w:lineRule="auto"/>
              <w:jc w:val="right"/>
            </w:pPr>
            <w:r>
              <w:rPr>
                <w:rFonts w:ascii="Calibri" w:hAnsi="Calibri"/>
                <w:b w:val="0"/>
                <w:sz w:val="19"/>
              </w:rPr>
              <w:t>0.1356</w:t>
            </w:r>
          </w:p>
        </w:tc>
        <w:tc>
          <w:tcPr>
            <w:tcW w:type="dxa" w:w="2153"/>
            <w:vAlign w:val="center"/>
          </w:tcPr>
          <w:p>
            <w:pPr>
              <w:keepNext w:val="0"/>
              <w:spacing w:after="0" w:before="0" w:line="240" w:lineRule="auto"/>
              <w:jc w:val="right"/>
            </w:pPr>
            <w:r>
              <w:rPr>
                <w:rFonts w:ascii="Calibri" w:hAnsi="Calibri"/>
                <w:b w:val="0"/>
                <w:sz w:val="19"/>
              </w:rPr>
              <w:t>0.0954</w:t>
            </w:r>
          </w:p>
        </w:tc>
        <w:tc>
          <w:tcPr>
            <w:tcW w:type="dxa" w:w="2153"/>
            <w:vAlign w:val="center"/>
          </w:tcPr>
          <w:p>
            <w:pPr>
              <w:keepNext w:val="0"/>
              <w:spacing w:after="0" w:before="0" w:line="240" w:lineRule="auto"/>
              <w:jc w:val="right"/>
            </w:pPr>
            <w:r>
              <w:rPr>
                <w:rFonts w:ascii="Calibri" w:hAnsi="Calibri"/>
                <w:b w:val="0"/>
                <w:sz w:val="19"/>
              </w:rPr>
              <w:t>1.377</w:t>
            </w:r>
          </w:p>
        </w:tc>
        <w:tc>
          <w:tcPr>
            <w:tcW w:type="dxa" w:w="2153"/>
            <w:vAlign w:val="center"/>
          </w:tcPr>
          <w:p>
            <w:pPr>
              <w:keepNext w:val="0"/>
              <w:spacing w:after="0" w:before="0" w:line="240" w:lineRule="auto"/>
              <w:jc w:val="right"/>
            </w:pPr>
            <w:r>
              <w:rPr>
                <w:rFonts w:ascii="Calibri" w:hAnsi="Calibri"/>
                <w:b w:val="0"/>
                <w:sz w:val="19"/>
              </w:rPr>
              <w:t>0.020</w:t>
            </w:r>
          </w:p>
        </w:tc>
      </w:tr>
      <w:tr>
        <w:trPr>
          <w:cantSplit/>
        </w:trPr>
        <w:tc>
          <w:tcPr>
            <w:tcW w:type="dxa" w:w="1613"/>
            <w:vAlign w:val="center"/>
          </w:tcPr>
          <w:p>
            <w:pPr>
              <w:keepNext/>
              <w:spacing w:after="0" w:before="0" w:line="240" w:lineRule="auto"/>
            </w:pPr>
            <w:r>
              <w:rPr>
                <w:rFonts w:ascii="Calibri" w:hAnsi="Calibri"/>
                <w:b w:val="0"/>
                <w:sz w:val="19"/>
              </w:rPr>
              <w:t>sharp+sparse</w:t>
            </w:r>
          </w:p>
        </w:tc>
        <w:tc>
          <w:tcPr>
            <w:tcW w:type="dxa" w:w="2153"/>
            <w:vAlign w:val="center"/>
          </w:tcPr>
          <w:p>
            <w:pPr>
              <w:keepNext/>
              <w:spacing w:after="0" w:before="0" w:line="240" w:lineRule="auto"/>
              <w:jc w:val="right"/>
            </w:pPr>
            <w:r>
              <w:rPr>
                <w:rFonts w:ascii="Calibri" w:hAnsi="Calibri"/>
                <w:b w:val="0"/>
                <w:sz w:val="19"/>
              </w:rPr>
              <w:t>0.1900</w:t>
            </w:r>
          </w:p>
        </w:tc>
        <w:tc>
          <w:tcPr>
            <w:tcW w:type="dxa" w:w="2153"/>
            <w:vAlign w:val="center"/>
          </w:tcPr>
          <w:p>
            <w:pPr>
              <w:keepNext/>
              <w:spacing w:after="0" w:before="0" w:line="240" w:lineRule="auto"/>
              <w:jc w:val="right"/>
            </w:pPr>
            <w:r>
              <w:rPr>
                <w:rFonts w:ascii="Calibri" w:hAnsi="Calibri"/>
                <w:b w:val="0"/>
                <w:sz w:val="19"/>
              </w:rPr>
              <w:t>0.1069</w:t>
            </w:r>
          </w:p>
        </w:tc>
        <w:tc>
          <w:tcPr>
            <w:tcW w:type="dxa" w:w="2153"/>
            <w:vAlign w:val="center"/>
          </w:tcPr>
          <w:p>
            <w:pPr>
              <w:keepNext/>
              <w:spacing w:after="0" w:before="0" w:line="240" w:lineRule="auto"/>
              <w:jc w:val="right"/>
            </w:pPr>
            <w:r>
              <w:rPr>
                <w:rFonts w:ascii="Calibri" w:hAnsi="Calibri"/>
                <w:b w:val="0"/>
                <w:sz w:val="19"/>
              </w:rPr>
              <w:t>1.444</w:t>
            </w:r>
          </w:p>
        </w:tc>
        <w:tc>
          <w:tcPr>
            <w:tcW w:type="dxa" w:w="2153"/>
            <w:vAlign w:val="center"/>
          </w:tcPr>
          <w:p>
            <w:pPr>
              <w:keepNext/>
              <w:spacing w:after="0" w:before="0" w:line="240" w:lineRule="auto"/>
              <w:jc w:val="right"/>
            </w:pPr>
            <w:r>
              <w:rPr>
                <w:rFonts w:ascii="Calibri" w:hAnsi="Calibri"/>
                <w:b w:val="0"/>
                <w:sz w:val="19"/>
              </w:rPr>
              <w:t>0.019</w:t>
            </w:r>
          </w:p>
        </w:tc>
      </w:tr>
    </w:tbl>
    <w:p>
      <w:pPr>
        <w:keepLines/>
        <w:spacing w:before="60" w:after="120"/>
      </w:pPr>
      <w:r>
        <w:rPr>
          <w:sz w:val="18"/>
        </w:rPr>
        <w:t>Controlled simulation. Lower MSE indicates lower prediction error within the same task and target scaling.</w:t>
      </w:r>
    </w:p>
    <w:p>
      <w:r>
        <w:t>A density gap is stronger evidence for a hard partition when it also coincides with persistent predictive incompatibility. Boundary error remains a separate evaluation criterion.</w:t>
      </w:r>
    </w:p>
    <w:p>
      <w:pPr>
        <w:keepNext/>
        <w:spacing w:after="60"/>
        <w:jc w:val="center"/>
      </w:pPr>
      <w:r>
        <w:drawing>
          <wp:inline xmlns:a="http://schemas.openxmlformats.org/drawingml/2006/main" xmlns:pic="http://schemas.openxmlformats.org/drawingml/2006/picture">
            <wp:extent cx="6309360" cy="3695788"/>
            <wp:docPr id="16" name="Picture 16"/>
            <wp:cNvGraphicFramePr>
              <a:graphicFrameLocks noChangeAspect="1"/>
            </wp:cNvGraphicFramePr>
            <a:graphic>
              <a:graphicData uri="http://schemas.openxmlformats.org/drawingml/2006/picture">
                <pic:pic>
                  <pic:nvPicPr>
                    <pic:cNvPr id="0" name="16_image16.png"/>
                    <pic:cNvPicPr/>
                  </pic:nvPicPr>
                  <pic:blipFill>
                    <a:blip r:embed="rId29"/>
                    <a:stretch>
                      <a:fillRect/>
                    </a:stretch>
                  </pic:blipFill>
                  <pic:spPr>
                    <a:xfrm>
                      <a:off x="0" y="0"/>
                      <a:ext cx="6309360" cy="3695788"/>
                    </a:xfrm>
                    <a:prstGeom prst="rect"/>
                  </pic:spPr>
                </pic:pic>
              </a:graphicData>
            </a:graphic>
          </wp:inline>
        </w:drawing>
      </w:r>
    </w:p>
    <w:p>
      <w:pPr>
        <w:pStyle w:val="Caption"/>
      </w:pPr>
      <w:r>
        <w:t>Figure 16. Boundary MSE and fitted response jumps in the continuous synthetic world. Hard splitting introduces larger discontinuities than soft routing in all four conditions.</w:t>
      </w:r>
    </w:p>
    <w:p>
      <w:pPr>
        <w:pStyle w:val="Heading3"/>
      </w:pPr>
      <w:r>
        <w:t>5.4.5 Training compatibility kernel</w:t>
      </w:r>
    </w:p>
    <w:p>
      <w:r>
        <w:t>Local held-out transfer is measured by taking a small gradient update in region i and evaluating its effect on validation loss in region j.</w:t>
      </w:r>
    </w:p>
    <w:p>
      <w:r>
        <w:t>K(i→j) = [L_j(θ) − L_j(θ − η∇L_i)] / L_j(θ). Positive K indicates that an update in i improves prediction in j; negative K indicates local negative transfer under that update.</w:t>
      </w:r>
    </w:p>
    <w:p>
      <w:pPr>
        <w:pStyle w:val="Caption"/>
        <w:keepNext/>
      </w:pPr>
      <w:r>
        <w:t>Table 32. Local training transfer.</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Condition</w:t>
            </w:r>
          </w:p>
        </w:tc>
        <w:tc>
          <w:tcPr>
            <w:tcW w:type="dxa" w:w="1722"/>
            <w:vAlign w:val="center"/>
            <w:shd w:fill="F2F2F2"/>
          </w:tcPr>
          <w:p>
            <w:pPr>
              <w:keepNext/>
              <w:spacing w:after="0" w:before="0" w:line="240" w:lineRule="auto"/>
            </w:pPr>
            <w:r>
              <w:rPr>
                <w:rFonts w:ascii="Calibri" w:hAnsi="Calibri"/>
                <w:b/>
                <w:sz w:val="19"/>
              </w:rPr>
              <w:t>Self gain</w:t>
            </w:r>
          </w:p>
        </w:tc>
        <w:tc>
          <w:tcPr>
            <w:tcW w:type="dxa" w:w="1722"/>
            <w:vAlign w:val="center"/>
            <w:shd w:fill="F2F2F2"/>
          </w:tcPr>
          <w:p>
            <w:pPr>
              <w:keepNext/>
              <w:spacing w:after="0" w:before="0" w:line="240" w:lineRule="auto"/>
            </w:pPr>
            <w:r>
              <w:rPr>
                <w:rFonts w:ascii="Calibri" w:hAnsi="Calibri"/>
                <w:b/>
                <w:sz w:val="19"/>
              </w:rPr>
              <w:t>Adjacent transfer</w:t>
            </w:r>
          </w:p>
        </w:tc>
        <w:tc>
          <w:tcPr>
            <w:tcW w:type="dxa" w:w="1722"/>
            <w:vAlign w:val="center"/>
            <w:shd w:fill="F2F2F2"/>
          </w:tcPr>
          <w:p>
            <w:pPr>
              <w:keepNext/>
              <w:spacing w:after="0" w:before="0" w:line="240" w:lineRule="auto"/>
            </w:pPr>
            <w:r>
              <w:rPr>
                <w:rFonts w:ascii="Calibri" w:hAnsi="Calibri"/>
                <w:b/>
                <w:sz w:val="19"/>
              </w:rPr>
              <w:t>Far transfer</w:t>
            </w:r>
          </w:p>
        </w:tc>
        <w:tc>
          <w:tcPr>
            <w:tcW w:type="dxa" w:w="1722"/>
            <w:vAlign w:val="center"/>
            <w:shd w:fill="F2F2F2"/>
          </w:tcPr>
          <w:p>
            <w:pPr>
              <w:keepNext/>
              <w:spacing w:after="0" w:before="0" w:line="240" w:lineRule="auto"/>
            </w:pPr>
            <w:r>
              <w:rPr>
                <w:rFonts w:ascii="Calibri" w:hAnsi="Calibri"/>
                <w:b/>
                <w:sz w:val="19"/>
              </w:rPr>
              <w:t>Negative cells</w:t>
            </w:r>
          </w:p>
        </w:tc>
        <w:tc>
          <w:tcPr>
            <w:tcW w:type="dxa" w:w="1722"/>
            <w:vAlign w:val="center"/>
            <w:shd w:fill="F2F2F2"/>
          </w:tcPr>
          <w:p>
            <w:pPr>
              <w:keepNext/>
              <w:spacing w:after="0" w:before="0" w:line="240" w:lineRule="auto"/>
            </w:pPr>
            <w:r>
              <w:rPr>
                <w:rFonts w:ascii="Calibri" w:hAnsi="Calibri"/>
                <w:b/>
                <w:sz w:val="19"/>
              </w:rPr>
              <w:t>Weakest adjacent edge</w:t>
            </w:r>
          </w:p>
        </w:tc>
      </w:tr>
      <w:tr>
        <w:trPr>
          <w:cantSplit/>
        </w:trPr>
        <w:tc>
          <w:tcPr>
            <w:tcW w:type="dxa" w:w="1613"/>
            <w:vAlign w:val="center"/>
          </w:tcPr>
          <w:p>
            <w:pPr>
              <w:keepNext w:val="0"/>
              <w:spacing w:after="0" w:before="0" w:line="240" w:lineRule="auto"/>
            </w:pPr>
            <w:r>
              <w:rPr>
                <w:rFonts w:ascii="Calibri" w:hAnsi="Calibri"/>
                <w:b w:val="0"/>
                <w:sz w:val="19"/>
              </w:rPr>
              <w:t>broad+dense</w:t>
            </w:r>
          </w:p>
        </w:tc>
        <w:tc>
          <w:tcPr>
            <w:tcW w:type="dxa" w:w="1722"/>
            <w:vAlign w:val="center"/>
          </w:tcPr>
          <w:p>
            <w:pPr>
              <w:keepNext w:val="0"/>
              <w:spacing w:after="0" w:before="0" w:line="240" w:lineRule="auto"/>
              <w:jc w:val="right"/>
            </w:pPr>
            <w:r>
              <w:rPr>
                <w:rFonts w:ascii="Calibri" w:hAnsi="Calibri"/>
                <w:b w:val="0"/>
                <w:sz w:val="19"/>
              </w:rPr>
              <w:t>0.0052</w:t>
            </w:r>
          </w:p>
        </w:tc>
        <w:tc>
          <w:tcPr>
            <w:tcW w:type="dxa" w:w="1722"/>
            <w:vAlign w:val="center"/>
          </w:tcPr>
          <w:p>
            <w:pPr>
              <w:keepNext w:val="0"/>
              <w:spacing w:after="0" w:before="0" w:line="240" w:lineRule="auto"/>
              <w:jc w:val="right"/>
            </w:pPr>
            <w:r>
              <w:rPr>
                <w:rFonts w:ascii="Calibri" w:hAnsi="Calibri"/>
                <w:b w:val="0"/>
                <w:sz w:val="19"/>
              </w:rPr>
              <w:t>+0.0045</w:t>
            </w:r>
          </w:p>
        </w:tc>
        <w:tc>
          <w:tcPr>
            <w:tcW w:type="dxa" w:w="1722"/>
            <w:vAlign w:val="center"/>
          </w:tcPr>
          <w:p>
            <w:pPr>
              <w:keepNext w:val="0"/>
              <w:spacing w:after="0" w:before="0" w:line="240" w:lineRule="auto"/>
              <w:jc w:val="right"/>
            </w:pPr>
            <w:r>
              <w:rPr>
                <w:rFonts w:ascii="Calibri" w:hAnsi="Calibri"/>
                <w:b w:val="0"/>
                <w:sz w:val="19"/>
              </w:rPr>
              <w:t>−0.0049</w:t>
            </w:r>
          </w:p>
        </w:tc>
        <w:tc>
          <w:tcPr>
            <w:tcW w:type="dxa" w:w="1722"/>
            <w:vAlign w:val="center"/>
          </w:tcPr>
          <w:p>
            <w:pPr>
              <w:keepNext w:val="0"/>
              <w:spacing w:after="0" w:before="0" w:line="240" w:lineRule="auto"/>
              <w:jc w:val="right"/>
            </w:pPr>
            <w:r>
              <w:rPr>
                <w:rFonts w:ascii="Calibri" w:hAnsi="Calibri"/>
                <w:b w:val="0"/>
                <w:sz w:val="19"/>
              </w:rPr>
              <w:t>50.0%</w:t>
            </w:r>
          </w:p>
        </w:tc>
        <w:tc>
          <w:tcPr>
            <w:tcW w:type="dxa" w:w="1722"/>
            <w:vAlign w:val="center"/>
          </w:tcPr>
          <w:p>
            <w:pPr>
              <w:keepNext w:val="0"/>
              <w:spacing w:after="0" w:before="0" w:line="240" w:lineRule="auto"/>
              <w:jc w:val="right"/>
            </w:pPr>
            <w:r>
              <w:rPr>
                <w:rFonts w:ascii="Calibri" w:hAnsi="Calibri"/>
                <w:b w:val="0"/>
                <w:sz w:val="19"/>
              </w:rPr>
              <w:t>−0.0007</w:t>
            </w:r>
          </w:p>
        </w:tc>
      </w:tr>
      <w:tr>
        <w:trPr>
          <w:cantSplit/>
        </w:trPr>
        <w:tc>
          <w:tcPr>
            <w:tcW w:type="dxa" w:w="1613"/>
            <w:vAlign w:val="center"/>
          </w:tcPr>
          <w:p>
            <w:pPr>
              <w:keepNext w:val="0"/>
              <w:spacing w:after="0" w:before="0" w:line="240" w:lineRule="auto"/>
            </w:pPr>
            <w:r>
              <w:rPr>
                <w:rFonts w:ascii="Calibri" w:hAnsi="Calibri"/>
                <w:b w:val="0"/>
                <w:sz w:val="19"/>
              </w:rPr>
              <w:t>broad+sparse</w:t>
            </w:r>
          </w:p>
        </w:tc>
        <w:tc>
          <w:tcPr>
            <w:tcW w:type="dxa" w:w="1722"/>
            <w:vAlign w:val="center"/>
          </w:tcPr>
          <w:p>
            <w:pPr>
              <w:keepNext w:val="0"/>
              <w:spacing w:after="0" w:before="0" w:line="240" w:lineRule="auto"/>
              <w:jc w:val="right"/>
            </w:pPr>
            <w:r>
              <w:rPr>
                <w:rFonts w:ascii="Calibri" w:hAnsi="Calibri"/>
                <w:b w:val="0"/>
                <w:sz w:val="19"/>
              </w:rPr>
              <w:t>0.0049</w:t>
            </w:r>
          </w:p>
        </w:tc>
        <w:tc>
          <w:tcPr>
            <w:tcW w:type="dxa" w:w="1722"/>
            <w:vAlign w:val="center"/>
          </w:tcPr>
          <w:p>
            <w:pPr>
              <w:keepNext w:val="0"/>
              <w:spacing w:after="0" w:before="0" w:line="240" w:lineRule="auto"/>
              <w:jc w:val="right"/>
            </w:pPr>
            <w:r>
              <w:rPr>
                <w:rFonts w:ascii="Calibri" w:hAnsi="Calibri"/>
                <w:b w:val="0"/>
                <w:sz w:val="19"/>
              </w:rPr>
              <w:t>+0.0041</w:t>
            </w:r>
          </w:p>
        </w:tc>
        <w:tc>
          <w:tcPr>
            <w:tcW w:type="dxa" w:w="1722"/>
            <w:vAlign w:val="center"/>
          </w:tcPr>
          <w:p>
            <w:pPr>
              <w:keepNext w:val="0"/>
              <w:spacing w:after="0" w:before="0" w:line="240" w:lineRule="auto"/>
              <w:jc w:val="right"/>
            </w:pPr>
            <w:r>
              <w:rPr>
                <w:rFonts w:ascii="Calibri" w:hAnsi="Calibri"/>
                <w:b w:val="0"/>
                <w:sz w:val="19"/>
              </w:rPr>
              <w:t>−0.0044</w:t>
            </w:r>
          </w:p>
        </w:tc>
        <w:tc>
          <w:tcPr>
            <w:tcW w:type="dxa" w:w="1722"/>
            <w:vAlign w:val="center"/>
          </w:tcPr>
          <w:p>
            <w:pPr>
              <w:keepNext w:val="0"/>
              <w:spacing w:after="0" w:before="0" w:line="240" w:lineRule="auto"/>
              <w:jc w:val="right"/>
            </w:pPr>
            <w:r>
              <w:rPr>
                <w:rFonts w:ascii="Calibri" w:hAnsi="Calibri"/>
                <w:b w:val="0"/>
                <w:sz w:val="19"/>
              </w:rPr>
              <w:t>48.4%</w:t>
            </w:r>
          </w:p>
        </w:tc>
        <w:tc>
          <w:tcPr>
            <w:tcW w:type="dxa" w:w="1722"/>
            <w:vAlign w:val="center"/>
          </w:tcPr>
          <w:p>
            <w:pPr>
              <w:keepNext w:val="0"/>
              <w:spacing w:after="0" w:before="0" w:line="240" w:lineRule="auto"/>
              <w:jc w:val="right"/>
            </w:pPr>
            <w:r>
              <w:rPr>
                <w:rFonts w:ascii="Calibri" w:hAnsi="Calibri"/>
                <w:b w:val="0"/>
                <w:sz w:val="19"/>
              </w:rPr>
              <w:t>≈0</w:t>
            </w:r>
          </w:p>
        </w:tc>
      </w:tr>
      <w:tr>
        <w:trPr>
          <w:cantSplit/>
        </w:trPr>
        <w:tc>
          <w:tcPr>
            <w:tcW w:type="dxa" w:w="1613"/>
            <w:vAlign w:val="center"/>
          </w:tcPr>
          <w:p>
            <w:pPr>
              <w:keepNext w:val="0"/>
              <w:spacing w:after="0" w:before="0" w:line="240" w:lineRule="auto"/>
            </w:pPr>
            <w:r>
              <w:rPr>
                <w:rFonts w:ascii="Calibri" w:hAnsi="Calibri"/>
                <w:b w:val="0"/>
                <w:sz w:val="19"/>
              </w:rPr>
              <w:t>sharp+dense</w:t>
            </w:r>
          </w:p>
        </w:tc>
        <w:tc>
          <w:tcPr>
            <w:tcW w:type="dxa" w:w="1722"/>
            <w:vAlign w:val="center"/>
          </w:tcPr>
          <w:p>
            <w:pPr>
              <w:keepNext w:val="0"/>
              <w:spacing w:after="0" w:before="0" w:line="240" w:lineRule="auto"/>
              <w:jc w:val="right"/>
            </w:pPr>
            <w:r>
              <w:rPr>
                <w:rFonts w:ascii="Calibri" w:hAnsi="Calibri"/>
                <w:b w:val="0"/>
                <w:sz w:val="19"/>
              </w:rPr>
              <w:t>0.0076</w:t>
            </w:r>
          </w:p>
        </w:tc>
        <w:tc>
          <w:tcPr>
            <w:tcW w:type="dxa" w:w="1722"/>
            <w:vAlign w:val="center"/>
          </w:tcPr>
          <w:p>
            <w:pPr>
              <w:keepNext w:val="0"/>
              <w:spacing w:after="0" w:before="0" w:line="240" w:lineRule="auto"/>
              <w:jc w:val="right"/>
            </w:pPr>
            <w:r>
              <w:rPr>
                <w:rFonts w:ascii="Calibri" w:hAnsi="Calibri"/>
                <w:b w:val="0"/>
                <w:sz w:val="19"/>
              </w:rPr>
              <w:t>+0.0033</w:t>
            </w:r>
          </w:p>
        </w:tc>
        <w:tc>
          <w:tcPr>
            <w:tcW w:type="dxa" w:w="1722"/>
            <w:vAlign w:val="center"/>
          </w:tcPr>
          <w:p>
            <w:pPr>
              <w:keepNext w:val="0"/>
              <w:spacing w:after="0" w:before="0" w:line="240" w:lineRule="auto"/>
              <w:jc w:val="right"/>
            </w:pPr>
            <w:r>
              <w:rPr>
                <w:rFonts w:ascii="Calibri" w:hAnsi="Calibri"/>
                <w:b w:val="0"/>
                <w:sz w:val="19"/>
              </w:rPr>
              <w:t>−0.0021</w:t>
            </w:r>
          </w:p>
        </w:tc>
        <w:tc>
          <w:tcPr>
            <w:tcW w:type="dxa" w:w="1722"/>
            <w:vAlign w:val="center"/>
          </w:tcPr>
          <w:p>
            <w:pPr>
              <w:keepNext w:val="0"/>
              <w:spacing w:after="0" w:before="0" w:line="240" w:lineRule="auto"/>
              <w:jc w:val="right"/>
            </w:pPr>
            <w:r>
              <w:rPr>
                <w:rFonts w:ascii="Calibri" w:hAnsi="Calibri"/>
                <w:b w:val="0"/>
                <w:sz w:val="19"/>
              </w:rPr>
              <w:t>51.6%</w:t>
            </w:r>
          </w:p>
        </w:tc>
        <w:tc>
          <w:tcPr>
            <w:tcW w:type="dxa" w:w="1722"/>
            <w:vAlign w:val="center"/>
          </w:tcPr>
          <w:p>
            <w:pPr>
              <w:keepNext w:val="0"/>
              <w:spacing w:after="0" w:before="0" w:line="240" w:lineRule="auto"/>
              <w:jc w:val="right"/>
            </w:pPr>
            <w:r>
              <w:rPr>
                <w:rFonts w:ascii="Calibri" w:hAnsi="Calibri"/>
                <w:b w:val="0"/>
                <w:sz w:val="19"/>
              </w:rPr>
              <w:t>−0.0054</w:t>
            </w:r>
          </w:p>
        </w:tc>
      </w:tr>
      <w:tr>
        <w:trPr>
          <w:cantSplit/>
        </w:trPr>
        <w:tc>
          <w:tcPr>
            <w:tcW w:type="dxa" w:w="1613"/>
            <w:vAlign w:val="center"/>
          </w:tcPr>
          <w:p>
            <w:pPr>
              <w:keepNext/>
              <w:spacing w:after="0" w:before="0" w:line="240" w:lineRule="auto"/>
            </w:pPr>
            <w:r>
              <w:rPr>
                <w:rFonts w:ascii="Calibri" w:hAnsi="Calibri"/>
                <w:b w:val="0"/>
                <w:sz w:val="19"/>
              </w:rPr>
              <w:t>sharp+sparse</w:t>
            </w:r>
          </w:p>
        </w:tc>
        <w:tc>
          <w:tcPr>
            <w:tcW w:type="dxa" w:w="1722"/>
            <w:vAlign w:val="center"/>
          </w:tcPr>
          <w:p>
            <w:pPr>
              <w:keepNext/>
              <w:spacing w:after="0" w:before="0" w:line="240" w:lineRule="auto"/>
              <w:jc w:val="right"/>
            </w:pPr>
            <w:r>
              <w:rPr>
                <w:rFonts w:ascii="Calibri" w:hAnsi="Calibri"/>
                <w:b w:val="0"/>
                <w:sz w:val="19"/>
              </w:rPr>
              <w:t>0.0071</w:t>
            </w:r>
          </w:p>
        </w:tc>
        <w:tc>
          <w:tcPr>
            <w:tcW w:type="dxa" w:w="1722"/>
            <w:vAlign w:val="center"/>
          </w:tcPr>
          <w:p>
            <w:pPr>
              <w:keepNext/>
              <w:spacing w:after="0" w:before="0" w:line="240" w:lineRule="auto"/>
              <w:jc w:val="right"/>
            </w:pPr>
            <w:r>
              <w:rPr>
                <w:rFonts w:ascii="Calibri" w:hAnsi="Calibri"/>
                <w:b w:val="0"/>
                <w:sz w:val="19"/>
              </w:rPr>
              <w:t>+0.0044</w:t>
            </w:r>
          </w:p>
        </w:tc>
        <w:tc>
          <w:tcPr>
            <w:tcW w:type="dxa" w:w="1722"/>
            <w:vAlign w:val="center"/>
          </w:tcPr>
          <w:p>
            <w:pPr>
              <w:keepNext/>
              <w:spacing w:after="0" w:before="0" w:line="240" w:lineRule="auto"/>
              <w:jc w:val="right"/>
            </w:pPr>
            <w:r>
              <w:rPr>
                <w:rFonts w:ascii="Calibri" w:hAnsi="Calibri"/>
                <w:b w:val="0"/>
                <w:sz w:val="19"/>
              </w:rPr>
              <w:t>−0.0033</w:t>
            </w:r>
          </w:p>
        </w:tc>
        <w:tc>
          <w:tcPr>
            <w:tcW w:type="dxa" w:w="1722"/>
            <w:vAlign w:val="center"/>
          </w:tcPr>
          <w:p>
            <w:pPr>
              <w:keepNext/>
              <w:spacing w:after="0" w:before="0" w:line="240" w:lineRule="auto"/>
              <w:jc w:val="right"/>
            </w:pPr>
            <w:r>
              <w:rPr>
                <w:rFonts w:ascii="Calibri" w:hAnsi="Calibri"/>
                <w:b w:val="0"/>
                <w:sz w:val="19"/>
              </w:rPr>
              <w:t>51.6%</w:t>
            </w:r>
          </w:p>
        </w:tc>
        <w:tc>
          <w:tcPr>
            <w:tcW w:type="dxa" w:w="1722"/>
            <w:vAlign w:val="center"/>
          </w:tcPr>
          <w:p>
            <w:pPr>
              <w:keepNext/>
              <w:spacing w:after="0" w:before="0" w:line="240" w:lineRule="auto"/>
              <w:jc w:val="right"/>
            </w:pPr>
            <w:r>
              <w:rPr>
                <w:rFonts w:ascii="Calibri" w:hAnsi="Calibri"/>
                <w:b w:val="0"/>
                <w:sz w:val="19"/>
              </w:rPr>
              <w:t>−0.0052</w:t>
            </w:r>
          </w:p>
        </w:tc>
      </w:tr>
    </w:tbl>
    <w:p>
      <w:pPr>
        <w:keepLines/>
        <w:spacing w:before="60" w:after="120"/>
      </w:pPr>
      <w:r>
        <w:rPr>
          <w:sz w:val="18"/>
        </w:rPr>
        <w:t>Controlled simulation.</w:t>
      </w:r>
    </w:p>
    <w:p>
      <w:r>
        <w:t>Across the four strongly heterogeneous conditions, adjacent regions generally help one another and distant regions interfere. The weakest adjacent edge occurs near the centre of the continuum, between bins 3 and 4. This supports local parameter sharing along a continuum rather than assuming two naturally isolated clusters.</w:t>
      </w:r>
    </w:p>
    <w:p>
      <w:pPr>
        <w:keepNext/>
        <w:spacing w:after="60"/>
        <w:jc w:val="center"/>
      </w:pPr>
      <w:r>
        <w:drawing>
          <wp:inline xmlns:a="http://schemas.openxmlformats.org/drawingml/2006/main" xmlns:pic="http://schemas.openxmlformats.org/drawingml/2006/picture">
            <wp:extent cx="5992238" cy="5120640"/>
            <wp:docPr id="17" name="Picture 17"/>
            <wp:cNvGraphicFramePr>
              <a:graphicFrameLocks noChangeAspect="1"/>
            </wp:cNvGraphicFramePr>
            <a:graphic>
              <a:graphicData uri="http://schemas.openxmlformats.org/drawingml/2006/picture">
                <pic:pic>
                  <pic:nvPicPr>
                    <pic:cNvPr id="0" name="17_image17.png"/>
                    <pic:cNvPicPr/>
                  </pic:nvPicPr>
                  <pic:blipFill>
                    <a:blip r:embed="rId30"/>
                    <a:stretch>
                      <a:fillRect/>
                    </a:stretch>
                  </pic:blipFill>
                  <pic:spPr>
                    <a:xfrm>
                      <a:off x="0" y="0"/>
                      <a:ext cx="5992238" cy="5120640"/>
                    </a:xfrm>
                    <a:prstGeom prst="rect"/>
                  </pic:spPr>
                </pic:pic>
              </a:graphicData>
            </a:graphic>
          </wp:inline>
        </w:drawing>
      </w:r>
    </w:p>
    <w:p>
      <w:pPr>
        <w:pStyle w:val="Caption"/>
      </w:pPr>
      <w:r>
        <w:t>Figure 17. Training compatibility in the sharp+dense synthetic condition. Cells measure the change in held-out loss following a local update. Adjacent regions tend to share useful information; distant regions show negative transfer.</w:t>
      </w:r>
    </w:p>
    <w:p>
      <w:pPr>
        <w:pStyle w:val="Heading3"/>
      </w:pPr>
      <w:r>
        <w:t>5.4.6 Generator-contrast scan</w:t>
      </w:r>
    </w:p>
    <w:p>
      <w:pPr>
        <w:pStyle w:val="Caption"/>
        <w:keepNext/>
      </w:pPr>
      <w:r>
        <w:t>Table 33. Generator-contrast scan.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435"/>
        <w:gridCol w:w="1435"/>
        <w:gridCol w:w="1435"/>
        <w:gridCol w:w="1435"/>
        <w:gridCol w:w="1435"/>
        <w:gridCol w:w="1435"/>
      </w:tblGrid>
      <w:tr>
        <w:trPr>
          <w:cantSplit/>
          <w:tblHeader/>
        </w:trPr>
        <w:tc>
          <w:tcPr>
            <w:tcW w:type="dxa" w:w="1613"/>
            <w:vAlign w:val="center"/>
            <w:shd w:fill="F2F2F2"/>
          </w:tcPr>
          <w:p>
            <w:pPr>
              <w:keepNext/>
              <w:spacing w:after="0" w:before="0" w:line="240" w:lineRule="auto"/>
            </w:pPr>
            <w:r>
              <w:rPr>
                <w:rFonts w:ascii="Calibri" w:hAnsi="Calibri"/>
                <w:b/>
                <w:sz w:val="18"/>
              </w:rPr>
              <w:t>Contrast</w:t>
            </w:r>
          </w:p>
        </w:tc>
        <w:tc>
          <w:tcPr>
            <w:tcW w:type="dxa" w:w="1435"/>
            <w:vAlign w:val="center"/>
            <w:shd w:fill="F2F2F2"/>
          </w:tcPr>
          <w:p>
            <w:pPr>
              <w:keepNext/>
              <w:spacing w:after="0" w:before="0" w:line="240" w:lineRule="auto"/>
            </w:pPr>
            <w:r>
              <w:rPr>
                <w:rFonts w:ascii="Calibri" w:hAnsi="Calibri"/>
                <w:b/>
                <w:sz w:val="18"/>
              </w:rPr>
              <w:t>Adjacent transfer</w:t>
            </w:r>
          </w:p>
        </w:tc>
        <w:tc>
          <w:tcPr>
            <w:tcW w:type="dxa" w:w="1435"/>
            <w:vAlign w:val="center"/>
            <w:shd w:fill="F2F2F2"/>
          </w:tcPr>
          <w:p>
            <w:pPr>
              <w:keepNext/>
              <w:spacing w:after="0" w:before="0" w:line="240" w:lineRule="auto"/>
            </w:pPr>
            <w:r>
              <w:rPr>
                <w:rFonts w:ascii="Calibri" w:hAnsi="Calibri"/>
                <w:b/>
                <w:sz w:val="18"/>
              </w:rPr>
              <w:t>Far transfer</w:t>
            </w:r>
          </w:p>
        </w:tc>
        <w:tc>
          <w:tcPr>
            <w:tcW w:type="dxa" w:w="1435"/>
            <w:vAlign w:val="center"/>
            <w:shd w:fill="F2F2F2"/>
          </w:tcPr>
          <w:p>
            <w:pPr>
              <w:keepNext/>
              <w:spacing w:after="0" w:before="0" w:line="240" w:lineRule="auto"/>
            </w:pPr>
            <w:r>
              <w:rPr>
                <w:rFonts w:ascii="Calibri" w:hAnsi="Calibri"/>
                <w:b/>
                <w:sz w:val="18"/>
              </w:rPr>
              <w:t>Negative fraction</w:t>
            </w:r>
          </w:p>
        </w:tc>
        <w:tc>
          <w:tcPr>
            <w:tcW w:type="dxa" w:w="1435"/>
            <w:vAlign w:val="center"/>
            <w:shd w:fill="F2F2F2"/>
          </w:tcPr>
          <w:p>
            <w:pPr>
              <w:keepNext/>
              <w:spacing w:after="0" w:before="0" w:line="240" w:lineRule="auto"/>
            </w:pPr>
            <w:r>
              <w:rPr>
                <w:rFonts w:ascii="Calibri" w:hAnsi="Calibri"/>
                <w:b/>
                <w:sz w:val="18"/>
              </w:rPr>
              <w:t>Mono MSE</w:t>
            </w:r>
          </w:p>
        </w:tc>
        <w:tc>
          <w:tcPr>
            <w:tcW w:type="dxa" w:w="1435"/>
            <w:vAlign w:val="center"/>
            <w:shd w:fill="F2F2F2"/>
          </w:tcPr>
          <w:p>
            <w:pPr>
              <w:keepNext/>
              <w:spacing w:after="0" w:before="0" w:line="240" w:lineRule="auto"/>
            </w:pPr>
            <w:r>
              <w:rPr>
                <w:rFonts w:ascii="Calibri" w:hAnsi="Calibri"/>
                <w:b/>
                <w:sz w:val="18"/>
              </w:rPr>
              <w:t>Soft MSE</w:t>
            </w:r>
          </w:p>
        </w:tc>
        <w:tc>
          <w:tcPr>
            <w:tcW w:type="dxa" w:w="1435"/>
            <w:vAlign w:val="center"/>
            <w:shd w:fill="F2F2F2"/>
          </w:tcPr>
          <w:p>
            <w:pPr>
              <w:keepNext/>
              <w:spacing w:after="0" w:before="0" w:line="240" w:lineRule="auto"/>
            </w:pPr>
            <w:r>
              <w:rPr>
                <w:rFonts w:ascii="Calibri" w:hAnsi="Calibri"/>
                <w:b/>
                <w:sz w:val="18"/>
              </w:rPr>
              <w:t>Soft gain</w:t>
            </w:r>
          </w:p>
        </w:tc>
      </w:tr>
      <w:tr>
        <w:trPr>
          <w:cantSplit/>
        </w:trPr>
        <w:tc>
          <w:tcPr>
            <w:tcW w:type="dxa" w:w="1613"/>
            <w:vAlign w:val="center"/>
          </w:tcPr>
          <w:p>
            <w:pPr>
              <w:keepNext w:val="0"/>
              <w:spacing w:after="0" w:before="0" w:line="240" w:lineRule="auto"/>
              <w:jc w:val="right"/>
            </w:pPr>
            <w:r>
              <w:rPr>
                <w:rFonts w:ascii="Calibri" w:hAnsi="Calibri"/>
                <w:b w:val="0"/>
                <w:sz w:val="18"/>
              </w:rPr>
              <w:t>0.15</w:t>
            </w:r>
          </w:p>
        </w:tc>
        <w:tc>
          <w:tcPr>
            <w:tcW w:type="dxa" w:w="1435"/>
            <w:vAlign w:val="center"/>
          </w:tcPr>
          <w:p>
            <w:pPr>
              <w:keepNext w:val="0"/>
              <w:spacing w:after="0" w:before="0" w:line="240" w:lineRule="auto"/>
              <w:jc w:val="right"/>
            </w:pPr>
            <w:r>
              <w:rPr>
                <w:rFonts w:ascii="Calibri" w:hAnsi="Calibri"/>
                <w:b w:val="0"/>
                <w:sz w:val="18"/>
              </w:rPr>
              <w:t>+0.0063</w:t>
            </w:r>
          </w:p>
        </w:tc>
        <w:tc>
          <w:tcPr>
            <w:tcW w:type="dxa" w:w="1435"/>
            <w:vAlign w:val="center"/>
          </w:tcPr>
          <w:p>
            <w:pPr>
              <w:keepNext w:val="0"/>
              <w:spacing w:after="0" w:before="0" w:line="240" w:lineRule="auto"/>
              <w:jc w:val="right"/>
            </w:pPr>
            <w:r>
              <w:rPr>
                <w:rFonts w:ascii="Calibri" w:hAnsi="Calibri"/>
                <w:b w:val="0"/>
                <w:sz w:val="18"/>
              </w:rPr>
              <w:t>+0.0019</w:t>
            </w:r>
          </w:p>
        </w:tc>
        <w:tc>
          <w:tcPr>
            <w:tcW w:type="dxa" w:w="1435"/>
            <w:vAlign w:val="center"/>
          </w:tcPr>
          <w:p>
            <w:pPr>
              <w:keepNext w:val="0"/>
              <w:spacing w:after="0" w:before="0" w:line="240" w:lineRule="auto"/>
              <w:jc w:val="right"/>
            </w:pPr>
            <w:r>
              <w:rPr>
                <w:rFonts w:ascii="Calibri" w:hAnsi="Calibri"/>
                <w:b w:val="0"/>
                <w:sz w:val="18"/>
              </w:rPr>
              <w:t>4.7%</w:t>
            </w:r>
          </w:p>
        </w:tc>
        <w:tc>
          <w:tcPr>
            <w:tcW w:type="dxa" w:w="1435"/>
            <w:vAlign w:val="center"/>
          </w:tcPr>
          <w:p>
            <w:pPr>
              <w:keepNext w:val="0"/>
              <w:spacing w:after="0" w:before="0" w:line="240" w:lineRule="auto"/>
              <w:jc w:val="right"/>
            </w:pPr>
            <w:r>
              <w:rPr>
                <w:rFonts w:ascii="Calibri" w:hAnsi="Calibri"/>
                <w:b w:val="0"/>
                <w:sz w:val="18"/>
              </w:rPr>
              <w:t>0.0351</w:t>
            </w:r>
          </w:p>
        </w:tc>
        <w:tc>
          <w:tcPr>
            <w:tcW w:type="dxa" w:w="1435"/>
            <w:vAlign w:val="center"/>
          </w:tcPr>
          <w:p>
            <w:pPr>
              <w:keepNext w:val="0"/>
              <w:spacing w:after="0" w:before="0" w:line="240" w:lineRule="auto"/>
              <w:jc w:val="right"/>
            </w:pPr>
            <w:r>
              <w:rPr>
                <w:rFonts w:ascii="Calibri" w:hAnsi="Calibri"/>
                <w:b w:val="0"/>
                <w:sz w:val="18"/>
              </w:rPr>
              <w:t>0.0315</w:t>
            </w:r>
          </w:p>
        </w:tc>
        <w:tc>
          <w:tcPr>
            <w:tcW w:type="dxa" w:w="1435"/>
            <w:vAlign w:val="center"/>
          </w:tcPr>
          <w:p>
            <w:pPr>
              <w:keepNext w:val="0"/>
              <w:spacing w:after="0" w:before="0" w:line="240" w:lineRule="auto"/>
              <w:jc w:val="right"/>
            </w:pPr>
            <w:r>
              <w:rPr>
                <w:rFonts w:ascii="Calibri" w:hAnsi="Calibri"/>
                <w:b w:val="0"/>
                <w:sz w:val="18"/>
              </w:rPr>
              <w:t>10.2%</w:t>
            </w:r>
          </w:p>
        </w:tc>
      </w:tr>
      <w:tr>
        <w:trPr>
          <w:cantSplit/>
        </w:trPr>
        <w:tc>
          <w:tcPr>
            <w:tcW w:type="dxa" w:w="1613"/>
            <w:vAlign w:val="center"/>
          </w:tcPr>
          <w:p>
            <w:pPr>
              <w:keepNext w:val="0"/>
              <w:spacing w:after="0" w:before="0" w:line="240" w:lineRule="auto"/>
              <w:jc w:val="right"/>
            </w:pPr>
            <w:r>
              <w:rPr>
                <w:rFonts w:ascii="Calibri" w:hAnsi="Calibri"/>
                <w:b w:val="0"/>
                <w:sz w:val="18"/>
              </w:rPr>
              <w:t>0.45</w:t>
            </w:r>
          </w:p>
        </w:tc>
        <w:tc>
          <w:tcPr>
            <w:tcW w:type="dxa" w:w="1435"/>
            <w:vAlign w:val="center"/>
          </w:tcPr>
          <w:p>
            <w:pPr>
              <w:keepNext w:val="0"/>
              <w:spacing w:after="0" w:before="0" w:line="240" w:lineRule="auto"/>
              <w:jc w:val="right"/>
            </w:pPr>
            <w:r>
              <w:rPr>
                <w:rFonts w:ascii="Calibri" w:hAnsi="Calibri"/>
                <w:b w:val="0"/>
                <w:sz w:val="18"/>
              </w:rPr>
              <w:t>+0.0047</w:t>
            </w:r>
          </w:p>
        </w:tc>
        <w:tc>
          <w:tcPr>
            <w:tcW w:type="dxa" w:w="1435"/>
            <w:vAlign w:val="center"/>
          </w:tcPr>
          <w:p>
            <w:pPr>
              <w:keepNext w:val="0"/>
              <w:spacing w:after="0" w:before="0" w:line="240" w:lineRule="auto"/>
              <w:jc w:val="right"/>
            </w:pPr>
            <w:r>
              <w:rPr>
                <w:rFonts w:ascii="Calibri" w:hAnsi="Calibri"/>
                <w:b w:val="0"/>
                <w:sz w:val="18"/>
              </w:rPr>
              <w:t>−0.0004</w:t>
            </w:r>
          </w:p>
        </w:tc>
        <w:tc>
          <w:tcPr>
            <w:tcW w:type="dxa" w:w="1435"/>
            <w:vAlign w:val="center"/>
          </w:tcPr>
          <w:p>
            <w:pPr>
              <w:keepNext w:val="0"/>
              <w:spacing w:after="0" w:before="0" w:line="240" w:lineRule="auto"/>
              <w:jc w:val="right"/>
            </w:pPr>
            <w:r>
              <w:rPr>
                <w:rFonts w:ascii="Calibri" w:hAnsi="Calibri"/>
                <w:b w:val="0"/>
                <w:sz w:val="18"/>
              </w:rPr>
              <w:t>20.3%</w:t>
            </w:r>
          </w:p>
        </w:tc>
        <w:tc>
          <w:tcPr>
            <w:tcW w:type="dxa" w:w="1435"/>
            <w:vAlign w:val="center"/>
          </w:tcPr>
          <w:p>
            <w:pPr>
              <w:keepNext w:val="0"/>
              <w:spacing w:after="0" w:before="0" w:line="240" w:lineRule="auto"/>
              <w:jc w:val="right"/>
            </w:pPr>
            <w:r>
              <w:rPr>
                <w:rFonts w:ascii="Calibri" w:hAnsi="Calibri"/>
                <w:b w:val="0"/>
                <w:sz w:val="18"/>
              </w:rPr>
              <w:t>0.0423</w:t>
            </w:r>
          </w:p>
        </w:tc>
        <w:tc>
          <w:tcPr>
            <w:tcW w:type="dxa" w:w="1435"/>
            <w:vAlign w:val="center"/>
          </w:tcPr>
          <w:p>
            <w:pPr>
              <w:keepNext w:val="0"/>
              <w:spacing w:after="0" w:before="0" w:line="240" w:lineRule="auto"/>
              <w:jc w:val="right"/>
            </w:pPr>
            <w:r>
              <w:rPr>
                <w:rFonts w:ascii="Calibri" w:hAnsi="Calibri"/>
                <w:b w:val="0"/>
                <w:sz w:val="18"/>
              </w:rPr>
              <w:t>0.0362</w:t>
            </w:r>
          </w:p>
        </w:tc>
        <w:tc>
          <w:tcPr>
            <w:tcW w:type="dxa" w:w="1435"/>
            <w:vAlign w:val="center"/>
          </w:tcPr>
          <w:p>
            <w:pPr>
              <w:keepNext w:val="0"/>
              <w:spacing w:after="0" w:before="0" w:line="240" w:lineRule="auto"/>
              <w:jc w:val="right"/>
            </w:pPr>
            <w:r>
              <w:rPr>
                <w:rFonts w:ascii="Calibri" w:hAnsi="Calibri"/>
                <w:b w:val="0"/>
                <w:sz w:val="18"/>
              </w:rPr>
              <w:t>14.4%</w:t>
            </w:r>
          </w:p>
        </w:tc>
      </w:tr>
      <w:tr>
        <w:trPr>
          <w:cantSplit/>
        </w:trPr>
        <w:tc>
          <w:tcPr>
            <w:tcW w:type="dxa" w:w="1613"/>
            <w:vAlign w:val="center"/>
          </w:tcPr>
          <w:p>
            <w:pPr>
              <w:keepNext w:val="0"/>
              <w:spacing w:after="0" w:before="0" w:line="240" w:lineRule="auto"/>
              <w:jc w:val="right"/>
            </w:pPr>
            <w:r>
              <w:rPr>
                <w:rFonts w:ascii="Calibri" w:hAnsi="Calibri"/>
                <w:b w:val="0"/>
                <w:sz w:val="18"/>
              </w:rPr>
              <w:t>0.90</w:t>
            </w:r>
          </w:p>
        </w:tc>
        <w:tc>
          <w:tcPr>
            <w:tcW w:type="dxa" w:w="1435"/>
            <w:vAlign w:val="center"/>
          </w:tcPr>
          <w:p>
            <w:pPr>
              <w:keepNext w:val="0"/>
              <w:spacing w:after="0" w:before="0" w:line="240" w:lineRule="auto"/>
              <w:jc w:val="right"/>
            </w:pPr>
            <w:r>
              <w:rPr>
                <w:rFonts w:ascii="Calibri" w:hAnsi="Calibri"/>
                <w:b w:val="0"/>
                <w:sz w:val="18"/>
              </w:rPr>
              <w:t>+0.0062</w:t>
            </w:r>
          </w:p>
        </w:tc>
        <w:tc>
          <w:tcPr>
            <w:tcW w:type="dxa" w:w="1435"/>
            <w:vAlign w:val="center"/>
          </w:tcPr>
          <w:p>
            <w:pPr>
              <w:keepNext w:val="0"/>
              <w:spacing w:after="0" w:before="0" w:line="240" w:lineRule="auto"/>
              <w:jc w:val="right"/>
            </w:pPr>
            <w:r>
              <w:rPr>
                <w:rFonts w:ascii="Calibri" w:hAnsi="Calibri"/>
                <w:b w:val="0"/>
                <w:sz w:val="18"/>
              </w:rPr>
              <w:t>−0.0020</w:t>
            </w:r>
          </w:p>
        </w:tc>
        <w:tc>
          <w:tcPr>
            <w:tcW w:type="dxa" w:w="1435"/>
            <w:vAlign w:val="center"/>
          </w:tcPr>
          <w:p>
            <w:pPr>
              <w:keepNext w:val="0"/>
              <w:spacing w:after="0" w:before="0" w:line="240" w:lineRule="auto"/>
              <w:jc w:val="right"/>
            </w:pPr>
            <w:r>
              <w:rPr>
                <w:rFonts w:ascii="Calibri" w:hAnsi="Calibri"/>
                <w:b w:val="0"/>
                <w:sz w:val="18"/>
              </w:rPr>
              <w:t>29.7%</w:t>
            </w:r>
          </w:p>
        </w:tc>
        <w:tc>
          <w:tcPr>
            <w:tcW w:type="dxa" w:w="1435"/>
            <w:vAlign w:val="center"/>
          </w:tcPr>
          <w:p>
            <w:pPr>
              <w:keepNext w:val="0"/>
              <w:spacing w:after="0" w:before="0" w:line="240" w:lineRule="auto"/>
              <w:jc w:val="right"/>
            </w:pPr>
            <w:r>
              <w:rPr>
                <w:rFonts w:ascii="Calibri" w:hAnsi="Calibri"/>
                <w:b w:val="0"/>
                <w:sz w:val="18"/>
              </w:rPr>
              <w:t>0.0692</w:t>
            </w:r>
          </w:p>
        </w:tc>
        <w:tc>
          <w:tcPr>
            <w:tcW w:type="dxa" w:w="1435"/>
            <w:vAlign w:val="center"/>
          </w:tcPr>
          <w:p>
            <w:pPr>
              <w:keepNext w:val="0"/>
              <w:spacing w:after="0" w:before="0" w:line="240" w:lineRule="auto"/>
              <w:jc w:val="right"/>
            </w:pPr>
            <w:r>
              <w:rPr>
                <w:rFonts w:ascii="Calibri" w:hAnsi="Calibri"/>
                <w:b w:val="0"/>
                <w:sz w:val="18"/>
              </w:rPr>
              <w:t>0.0535</w:t>
            </w:r>
          </w:p>
        </w:tc>
        <w:tc>
          <w:tcPr>
            <w:tcW w:type="dxa" w:w="1435"/>
            <w:vAlign w:val="center"/>
          </w:tcPr>
          <w:p>
            <w:pPr>
              <w:keepNext w:val="0"/>
              <w:spacing w:after="0" w:before="0" w:line="240" w:lineRule="auto"/>
              <w:jc w:val="right"/>
            </w:pPr>
            <w:r>
              <w:rPr>
                <w:rFonts w:ascii="Calibri" w:hAnsi="Calibri"/>
                <w:b w:val="0"/>
                <w:sz w:val="18"/>
              </w:rPr>
              <w:t>22.7%</w:t>
            </w:r>
          </w:p>
        </w:tc>
      </w:tr>
      <w:tr>
        <w:trPr>
          <w:cantSplit/>
        </w:trPr>
        <w:tc>
          <w:tcPr>
            <w:tcW w:type="dxa" w:w="1613"/>
            <w:vAlign w:val="center"/>
          </w:tcPr>
          <w:p>
            <w:pPr>
              <w:keepNext w:val="0"/>
              <w:spacing w:after="0" w:before="0" w:line="240" w:lineRule="auto"/>
              <w:jc w:val="right"/>
            </w:pPr>
            <w:r>
              <w:rPr>
                <w:rFonts w:ascii="Calibri" w:hAnsi="Calibri"/>
                <w:b w:val="0"/>
                <w:sz w:val="18"/>
              </w:rPr>
              <w:t>1.50</w:t>
            </w:r>
          </w:p>
        </w:tc>
        <w:tc>
          <w:tcPr>
            <w:tcW w:type="dxa" w:w="1435"/>
            <w:vAlign w:val="center"/>
          </w:tcPr>
          <w:p>
            <w:pPr>
              <w:keepNext w:val="0"/>
              <w:spacing w:after="0" w:before="0" w:line="240" w:lineRule="auto"/>
              <w:jc w:val="right"/>
            </w:pPr>
            <w:r>
              <w:rPr>
                <w:rFonts w:ascii="Calibri" w:hAnsi="Calibri"/>
                <w:b w:val="0"/>
                <w:sz w:val="18"/>
              </w:rPr>
              <w:t>+0.0060</w:t>
            </w:r>
          </w:p>
        </w:tc>
        <w:tc>
          <w:tcPr>
            <w:tcW w:type="dxa" w:w="1435"/>
            <w:vAlign w:val="center"/>
          </w:tcPr>
          <w:p>
            <w:pPr>
              <w:keepNext w:val="0"/>
              <w:spacing w:after="0" w:before="0" w:line="240" w:lineRule="auto"/>
              <w:jc w:val="right"/>
            </w:pPr>
            <w:r>
              <w:rPr>
                <w:rFonts w:ascii="Calibri" w:hAnsi="Calibri"/>
                <w:b w:val="0"/>
                <w:sz w:val="18"/>
              </w:rPr>
              <w:t>−0.0039</w:t>
            </w:r>
          </w:p>
        </w:tc>
        <w:tc>
          <w:tcPr>
            <w:tcW w:type="dxa" w:w="1435"/>
            <w:vAlign w:val="center"/>
          </w:tcPr>
          <w:p>
            <w:pPr>
              <w:keepNext w:val="0"/>
              <w:spacing w:after="0" w:before="0" w:line="240" w:lineRule="auto"/>
              <w:jc w:val="right"/>
            </w:pPr>
            <w:r>
              <w:rPr>
                <w:rFonts w:ascii="Calibri" w:hAnsi="Calibri"/>
                <w:b w:val="0"/>
                <w:sz w:val="18"/>
              </w:rPr>
              <w:t>39.1%</w:t>
            </w:r>
          </w:p>
        </w:tc>
        <w:tc>
          <w:tcPr>
            <w:tcW w:type="dxa" w:w="1435"/>
            <w:vAlign w:val="center"/>
          </w:tcPr>
          <w:p>
            <w:pPr>
              <w:keepNext w:val="0"/>
              <w:spacing w:after="0" w:before="0" w:line="240" w:lineRule="auto"/>
              <w:jc w:val="right"/>
            </w:pPr>
            <w:r>
              <w:rPr>
                <w:rFonts w:ascii="Calibri" w:hAnsi="Calibri"/>
                <w:b w:val="0"/>
                <w:sz w:val="18"/>
              </w:rPr>
              <w:t>0.1101</w:t>
            </w:r>
          </w:p>
        </w:tc>
        <w:tc>
          <w:tcPr>
            <w:tcW w:type="dxa" w:w="1435"/>
            <w:vAlign w:val="center"/>
          </w:tcPr>
          <w:p>
            <w:pPr>
              <w:keepNext w:val="0"/>
              <w:spacing w:after="0" w:before="0" w:line="240" w:lineRule="auto"/>
              <w:jc w:val="right"/>
            </w:pPr>
            <w:r>
              <w:rPr>
                <w:rFonts w:ascii="Calibri" w:hAnsi="Calibri"/>
                <w:b w:val="0"/>
                <w:sz w:val="18"/>
              </w:rPr>
              <w:t>0.0739</w:t>
            </w:r>
          </w:p>
        </w:tc>
        <w:tc>
          <w:tcPr>
            <w:tcW w:type="dxa" w:w="1435"/>
            <w:vAlign w:val="center"/>
          </w:tcPr>
          <w:p>
            <w:pPr>
              <w:keepNext w:val="0"/>
              <w:spacing w:after="0" w:before="0" w:line="240" w:lineRule="auto"/>
              <w:jc w:val="right"/>
            </w:pPr>
            <w:r>
              <w:rPr>
                <w:rFonts w:ascii="Calibri" w:hAnsi="Calibri"/>
                <w:b w:val="0"/>
                <w:sz w:val="18"/>
              </w:rPr>
              <w:t>32.8%</w:t>
            </w:r>
          </w:p>
        </w:tc>
      </w:tr>
      <w:tr>
        <w:trPr>
          <w:cantSplit/>
        </w:trPr>
        <w:tc>
          <w:tcPr>
            <w:tcW w:type="dxa" w:w="1613"/>
            <w:vAlign w:val="center"/>
          </w:tcPr>
          <w:p>
            <w:pPr>
              <w:keepNext/>
              <w:spacing w:after="0" w:before="0" w:line="240" w:lineRule="auto"/>
              <w:jc w:val="right"/>
            </w:pPr>
            <w:r>
              <w:rPr>
                <w:rFonts w:ascii="Calibri" w:hAnsi="Calibri"/>
                <w:b w:val="0"/>
                <w:sz w:val="18"/>
              </w:rPr>
              <w:t>2.40</w:t>
            </w:r>
          </w:p>
        </w:tc>
        <w:tc>
          <w:tcPr>
            <w:tcW w:type="dxa" w:w="1435"/>
            <w:vAlign w:val="center"/>
          </w:tcPr>
          <w:p>
            <w:pPr>
              <w:keepNext/>
              <w:spacing w:after="0" w:before="0" w:line="240" w:lineRule="auto"/>
              <w:jc w:val="right"/>
            </w:pPr>
            <w:r>
              <w:rPr>
                <w:rFonts w:ascii="Calibri" w:hAnsi="Calibri"/>
                <w:b w:val="0"/>
                <w:sz w:val="18"/>
              </w:rPr>
              <w:t>+0.0058</w:t>
            </w:r>
          </w:p>
        </w:tc>
        <w:tc>
          <w:tcPr>
            <w:tcW w:type="dxa" w:w="1435"/>
            <w:vAlign w:val="center"/>
          </w:tcPr>
          <w:p>
            <w:pPr>
              <w:keepNext/>
              <w:spacing w:after="0" w:before="0" w:line="240" w:lineRule="auto"/>
              <w:jc w:val="right"/>
            </w:pPr>
            <w:r>
              <w:rPr>
                <w:rFonts w:ascii="Calibri" w:hAnsi="Calibri"/>
                <w:b w:val="0"/>
                <w:sz w:val="18"/>
              </w:rPr>
              <w:t>−0.0046</w:t>
            </w:r>
          </w:p>
        </w:tc>
        <w:tc>
          <w:tcPr>
            <w:tcW w:type="dxa" w:w="1435"/>
            <w:vAlign w:val="center"/>
          </w:tcPr>
          <w:p>
            <w:pPr>
              <w:keepNext/>
              <w:spacing w:after="0" w:before="0" w:line="240" w:lineRule="auto"/>
              <w:jc w:val="right"/>
            </w:pPr>
            <w:r>
              <w:rPr>
                <w:rFonts w:ascii="Calibri" w:hAnsi="Calibri"/>
                <w:b w:val="0"/>
                <w:sz w:val="18"/>
              </w:rPr>
              <w:t>43.8%</w:t>
            </w:r>
          </w:p>
        </w:tc>
        <w:tc>
          <w:tcPr>
            <w:tcW w:type="dxa" w:w="1435"/>
            <w:vAlign w:val="center"/>
          </w:tcPr>
          <w:p>
            <w:pPr>
              <w:keepNext/>
              <w:spacing w:after="0" w:before="0" w:line="240" w:lineRule="auto"/>
              <w:jc w:val="right"/>
            </w:pPr>
            <w:r>
              <w:rPr>
                <w:rFonts w:ascii="Calibri" w:hAnsi="Calibri"/>
                <w:b w:val="0"/>
                <w:sz w:val="18"/>
              </w:rPr>
              <w:t>0.2133</w:t>
            </w:r>
          </w:p>
        </w:tc>
        <w:tc>
          <w:tcPr>
            <w:tcW w:type="dxa" w:w="1435"/>
            <w:vAlign w:val="center"/>
          </w:tcPr>
          <w:p>
            <w:pPr>
              <w:keepNext/>
              <w:spacing w:after="0" w:before="0" w:line="240" w:lineRule="auto"/>
              <w:jc w:val="right"/>
            </w:pPr>
            <w:r>
              <w:rPr>
                <w:rFonts w:ascii="Calibri" w:hAnsi="Calibri"/>
                <w:b w:val="0"/>
                <w:sz w:val="18"/>
              </w:rPr>
              <w:t>0.1149</w:t>
            </w:r>
          </w:p>
        </w:tc>
        <w:tc>
          <w:tcPr>
            <w:tcW w:type="dxa" w:w="1435"/>
            <w:vAlign w:val="center"/>
          </w:tcPr>
          <w:p>
            <w:pPr>
              <w:keepNext/>
              <w:spacing w:after="0" w:before="0" w:line="240" w:lineRule="auto"/>
              <w:jc w:val="right"/>
            </w:pPr>
            <w:r>
              <w:rPr>
                <w:rFonts w:ascii="Calibri" w:hAnsi="Calibri"/>
                <w:b w:val="0"/>
                <w:sz w:val="18"/>
              </w:rPr>
              <w:t>46.1%</w:t>
            </w:r>
          </w:p>
        </w:tc>
      </w:tr>
    </w:tbl>
    <w:p>
      <w:pPr>
        <w:keepLines/>
        <w:spacing w:before="60" w:after="120"/>
      </w:pPr>
      <w:r>
        <w:rPr>
          <w:sz w:val="18"/>
        </w:rPr>
        <w:t>Controlled simulation. Lower MSE indicates lower prediction error within the same task and target scaling.</w:t>
      </w:r>
    </w:p>
    <w:p>
      <w:r>
        <w:t>As contrast increases, adjacent transfer stays positive and distant transfer changes from positive to increasingly negative. The measured structure develops gradually from broad compatibility into local sharing with distant interference.</w:t>
      </w:r>
    </w:p>
    <w:p>
      <w:pPr>
        <w:keepNext/>
        <w:spacing w:after="60"/>
        <w:jc w:val="center"/>
      </w:pPr>
      <w:r>
        <w:drawing>
          <wp:inline xmlns:a="http://schemas.openxmlformats.org/drawingml/2006/main" xmlns:pic="http://schemas.openxmlformats.org/drawingml/2006/picture">
            <wp:extent cx="6309360" cy="4141143"/>
            <wp:docPr id="18" name="Picture 18"/>
            <wp:cNvGraphicFramePr>
              <a:graphicFrameLocks noChangeAspect="1"/>
            </wp:cNvGraphicFramePr>
            <a:graphic>
              <a:graphicData uri="http://schemas.openxmlformats.org/drawingml/2006/picture">
                <pic:pic>
                  <pic:nvPicPr>
                    <pic:cNvPr id="0" name="18_image18.png"/>
                    <pic:cNvPicPr/>
                  </pic:nvPicPr>
                  <pic:blipFill>
                    <a:blip r:embed="rId31"/>
                    <a:stretch>
                      <a:fillRect/>
                    </a:stretch>
                  </pic:blipFill>
                  <pic:spPr>
                    <a:xfrm>
                      <a:off x="0" y="0"/>
                      <a:ext cx="6309360" cy="4141143"/>
                    </a:xfrm>
                    <a:prstGeom prst="rect"/>
                  </pic:spPr>
                </pic:pic>
              </a:graphicData>
            </a:graphic>
          </wp:inline>
        </w:drawing>
      </w:r>
    </w:p>
    <w:p>
      <w:pPr>
        <w:pStyle w:val="Caption"/>
      </w:pPr>
      <w:r>
        <w:t>Figure 18. Training transfer across the generator-contrast scan. The synthetic experiment links increasing endpoint contrast to more negative distant transfer and a larger Soft MoE prediction gain.</w:t>
      </w:r>
    </w:p>
    <w:p>
      <w:pPr>
        <w:pStyle w:val="Heading3"/>
      </w:pPr>
      <w:r>
        <w:t>5.4.7 Criteria for fusion and partition</w:t>
      </w:r>
    </w:p>
    <w:p>
      <w:r>
        <w:t>Measure predictive compatibility before selecting a parameter-sharing structure.</w:t>
      </w:r>
    </w:p>
    <w:p>
      <w:pPr>
        <w:pStyle w:val="ListBullet"/>
      </w:pPr>
      <w:r>
        <w:t>Fusion is a candidate when local rule divergence is low, near and distant transfer are nonnegative, and support is connected. Splitting then risks reducing the information available to each fitted block.</w:t>
      </w:r>
    </w:p>
    <w:p>
      <w:pPr>
        <w:pStyle w:val="ListBullet"/>
      </w:pPr>
      <w:r>
        <w:t>Soft partitioning is a candidate when adjacent transfer remains positive, distant transfer is persistently negative, and the generator varies continuously. A shared state with overlapping experts preserves local continuity.</w:t>
      </w:r>
    </w:p>
    <w:p>
      <w:pPr>
        <w:pStyle w:val="ListBullet"/>
      </w:pPr>
      <w:r>
        <w:t>Hard splitting is a candidate when persistent functional incompatibility is concentrated at a narrow boundary, bridge support or query weight is low, and the measured boundary cost is acceptable.</w:t>
      </w:r>
    </w:p>
    <w:p>
      <w:pPr>
        <w:pStyle w:val="ListBullet"/>
      </w:pPr>
      <w:r>
        <w:t>Variation due mainly to conditional innovation calls for uncertainty modelling. Partitioning is justified by systematic changes in the conditional response rather than random variation alone.</w:t>
      </w:r>
    </w:p>
    <w:p>
      <w:pPr>
        <w:pStyle w:val="Heading3"/>
      </w:pPr>
      <w:r>
        <w:t>5.4.8 Representing training compatibility as a graph</w:t>
      </w:r>
    </w:p>
    <w:p>
      <w:r>
        <w:t>A training compatibility graph can use local predictive-state neighbourhoods as nodes. Node attributes record effective dimension, curvature, anisotropy, conditional uncertainty, observability and sample density. Edges record held-out transfer and support connectivity. This is a design representation motivated by the controlled comparisons.</w:t>
      </w:r>
    </w:p>
    <w:p>
      <w:pPr>
        <w:pStyle w:val="ListBullet"/>
      </w:pPr>
      <w:r>
        <w:t>Strong compatible paths support continued parameter sharing.</w:t>
      </w:r>
    </w:p>
    <w:p>
      <w:pPr>
        <w:pStyle w:val="ListBullet"/>
      </w:pPr>
      <w:r>
        <w:t>A gradual decline in compatibility supports overlapping experts or soft routing.</w:t>
      </w:r>
    </w:p>
    <w:p>
      <w:pPr>
        <w:pStyle w:val="ListBullet"/>
      </w:pPr>
      <w:r>
        <w:t>Persistent low or negative transfer identifies candidate boundaries for further evaluation.</w:t>
      </w:r>
    </w:p>
    <w:p>
      <w:pPr>
        <w:pStyle w:val="ListBullet"/>
      </w:pPr>
      <w:r>
        <w:t>Local capacity can be varied with measured response complexity rather than held equal by default.</w:t>
      </w:r>
    </w:p>
    <w:p>
      <w:r>
        <w:t>The modelling procedure is to estimate local future responses, construct the compatibility graph, compare shared and partitioned models, allocate capacity, and evaluate joint retraining on held-out predictions.</w:t>
      </w:r>
    </w:p>
    <w:p>
      <w:pPr>
        <w:pStyle w:val="Heading3"/>
      </w:pPr>
      <w:r>
        <w:t>5.4.9 Related methodological work</w:t>
      </w:r>
    </w:p>
    <w:p>
      <w:r>
        <w:t>Related work addresses local implicit functions (Ben-Shabat et al., Neural Experts, NeurIPS 2024), capacity and negative transfer (Khan, UAI 2026), smooth expert partitions for imbalanced regression (Rashiwa and Branco, Canadian AI 2026), and distribution shifts in pooled medical imaging data (Roy et al., MIDL 2026). The diagnostic used here measures actual held-out loss change after a local update. This locates the experiment within those methodological questions without asserting an exhaustive novelty comparison. Primary records: https://arxiv.org/abs/2410.21643 ; https://proceedings.mlr.press/v337/khan26a.html ; https://proceedings.mlr.press/v318/rashiwa26a.html ; https://proceedings.mlr.press/v315/roy26a.html .</w:t>
      </w:r>
    </w:p>
    <w:p>
      <w:pPr>
        <w:pStyle w:val="Heading3"/>
      </w:pPr>
      <w:r>
        <w:t>5.4.10 Evidence records</w:t>
      </w:r>
    </w:p>
    <w:p>
      <w:pPr>
        <w:spacing w:after="40"/>
      </w:pPr>
      <w:r>
        <w:rPr>
          <w:sz w:val="18"/>
        </w:rPr>
        <w:t>DATA_​FUSION_​PARTITION_​006_​bundle.zip</w:t>
      </w:r>
    </w:p>
    <w:p>
      <w:pPr>
        <w:spacing w:after="40"/>
      </w:pPr>
      <w:r>
        <w:rPr>
          <w:sz w:val="18"/>
        </w:rPr>
        <w:t>DATA_​FUSION_​PARTITION_​006/​fair_​capacity_​summary.csv</w:t>
      </w:r>
    </w:p>
    <w:p>
      <w:pPr>
        <w:spacing w:after="40"/>
      </w:pPr>
      <w:r>
        <w:rPr>
          <w:sz w:val="18"/>
        </w:rPr>
        <w:t>DATA_​FUSION_​PARTITION_​006/​training_​compatibility_​kernel.csv</w:t>
      </w:r>
    </w:p>
    <w:p>
      <w:pPr>
        <w:spacing w:after="40"/>
      </w:pPr>
      <w:r>
        <w:rPr>
          <w:sz w:val="18"/>
        </w:rPr>
        <w:t>DATA_​FUSION_​PARTITION_​006/​training_​compatibility_​summary.csv</w:t>
      </w:r>
    </w:p>
    <w:p>
      <w:pPr>
        <w:spacing w:after="40"/>
      </w:pPr>
      <w:r>
        <w:rPr>
          <w:sz w:val="18"/>
        </w:rPr>
        <w:t>DATA_​FUSION_​PARTITION_​006/​contrast_​compatibility_​scan.csv</w:t>
      </w:r>
    </w:p>
    <w:p>
      <w:pPr>
        <w:spacing w:after="40"/>
      </w:pPr>
      <w:r>
        <w:rPr>
          <w:sz w:val="18"/>
        </w:rPr>
        <w:t>DATA_​FUSION_​PARTITION_​006/​router_​curve_​X_​broad_​dense.csv</w:t>
      </w:r>
    </w:p>
    <w:p>
      <w:pPr>
        <w:spacing w:after="40"/>
      </w:pPr>
      <w:r>
        <w:rPr>
          <w:sz w:val="18"/>
        </w:rPr>
        <w:t>DATA_​FUSION_​PARTITION_​006/​router_​curve_​X_​sharp_​dense.csv</w:t>
      </w:r>
    </w:p>
    <w:p>
      <w:pPr>
        <w:spacing w:after="40"/>
      </w:pPr>
      <w:r>
        <w:rPr>
          <w:sz w:val="18"/>
        </w:rPr>
        <w:t>DATA_​FUSION_​PARTITION_​006/​fair_​capacity_​continuum.png</w:t>
      </w:r>
    </w:p>
    <w:p>
      <w:pPr>
        <w:spacing w:after="40"/>
      </w:pPr>
      <w:r>
        <w:rPr>
          <w:sz w:val="18"/>
        </w:rPr>
        <w:t>DATA_​FUSION_​PARTITION_​006/​boundary_​debt.png</w:t>
      </w:r>
    </w:p>
    <w:p>
      <w:pPr>
        <w:spacing w:after="40"/>
      </w:pPr>
      <w:r>
        <w:rPr>
          <w:sz w:val="18"/>
        </w:rPr>
        <w:t>DATA_​FUSION_​PARTITION_​006/​compatibility_​vs_​contrast.png</w:t>
      </w:r>
    </w:p>
    <w:p>
      <w:pPr>
        <w:spacing w:after="40"/>
      </w:pPr>
      <w:r>
        <w:rPr>
          <w:sz w:val="18"/>
        </w:rPr>
        <w:t>DATA_​FUSION_​PARTITION_​006/​compatibility_​kernel_​X_​sharp_​dense.png</w:t>
      </w:r>
    </w:p>
    <w:p>
      <w:pPr>
        <w:pStyle w:val="Heading2"/>
      </w:pPr>
      <w:r>
        <w:t>5.5 HIDDEN-MANIFOLD-PARTITION-007 Discovering predictive geometry without latent coordinates</w:t>
      </w:r>
    </w:p>
    <w:p>
      <w:r>
        <w:t>Partitioning can allocate local capacity continuously over a predictive space, with shared parameters retained across compatible regions.</w:t>
      </w:r>
    </w:p>
    <w:p>
      <w:pPr>
        <w:pStyle w:val="Heading3"/>
      </w:pPr>
      <w:r>
        <w:t>5.5.1 Experimental question</w:t>
      </w:r>
    </w:p>
    <w:p>
      <w:r>
        <w:t>Experiment 006 supplies an explicit context coordinate u. This study hides the generator coordinate and supplies only a high-dimensional curved context and the current state. The construction tests whether observations that are distant in sensor space but governed by similar transition functions can be recognized as related.</w:t>
      </w:r>
    </w:p>
    <w:p>
      <w:pPr>
        <w:pStyle w:val="ListBullet"/>
      </w:pPr>
      <w:r>
        <w:t>The observed context lies on a two-turn curved manifold embedded in 12 dimensions. The true generating phase varies continuously along it.</w:t>
      </w:r>
    </w:p>
    <w:p>
      <w:pPr>
        <w:pStyle w:val="ListBullet"/>
      </w:pPr>
      <w:r>
        <w:t>The generator is periodic in phase. Regions separated by one full turn are distant in sensor space but have nearly identical future-generating rules.</w:t>
      </w:r>
    </w:p>
    <w:p>
      <w:pPr>
        <w:pStyle w:val="ListBullet"/>
      </w:pPr>
      <w:r>
        <w:t>Discovery uses raw context, a pilot model's predictive Jacobian or the measured training-transfer kernel. Latent phase and turn identity are excluded from discovery.</w:t>
      </w:r>
    </w:p>
    <w:p>
      <w:pPr>
        <w:pStyle w:val="ListBullet"/>
      </w:pPr>
      <w:r>
        <w:t>Latent phase is retained solely as evaluation truth.</w:t>
      </w:r>
    </w:p>
    <w:p>
      <w:pPr>
        <w:pStyle w:val="Heading3"/>
      </w:pPr>
      <w:r>
        <w:t>5.5.2 Observation predictive and training-compatibility geometry</w:t>
      </w:r>
    </w:p>
    <w:p>
      <w:r>
        <w:t>Three data maps are compared, each measuring a different relationship.</w:t>
      </w:r>
    </w:p>
    <w:p>
      <w:pPr>
        <w:pStyle w:val="Caption"/>
        <w:keepNext/>
      </w:pPr>
      <w:r>
        <w:t>Table 34. Three geometries for partition discovery.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4032"/>
        <w:gridCol w:w="3960"/>
      </w:tblGrid>
      <w:tr>
        <w:trPr>
          <w:cantSplit/>
          <w:tblHeader/>
        </w:trPr>
        <w:tc>
          <w:tcPr>
            <w:tcW w:type="dxa" w:w="2232"/>
            <w:vAlign w:val="center"/>
            <w:shd w:fill="F2F2F2"/>
          </w:tcPr>
          <w:p>
            <w:pPr>
              <w:keepNext/>
              <w:spacing w:after="0" w:before="0" w:line="240" w:lineRule="auto"/>
            </w:pPr>
            <w:r>
              <w:rPr>
                <w:rFonts w:ascii="Calibri" w:hAnsi="Calibri"/>
                <w:b/>
                <w:sz w:val="19"/>
              </w:rPr>
              <w:t>Geometry</w:t>
            </w:r>
          </w:p>
        </w:tc>
        <w:tc>
          <w:tcPr>
            <w:tcW w:type="dxa" w:w="4032"/>
            <w:vAlign w:val="center"/>
            <w:shd w:fill="F2F2F2"/>
          </w:tcPr>
          <w:p>
            <w:pPr>
              <w:keepNext/>
              <w:spacing w:after="0" w:before="0" w:line="240" w:lineRule="auto"/>
            </w:pPr>
            <w:r>
              <w:rPr>
                <w:rFonts w:ascii="Calibri" w:hAnsi="Calibri"/>
                <w:b/>
                <w:sz w:val="19"/>
              </w:rPr>
              <w:t>Construction</w:t>
            </w:r>
          </w:p>
        </w:tc>
        <w:tc>
          <w:tcPr>
            <w:tcW w:type="dxa" w:w="3960"/>
            <w:vAlign w:val="center"/>
            <w:shd w:fill="F2F2F2"/>
          </w:tcPr>
          <w:p>
            <w:pPr>
              <w:keepNext/>
              <w:spacing w:after="0" w:before="0" w:line="240" w:lineRule="auto"/>
            </w:pPr>
            <w:r>
              <w:rPr>
                <w:rFonts w:ascii="Calibri" w:hAnsi="Calibri"/>
                <w:b/>
                <w:sz w:val="19"/>
              </w:rPr>
              <w:t>Relationship measured</w:t>
            </w:r>
          </w:p>
        </w:tc>
      </w:tr>
      <w:tr>
        <w:trPr>
          <w:cantSplit/>
        </w:trPr>
        <w:tc>
          <w:tcPr>
            <w:tcW w:type="dxa" w:w="2232"/>
            <w:vAlign w:val="center"/>
          </w:tcPr>
          <w:p>
            <w:pPr>
              <w:keepNext w:val="0"/>
              <w:spacing w:after="0" w:before="0" w:line="240" w:lineRule="auto"/>
            </w:pPr>
            <w:r>
              <w:rPr>
                <w:rFonts w:ascii="Calibri" w:hAnsi="Calibri"/>
                <w:b w:val="0"/>
                <w:sz w:val="19"/>
              </w:rPr>
              <w:t>Observation</w:t>
            </w:r>
          </w:p>
        </w:tc>
        <w:tc>
          <w:tcPr>
            <w:tcW w:type="dxa" w:w="4032"/>
            <w:vAlign w:val="center"/>
          </w:tcPr>
          <w:p>
            <w:pPr>
              <w:keepNext w:val="0"/>
              <w:spacing w:after="0" w:before="0" w:line="240" w:lineRule="auto"/>
            </w:pPr>
            <w:r>
              <w:rPr>
                <w:rFonts w:ascii="Calibri" w:hAnsi="Calibri"/>
                <w:b w:val="0"/>
                <w:sz w:val="19"/>
              </w:rPr>
              <w:t>Raw high-dimensional context distance or K-means</w:t>
            </w:r>
          </w:p>
        </w:tc>
        <w:tc>
          <w:tcPr>
            <w:tcW w:type="dxa" w:w="3960"/>
            <w:vAlign w:val="center"/>
          </w:tcPr>
          <w:p>
            <w:pPr>
              <w:keepNext w:val="0"/>
              <w:spacing w:after="0" w:before="0" w:line="240" w:lineRule="auto"/>
            </w:pPr>
            <w:r>
              <w:rPr>
                <w:rFonts w:ascii="Calibri" w:hAnsi="Calibri"/>
                <w:b w:val="0"/>
                <w:sz w:val="19"/>
              </w:rPr>
              <w:t>Proximity in sensor space</w:t>
            </w:r>
          </w:p>
        </w:tc>
      </w:tr>
      <w:tr>
        <w:trPr>
          <w:cantSplit/>
        </w:trPr>
        <w:tc>
          <w:tcPr>
            <w:tcW w:type="dxa" w:w="2232"/>
            <w:vAlign w:val="center"/>
          </w:tcPr>
          <w:p>
            <w:pPr>
              <w:keepNext w:val="0"/>
              <w:spacing w:after="0" w:before="0" w:line="240" w:lineRule="auto"/>
            </w:pPr>
            <w:r>
              <w:rPr>
                <w:rFonts w:ascii="Calibri" w:hAnsi="Calibri"/>
                <w:b w:val="0"/>
                <w:sz w:val="19"/>
              </w:rPr>
              <w:t>Predictive / generative</w:t>
            </w:r>
          </w:p>
        </w:tc>
        <w:tc>
          <w:tcPr>
            <w:tcW w:type="dxa" w:w="4032"/>
            <w:vAlign w:val="center"/>
          </w:tcPr>
          <w:p>
            <w:pPr>
              <w:keepNext w:val="0"/>
              <w:spacing w:after="0" w:before="0" w:line="240" w:lineRule="auto"/>
            </w:pPr>
            <w:r>
              <w:rPr>
                <w:rFonts w:ascii="Calibri" w:hAnsi="Calibri"/>
                <w:b w:val="0"/>
                <w:sz w:val="19"/>
              </w:rPr>
              <w:t>Pilot Jacobian J(x)=∂future/​∂current-​state</w:t>
            </w:r>
          </w:p>
        </w:tc>
        <w:tc>
          <w:tcPr>
            <w:tcW w:type="dxa" w:w="3960"/>
            <w:vAlign w:val="center"/>
          </w:tcPr>
          <w:p>
            <w:pPr>
              <w:keepNext w:val="0"/>
              <w:spacing w:after="0" w:before="0" w:line="240" w:lineRule="auto"/>
            </w:pPr>
            <w:r>
              <w:rPr>
                <w:rFonts w:ascii="Calibri" w:hAnsi="Calibri"/>
                <w:b w:val="0"/>
                <w:sz w:val="19"/>
              </w:rPr>
              <w:t>Similarity of local transition functions</w:t>
            </w:r>
          </w:p>
        </w:tc>
      </w:tr>
      <w:tr>
        <w:trPr>
          <w:cantSplit/>
        </w:trPr>
        <w:tc>
          <w:tcPr>
            <w:tcW w:type="dxa" w:w="2232"/>
            <w:vAlign w:val="center"/>
          </w:tcPr>
          <w:p>
            <w:pPr>
              <w:keepNext w:val="0"/>
              <w:spacing w:after="0" w:before="0" w:line="240" w:lineRule="auto"/>
            </w:pPr>
            <w:r>
              <w:rPr>
                <w:rFonts w:ascii="Calibri" w:hAnsi="Calibri"/>
                <w:b w:val="0"/>
                <w:sz w:val="19"/>
              </w:rPr>
              <w:t>Training compatibility</w:t>
            </w:r>
          </w:p>
        </w:tc>
        <w:tc>
          <w:tcPr>
            <w:tcW w:type="dxa" w:w="4032"/>
            <w:vAlign w:val="center"/>
          </w:tcPr>
          <w:p>
            <w:pPr>
              <w:keepNext w:val="0"/>
              <w:spacing w:after="0" w:before="0" w:line="240" w:lineRule="auto"/>
            </w:pPr>
            <w:r>
              <w:rPr>
                <w:rFonts w:ascii="Calibri" w:hAnsi="Calibri"/>
                <w:b w:val="0"/>
                <w:sz w:val="19"/>
              </w:rPr>
              <w:t>Held-out loss change after a local update</w:t>
            </w:r>
          </w:p>
        </w:tc>
        <w:tc>
          <w:tcPr>
            <w:tcW w:type="dxa" w:w="3960"/>
            <w:vAlign w:val="center"/>
          </w:tcPr>
          <w:p>
            <w:pPr>
              <w:keepNext w:val="0"/>
              <w:spacing w:after="0" w:before="0" w:line="240" w:lineRule="auto"/>
            </w:pPr>
            <w:r>
              <w:rPr>
                <w:rFonts w:ascii="Calibri" w:hAnsi="Calibri"/>
                <w:b w:val="0"/>
                <w:sz w:val="19"/>
              </w:rPr>
              <w:t>Benefit or interference under parameter sharing</w:t>
            </w:r>
          </w:p>
        </w:tc>
      </w:tr>
    </w:tbl>
    <w:p>
      <w:pPr>
        <w:spacing w:before="100"/>
      </w:pPr>
      <w:r>
        <w:t>For equal generator phase at different turns, mean raw-context distance is 3.692 and mean predictive-signature distance is 0.323, or 8.8% of the raw distance. These are distances in their respective representations, so the numerical ratio is descriptive and depends on their scaling. The label-based recovery comparison provides a separate evaluation of phase structure.</w:t>
      </w:r>
    </w:p>
    <w:p>
      <w:r>
        <w:t>Distant observations can implement similar local transition functions.</w:t>
      </w:r>
    </w:p>
    <w:p>
      <w:pPr>
        <w:pStyle w:val="Heading3"/>
      </w:pPr>
      <w:r>
        <w:t>5.5.3 Recovery of hidden phase structure</w:t>
      </w:r>
    </w:p>
    <w:p>
      <w:pPr>
        <w:pStyle w:val="Caption"/>
        <w:keepNext/>
      </w:pPr>
      <w:r>
        <w:t>Table 35. Recovery of hidden phase partitions.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Partition map</w:t>
            </w:r>
          </w:p>
        </w:tc>
        <w:tc>
          <w:tcPr>
            <w:tcW w:type="dxa" w:w="3240"/>
            <w:vAlign w:val="center"/>
            <w:shd w:fill="F2F2F2"/>
          </w:tcPr>
          <w:p>
            <w:pPr>
              <w:keepNext/>
              <w:spacing w:after="0" w:before="0" w:line="240" w:lineRule="auto"/>
            </w:pPr>
            <w:r>
              <w:rPr>
                <w:rFonts w:ascii="Calibri" w:hAnsi="Calibri"/>
                <w:b/>
                <w:sz w:val="19"/>
              </w:rPr>
              <w:t>ARI vs hidden phase</w:t>
            </w:r>
          </w:p>
        </w:tc>
        <w:tc>
          <w:tcPr>
            <w:tcW w:type="dxa" w:w="3240"/>
            <w:vAlign w:val="center"/>
            <w:shd w:fill="F2F2F2"/>
          </w:tcPr>
          <w:p>
            <w:pPr>
              <w:keepNext/>
              <w:spacing w:after="0" w:before="0" w:line="240" w:lineRule="auto"/>
            </w:pPr>
            <w:r>
              <w:rPr>
                <w:rFonts w:ascii="Calibri" w:hAnsi="Calibri"/>
                <w:b/>
                <w:sz w:val="19"/>
              </w:rPr>
              <w:t>NMI vs hidden phase</w:t>
            </w:r>
          </w:p>
        </w:tc>
      </w:tr>
      <w:tr>
        <w:trPr>
          <w:cantSplit/>
        </w:trPr>
        <w:tc>
          <w:tcPr>
            <w:tcW w:type="dxa" w:w="3744"/>
            <w:vAlign w:val="center"/>
          </w:tcPr>
          <w:p>
            <w:pPr>
              <w:keepNext w:val="0"/>
              <w:spacing w:after="0" w:before="0" w:line="240" w:lineRule="auto"/>
            </w:pPr>
            <w:r>
              <w:rPr>
                <w:rFonts w:ascii="Calibri" w:hAnsi="Calibri"/>
                <w:b w:val="0"/>
                <w:sz w:val="19"/>
              </w:rPr>
              <w:t>RawGeometry</w:t>
            </w:r>
          </w:p>
        </w:tc>
        <w:tc>
          <w:tcPr>
            <w:tcW w:type="dxa" w:w="3240"/>
            <w:vAlign w:val="center"/>
          </w:tcPr>
          <w:p>
            <w:pPr>
              <w:keepNext w:val="0"/>
              <w:spacing w:after="0" w:before="0" w:line="240" w:lineRule="auto"/>
              <w:jc w:val="right"/>
            </w:pPr>
            <w:r>
              <w:rPr>
                <w:rFonts w:ascii="Calibri" w:hAnsi="Calibri"/>
                <w:b w:val="0"/>
                <w:sz w:val="19"/>
              </w:rPr>
              <w:t>0.533</w:t>
            </w:r>
          </w:p>
        </w:tc>
        <w:tc>
          <w:tcPr>
            <w:tcW w:type="dxa" w:w="3240"/>
            <w:vAlign w:val="center"/>
          </w:tcPr>
          <w:p>
            <w:pPr>
              <w:keepNext w:val="0"/>
              <w:spacing w:after="0" w:before="0" w:line="240" w:lineRule="auto"/>
              <w:jc w:val="right"/>
            </w:pPr>
            <w:r>
              <w:rPr>
                <w:rFonts w:ascii="Calibri" w:hAnsi="Calibri"/>
                <w:b w:val="0"/>
                <w:sz w:val="19"/>
              </w:rPr>
              <w:t>0.570</w:t>
            </w:r>
          </w:p>
        </w:tc>
      </w:tr>
      <w:tr>
        <w:trPr>
          <w:cantSplit/>
        </w:trPr>
        <w:tc>
          <w:tcPr>
            <w:tcW w:type="dxa" w:w="3744"/>
            <w:vAlign w:val="center"/>
          </w:tcPr>
          <w:p>
            <w:pPr>
              <w:keepNext w:val="0"/>
              <w:spacing w:after="0" w:before="0" w:line="240" w:lineRule="auto"/>
            </w:pPr>
            <w:r>
              <w:rPr>
                <w:rFonts w:ascii="Calibri" w:hAnsi="Calibri"/>
                <w:b w:val="0"/>
                <w:sz w:val="19"/>
              </w:rPr>
              <w:t>Predictive​Jacobian</w:t>
            </w:r>
          </w:p>
        </w:tc>
        <w:tc>
          <w:tcPr>
            <w:tcW w:type="dxa" w:w="3240"/>
            <w:vAlign w:val="center"/>
          </w:tcPr>
          <w:p>
            <w:pPr>
              <w:keepNext w:val="0"/>
              <w:spacing w:after="0" w:before="0" w:line="240" w:lineRule="auto"/>
              <w:jc w:val="right"/>
            </w:pPr>
            <w:r>
              <w:rPr>
                <w:rFonts w:ascii="Calibri" w:hAnsi="Calibri"/>
                <w:b w:val="0"/>
                <w:sz w:val="19"/>
              </w:rPr>
              <w:t>0.798</w:t>
            </w:r>
          </w:p>
        </w:tc>
        <w:tc>
          <w:tcPr>
            <w:tcW w:type="dxa" w:w="3240"/>
            <w:vAlign w:val="center"/>
          </w:tcPr>
          <w:p>
            <w:pPr>
              <w:keepNext w:val="0"/>
              <w:spacing w:after="0" w:before="0" w:line="240" w:lineRule="auto"/>
              <w:jc w:val="right"/>
            </w:pPr>
            <w:r>
              <w:rPr>
                <w:rFonts w:ascii="Calibri" w:hAnsi="Calibri"/>
                <w:b w:val="0"/>
                <w:sz w:val="19"/>
              </w:rPr>
              <w:t>0.796</w:t>
            </w:r>
          </w:p>
        </w:tc>
      </w:tr>
      <w:tr>
        <w:trPr>
          <w:cantSplit/>
        </w:trPr>
        <w:tc>
          <w:tcPr>
            <w:tcW w:type="dxa" w:w="3744"/>
            <w:vAlign w:val="center"/>
          </w:tcPr>
          <w:p>
            <w:pPr>
              <w:keepNext w:val="0"/>
              <w:spacing w:after="0" w:before="0" w:line="240" w:lineRule="auto"/>
            </w:pPr>
            <w:r>
              <w:rPr>
                <w:rFonts w:ascii="Calibri" w:hAnsi="Calibri"/>
                <w:b w:val="0"/>
                <w:sz w:val="19"/>
              </w:rPr>
              <w:t>Compatibility​Graph</w:t>
            </w:r>
          </w:p>
        </w:tc>
        <w:tc>
          <w:tcPr>
            <w:tcW w:type="dxa" w:w="3240"/>
            <w:vAlign w:val="center"/>
          </w:tcPr>
          <w:p>
            <w:pPr>
              <w:keepNext w:val="0"/>
              <w:spacing w:after="0" w:before="0" w:line="240" w:lineRule="auto"/>
              <w:jc w:val="right"/>
            </w:pPr>
            <w:r>
              <w:rPr>
                <w:rFonts w:ascii="Calibri" w:hAnsi="Calibri"/>
                <w:b w:val="0"/>
                <w:sz w:val="19"/>
              </w:rPr>
              <w:t>0.247</w:t>
            </w:r>
          </w:p>
        </w:tc>
        <w:tc>
          <w:tcPr>
            <w:tcW w:type="dxa" w:w="3240"/>
            <w:vAlign w:val="center"/>
          </w:tcPr>
          <w:p>
            <w:pPr>
              <w:keepNext w:val="0"/>
              <w:spacing w:after="0" w:before="0" w:line="240" w:lineRule="auto"/>
              <w:jc w:val="right"/>
            </w:pPr>
            <w:r>
              <w:rPr>
                <w:rFonts w:ascii="Calibri" w:hAnsi="Calibri"/>
                <w:b w:val="0"/>
                <w:sz w:val="19"/>
              </w:rPr>
              <w:t>0.344</w:t>
            </w:r>
          </w:p>
        </w:tc>
      </w:tr>
      <w:tr>
        <w:trPr>
          <w:cantSplit/>
        </w:trPr>
        <w:tc>
          <w:tcPr>
            <w:tcW w:type="dxa" w:w="3744"/>
            <w:vAlign w:val="center"/>
          </w:tcPr>
          <w:p>
            <w:pPr>
              <w:keepNext/>
              <w:spacing w:after="0" w:before="0" w:line="240" w:lineRule="auto"/>
            </w:pPr>
            <w:r>
              <w:rPr>
                <w:rFonts w:ascii="Calibri" w:hAnsi="Calibri"/>
                <w:b w:val="0"/>
                <w:sz w:val="19"/>
              </w:rPr>
              <w:t>RandomLocal</w:t>
            </w:r>
          </w:p>
        </w:tc>
        <w:tc>
          <w:tcPr>
            <w:tcW w:type="dxa" w:w="3240"/>
            <w:vAlign w:val="center"/>
          </w:tcPr>
          <w:p>
            <w:pPr>
              <w:keepNext/>
              <w:spacing w:after="0" w:before="0" w:line="240" w:lineRule="auto"/>
              <w:jc w:val="right"/>
            </w:pPr>
            <w:r>
              <w:rPr>
                <w:rFonts w:ascii="Calibri" w:hAnsi="Calibri"/>
                <w:b w:val="0"/>
                <w:sz w:val="19"/>
              </w:rPr>
              <w:t>0.096</w:t>
            </w:r>
          </w:p>
        </w:tc>
        <w:tc>
          <w:tcPr>
            <w:tcW w:type="dxa" w:w="3240"/>
            <w:vAlign w:val="center"/>
          </w:tcPr>
          <w:p>
            <w:pPr>
              <w:keepNext/>
              <w:spacing w:after="0" w:before="0" w:line="240" w:lineRule="auto"/>
              <w:jc w:val="right"/>
            </w:pPr>
            <w:r>
              <w:rPr>
                <w:rFonts w:ascii="Calibri" w:hAnsi="Calibri"/>
                <w:b w:val="0"/>
                <w:sz w:val="19"/>
              </w:rPr>
              <w:t>0.172</w:t>
            </w:r>
          </w:p>
        </w:tc>
      </w:tr>
    </w:tbl>
    <w:p>
      <w:pPr>
        <w:keepLines/>
        <w:spacing w:before="60" w:after="120"/>
      </w:pPr>
      <w:r>
        <w:rPr>
          <w:sz w:val="18"/>
        </w:rPr>
        <w:t>Controlled simulation.</w:t>
      </w:r>
    </w:p>
    <w:p>
      <w:r>
        <w:t>NMI with hidden phase is 0.570 for RawGeometry and 0.796 for PredictiveJacobian. The pilot model's response derivatives therefore recover the hidden generating structure more closely under this metric, without receiving the latent coordinate.</w:t>
      </w:r>
    </w:p>
    <w:p>
      <w:pPr>
        <w:keepNext/>
        <w:spacing w:after="60"/>
        <w:jc w:val="center"/>
      </w:pPr>
      <w:r>
        <w:drawing>
          <wp:inline xmlns:a="http://schemas.openxmlformats.org/drawingml/2006/main" xmlns:pic="http://schemas.openxmlformats.org/drawingml/2006/picture">
            <wp:extent cx="6309360" cy="4506686"/>
            <wp:docPr id="19" name="Picture 19"/>
            <wp:cNvGraphicFramePr>
              <a:graphicFrameLocks noChangeAspect="1"/>
            </wp:cNvGraphicFramePr>
            <a:graphic>
              <a:graphicData uri="http://schemas.openxmlformats.org/drawingml/2006/picture">
                <pic:pic>
                  <pic:nvPicPr>
                    <pic:cNvPr id="0" name="19_image19.png"/>
                    <pic:cNvPicPr/>
                  </pic:nvPicPr>
                  <pic:blipFill>
                    <a:blip r:embed="rId32"/>
                    <a:stretch>
                      <a:fillRect/>
                    </a:stretch>
                  </pic:blipFill>
                  <pic:spPr>
                    <a:xfrm>
                      <a:off x="0" y="0"/>
                      <a:ext cx="6309360" cy="4506686"/>
                    </a:xfrm>
                    <a:prstGeom prst="rect"/>
                  </pic:spPr>
                </pic:pic>
              </a:graphicData>
            </a:graphic>
          </wp:inline>
        </w:drawing>
      </w:r>
    </w:p>
    <w:p>
      <w:pPr>
        <w:pStyle w:val="Caption"/>
      </w:pPr>
      <w:r>
        <w:t>Figure 19. Discovered communities projected onto the observed synthetic manifold. Colours represent the discovered compatibility or predictive partition rather than supplied latent-phase labels.</w:t>
      </w:r>
    </w:p>
    <w:p>
      <w:pPr>
        <w:pStyle w:val="Heading3"/>
      </w:pPr>
      <w:r>
        <w:t>5.5.4 Hard partitions and shared parameters</w:t>
      </w:r>
    </w:p>
    <w:p>
      <w:pPr>
        <w:pStyle w:val="Caption"/>
        <w:keepNext/>
      </w:pPr>
      <w:r>
        <w:t>Table 36. Hard-partition prediction.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Training scheme</w:t>
            </w:r>
          </w:p>
        </w:tc>
        <w:tc>
          <w:tcPr>
            <w:tcW w:type="dxa" w:w="2664"/>
            <w:vAlign w:val="center"/>
            <w:shd w:fill="F2F2F2"/>
          </w:tcPr>
          <w:p>
            <w:pPr>
              <w:keepNext/>
              <w:spacing w:after="0" w:before="0" w:line="240" w:lineRule="auto"/>
            </w:pPr>
            <w:r>
              <w:rPr>
                <w:rFonts w:ascii="Calibri" w:hAnsi="Calibri"/>
                <w:b/>
                <w:sz w:val="19"/>
              </w:rPr>
              <w:t>Test MSE</w:t>
            </w:r>
          </w:p>
        </w:tc>
        <w:tc>
          <w:tcPr>
            <w:tcW w:type="dxa" w:w="2664"/>
            <w:vAlign w:val="center"/>
            <w:shd w:fill="F2F2F2"/>
          </w:tcPr>
          <w:p>
            <w:pPr>
              <w:keepNext/>
              <w:spacing w:after="0" w:before="0" w:line="240" w:lineRule="auto"/>
            </w:pPr>
            <w:r>
              <w:rPr>
                <w:rFonts w:ascii="Calibri" w:hAnsi="Calibri"/>
                <w:b/>
                <w:sz w:val="19"/>
              </w:rPr>
              <w:t>Boundary MSE</w:t>
            </w:r>
          </w:p>
        </w:tc>
        <w:tc>
          <w:tcPr>
            <w:tcW w:type="dxa" w:w="2664"/>
            <w:vAlign w:val="center"/>
            <w:shd w:fill="F2F2F2"/>
          </w:tcPr>
          <w:p>
            <w:pPr>
              <w:keepNext/>
              <w:spacing w:after="0" w:before="0" w:line="240" w:lineRule="auto"/>
            </w:pPr>
            <w:r>
              <w:rPr>
                <w:rFonts w:ascii="Calibri" w:hAnsi="Calibri"/>
                <w:b/>
                <w:sz w:val="19"/>
              </w:rPr>
              <w:t>Non-boundary MSE</w:t>
            </w:r>
          </w:p>
        </w:tc>
      </w:tr>
      <w:tr>
        <w:trPr>
          <w:cantSplit/>
        </w:trPr>
        <w:tc>
          <w:tcPr>
            <w:tcW w:type="dxa" w:w="2232"/>
            <w:vAlign w:val="center"/>
          </w:tcPr>
          <w:p>
            <w:pPr>
              <w:keepNext w:val="0"/>
              <w:spacing w:after="0" w:before="0" w:line="240" w:lineRule="auto"/>
            </w:pPr>
            <w:r>
              <w:rPr>
                <w:rFonts w:ascii="Calibri" w:hAnsi="Calibri"/>
                <w:b w:val="0"/>
                <w:sz w:val="19"/>
              </w:rPr>
              <w:t>Mono</w:t>
            </w:r>
          </w:p>
        </w:tc>
        <w:tc>
          <w:tcPr>
            <w:tcW w:type="dxa" w:w="2664"/>
            <w:vAlign w:val="center"/>
          </w:tcPr>
          <w:p>
            <w:pPr>
              <w:keepNext w:val="0"/>
              <w:spacing w:after="0" w:before="0" w:line="240" w:lineRule="auto"/>
              <w:jc w:val="right"/>
            </w:pPr>
            <w:r>
              <w:rPr>
                <w:rFonts w:ascii="Calibri" w:hAnsi="Calibri"/>
                <w:b w:val="0"/>
                <w:sz w:val="19"/>
              </w:rPr>
              <w:t>0.0250</w:t>
            </w:r>
          </w:p>
        </w:tc>
        <w:tc>
          <w:tcPr>
            <w:tcW w:type="dxa" w:w="2664"/>
            <w:vAlign w:val="center"/>
          </w:tcPr>
          <w:p>
            <w:pPr>
              <w:keepNext w:val="0"/>
              <w:spacing w:after="0" w:before="0" w:line="240" w:lineRule="auto"/>
              <w:jc w:val="right"/>
            </w:pPr>
            <w:r>
              <w:rPr>
                <w:rFonts w:ascii="Calibri" w:hAnsi="Calibri"/>
                <w:b w:val="0"/>
                <w:sz w:val="19"/>
              </w:rPr>
              <w:t>0.0217</w:t>
            </w:r>
          </w:p>
        </w:tc>
        <w:tc>
          <w:tcPr>
            <w:tcW w:type="dxa" w:w="2664"/>
            <w:vAlign w:val="center"/>
          </w:tcPr>
          <w:p>
            <w:pPr>
              <w:keepNext w:val="0"/>
              <w:spacing w:after="0" w:before="0" w:line="240" w:lineRule="auto"/>
              <w:jc w:val="right"/>
            </w:pPr>
            <w:r>
              <w:rPr>
                <w:rFonts w:ascii="Calibri" w:hAnsi="Calibri"/>
                <w:b w:val="0"/>
                <w:sz w:val="19"/>
              </w:rPr>
              <w:t>0.0256</w:t>
            </w:r>
          </w:p>
        </w:tc>
      </w:tr>
      <w:tr>
        <w:trPr>
          <w:cantSplit/>
        </w:trPr>
        <w:tc>
          <w:tcPr>
            <w:tcW w:type="dxa" w:w="2232"/>
            <w:vAlign w:val="center"/>
          </w:tcPr>
          <w:p>
            <w:pPr>
              <w:keepNext w:val="0"/>
              <w:spacing w:after="0" w:before="0" w:line="240" w:lineRule="auto"/>
            </w:pPr>
            <w:r>
              <w:rPr>
                <w:rFonts w:ascii="Calibri" w:hAnsi="Calibri"/>
                <w:b w:val="0"/>
                <w:sz w:val="19"/>
              </w:rPr>
              <w:t>OraclePhase</w:t>
            </w:r>
          </w:p>
        </w:tc>
        <w:tc>
          <w:tcPr>
            <w:tcW w:type="dxa" w:w="2664"/>
            <w:vAlign w:val="center"/>
          </w:tcPr>
          <w:p>
            <w:pPr>
              <w:keepNext w:val="0"/>
              <w:spacing w:after="0" w:before="0" w:line="240" w:lineRule="auto"/>
              <w:jc w:val="right"/>
            </w:pPr>
            <w:r>
              <w:rPr>
                <w:rFonts w:ascii="Calibri" w:hAnsi="Calibri"/>
                <w:b w:val="0"/>
                <w:sz w:val="19"/>
              </w:rPr>
              <w:t>0.0971</w:t>
            </w:r>
          </w:p>
        </w:tc>
        <w:tc>
          <w:tcPr>
            <w:tcW w:type="dxa" w:w="2664"/>
            <w:vAlign w:val="center"/>
          </w:tcPr>
          <w:p>
            <w:pPr>
              <w:keepNext w:val="0"/>
              <w:spacing w:after="0" w:before="0" w:line="240" w:lineRule="auto"/>
              <w:jc w:val="right"/>
            </w:pPr>
            <w:r>
              <w:rPr>
                <w:rFonts w:ascii="Calibri" w:hAnsi="Calibri"/>
                <w:b w:val="0"/>
                <w:sz w:val="19"/>
              </w:rPr>
              <w:t>0.2052</w:t>
            </w:r>
          </w:p>
        </w:tc>
        <w:tc>
          <w:tcPr>
            <w:tcW w:type="dxa" w:w="2664"/>
            <w:vAlign w:val="center"/>
          </w:tcPr>
          <w:p>
            <w:pPr>
              <w:keepNext w:val="0"/>
              <w:spacing w:after="0" w:before="0" w:line="240" w:lineRule="auto"/>
              <w:jc w:val="right"/>
            </w:pPr>
            <w:r>
              <w:rPr>
                <w:rFonts w:ascii="Calibri" w:hAnsi="Calibri"/>
                <w:b w:val="0"/>
                <w:sz w:val="19"/>
              </w:rPr>
              <w:t>0.0782</w:t>
            </w:r>
          </w:p>
        </w:tc>
      </w:tr>
      <w:tr>
        <w:trPr>
          <w:cantSplit/>
        </w:trPr>
        <w:tc>
          <w:tcPr>
            <w:tcW w:type="dxa" w:w="2232"/>
            <w:vAlign w:val="center"/>
          </w:tcPr>
          <w:p>
            <w:pPr>
              <w:keepNext w:val="0"/>
              <w:spacing w:after="0" w:before="0" w:line="240" w:lineRule="auto"/>
            </w:pPr>
            <w:r>
              <w:rPr>
                <w:rFonts w:ascii="Calibri" w:hAnsi="Calibri"/>
                <w:b w:val="0"/>
                <w:sz w:val="19"/>
              </w:rPr>
              <w:t>Predictive​Jacobian</w:t>
            </w:r>
          </w:p>
        </w:tc>
        <w:tc>
          <w:tcPr>
            <w:tcW w:type="dxa" w:w="2664"/>
            <w:vAlign w:val="center"/>
          </w:tcPr>
          <w:p>
            <w:pPr>
              <w:keepNext w:val="0"/>
              <w:spacing w:after="0" w:before="0" w:line="240" w:lineRule="auto"/>
              <w:jc w:val="right"/>
            </w:pPr>
            <w:r>
              <w:rPr>
                <w:rFonts w:ascii="Calibri" w:hAnsi="Calibri"/>
                <w:b w:val="0"/>
                <w:sz w:val="19"/>
              </w:rPr>
              <w:t>0.0978</w:t>
            </w:r>
          </w:p>
        </w:tc>
        <w:tc>
          <w:tcPr>
            <w:tcW w:type="dxa" w:w="2664"/>
            <w:vAlign w:val="center"/>
          </w:tcPr>
          <w:p>
            <w:pPr>
              <w:keepNext w:val="0"/>
              <w:spacing w:after="0" w:before="0" w:line="240" w:lineRule="auto"/>
              <w:jc w:val="right"/>
            </w:pPr>
            <w:r>
              <w:rPr>
                <w:rFonts w:ascii="Calibri" w:hAnsi="Calibri"/>
                <w:b w:val="0"/>
                <w:sz w:val="19"/>
              </w:rPr>
              <w:t>0.1849</w:t>
            </w:r>
          </w:p>
        </w:tc>
        <w:tc>
          <w:tcPr>
            <w:tcW w:type="dxa" w:w="2664"/>
            <w:vAlign w:val="center"/>
          </w:tcPr>
          <w:p>
            <w:pPr>
              <w:keepNext w:val="0"/>
              <w:spacing w:after="0" w:before="0" w:line="240" w:lineRule="auto"/>
              <w:jc w:val="right"/>
            </w:pPr>
            <w:r>
              <w:rPr>
                <w:rFonts w:ascii="Calibri" w:hAnsi="Calibri"/>
                <w:b w:val="0"/>
                <w:sz w:val="19"/>
              </w:rPr>
              <w:t>0.0826</w:t>
            </w:r>
          </w:p>
        </w:tc>
      </w:tr>
      <w:tr>
        <w:trPr>
          <w:cantSplit/>
        </w:trPr>
        <w:tc>
          <w:tcPr>
            <w:tcW w:type="dxa" w:w="2232"/>
            <w:vAlign w:val="center"/>
          </w:tcPr>
          <w:p>
            <w:pPr>
              <w:keepNext w:val="0"/>
              <w:spacing w:after="0" w:before="0" w:line="240" w:lineRule="auto"/>
            </w:pPr>
            <w:r>
              <w:rPr>
                <w:rFonts w:ascii="Calibri" w:hAnsi="Calibri"/>
                <w:b w:val="0"/>
                <w:sz w:val="19"/>
              </w:rPr>
              <w:t>RawGeometry</w:t>
            </w:r>
          </w:p>
        </w:tc>
        <w:tc>
          <w:tcPr>
            <w:tcW w:type="dxa" w:w="2664"/>
            <w:vAlign w:val="center"/>
          </w:tcPr>
          <w:p>
            <w:pPr>
              <w:keepNext w:val="0"/>
              <w:spacing w:after="0" w:before="0" w:line="240" w:lineRule="auto"/>
              <w:jc w:val="right"/>
            </w:pPr>
            <w:r>
              <w:rPr>
                <w:rFonts w:ascii="Calibri" w:hAnsi="Calibri"/>
                <w:b w:val="0"/>
                <w:sz w:val="19"/>
              </w:rPr>
              <w:t>0.1482</w:t>
            </w:r>
          </w:p>
        </w:tc>
        <w:tc>
          <w:tcPr>
            <w:tcW w:type="dxa" w:w="2664"/>
            <w:vAlign w:val="center"/>
          </w:tcPr>
          <w:p>
            <w:pPr>
              <w:keepNext w:val="0"/>
              <w:spacing w:after="0" w:before="0" w:line="240" w:lineRule="auto"/>
              <w:jc w:val="right"/>
            </w:pPr>
            <w:r>
              <w:rPr>
                <w:rFonts w:ascii="Calibri" w:hAnsi="Calibri"/>
                <w:b w:val="0"/>
                <w:sz w:val="19"/>
              </w:rPr>
              <w:t>0.1797</w:t>
            </w:r>
          </w:p>
        </w:tc>
        <w:tc>
          <w:tcPr>
            <w:tcW w:type="dxa" w:w="2664"/>
            <w:vAlign w:val="center"/>
          </w:tcPr>
          <w:p>
            <w:pPr>
              <w:keepNext w:val="0"/>
              <w:spacing w:after="0" w:before="0" w:line="240" w:lineRule="auto"/>
              <w:jc w:val="right"/>
            </w:pPr>
            <w:r>
              <w:rPr>
                <w:rFonts w:ascii="Calibri" w:hAnsi="Calibri"/>
                <w:b w:val="0"/>
                <w:sz w:val="19"/>
              </w:rPr>
              <w:t>0.1427</w:t>
            </w:r>
          </w:p>
        </w:tc>
      </w:tr>
      <w:tr>
        <w:trPr>
          <w:cantSplit/>
        </w:trPr>
        <w:tc>
          <w:tcPr>
            <w:tcW w:type="dxa" w:w="2232"/>
            <w:vAlign w:val="center"/>
          </w:tcPr>
          <w:p>
            <w:pPr>
              <w:keepNext w:val="0"/>
              <w:spacing w:after="0" w:before="0" w:line="240" w:lineRule="auto"/>
            </w:pPr>
            <w:r>
              <w:rPr>
                <w:rFonts w:ascii="Calibri" w:hAnsi="Calibri"/>
                <w:b w:val="0"/>
                <w:sz w:val="19"/>
              </w:rPr>
              <w:t>Compatibility​Graph</w:t>
            </w:r>
          </w:p>
        </w:tc>
        <w:tc>
          <w:tcPr>
            <w:tcW w:type="dxa" w:w="2664"/>
            <w:vAlign w:val="center"/>
          </w:tcPr>
          <w:p>
            <w:pPr>
              <w:keepNext w:val="0"/>
              <w:spacing w:after="0" w:before="0" w:line="240" w:lineRule="auto"/>
              <w:jc w:val="right"/>
            </w:pPr>
            <w:r>
              <w:rPr>
                <w:rFonts w:ascii="Calibri" w:hAnsi="Calibri"/>
                <w:b w:val="0"/>
                <w:sz w:val="19"/>
              </w:rPr>
              <w:t>0.1516</w:t>
            </w:r>
          </w:p>
        </w:tc>
        <w:tc>
          <w:tcPr>
            <w:tcW w:type="dxa" w:w="2664"/>
            <w:vAlign w:val="center"/>
          </w:tcPr>
          <w:p>
            <w:pPr>
              <w:keepNext w:val="0"/>
              <w:spacing w:after="0" w:before="0" w:line="240" w:lineRule="auto"/>
              <w:jc w:val="right"/>
            </w:pPr>
            <w:r>
              <w:rPr>
                <w:rFonts w:ascii="Calibri" w:hAnsi="Calibri"/>
                <w:b w:val="0"/>
                <w:sz w:val="19"/>
              </w:rPr>
              <w:t>0.1597</w:t>
            </w:r>
          </w:p>
        </w:tc>
        <w:tc>
          <w:tcPr>
            <w:tcW w:type="dxa" w:w="2664"/>
            <w:vAlign w:val="center"/>
          </w:tcPr>
          <w:p>
            <w:pPr>
              <w:keepNext w:val="0"/>
              <w:spacing w:after="0" w:before="0" w:line="240" w:lineRule="auto"/>
              <w:jc w:val="right"/>
            </w:pPr>
            <w:r>
              <w:rPr>
                <w:rFonts w:ascii="Calibri" w:hAnsi="Calibri"/>
                <w:b w:val="0"/>
                <w:sz w:val="19"/>
              </w:rPr>
              <w:t>0.1502</w:t>
            </w:r>
          </w:p>
        </w:tc>
      </w:tr>
      <w:tr>
        <w:trPr>
          <w:cantSplit/>
        </w:trPr>
        <w:tc>
          <w:tcPr>
            <w:tcW w:type="dxa" w:w="2232"/>
            <w:vAlign w:val="center"/>
          </w:tcPr>
          <w:p>
            <w:pPr>
              <w:keepNext/>
              <w:spacing w:after="0" w:before="0" w:line="240" w:lineRule="auto"/>
            </w:pPr>
            <w:r>
              <w:rPr>
                <w:rFonts w:ascii="Calibri" w:hAnsi="Calibri"/>
                <w:b w:val="0"/>
                <w:sz w:val="19"/>
              </w:rPr>
              <w:t>RandomLocal</w:t>
            </w:r>
          </w:p>
        </w:tc>
        <w:tc>
          <w:tcPr>
            <w:tcW w:type="dxa" w:w="2664"/>
            <w:vAlign w:val="center"/>
          </w:tcPr>
          <w:p>
            <w:pPr>
              <w:keepNext/>
              <w:spacing w:after="0" w:before="0" w:line="240" w:lineRule="auto"/>
              <w:jc w:val="right"/>
            </w:pPr>
            <w:r>
              <w:rPr>
                <w:rFonts w:ascii="Calibri" w:hAnsi="Calibri"/>
                <w:b w:val="0"/>
                <w:sz w:val="19"/>
              </w:rPr>
              <w:t>0.2060</w:t>
            </w:r>
          </w:p>
        </w:tc>
        <w:tc>
          <w:tcPr>
            <w:tcW w:type="dxa" w:w="2664"/>
            <w:vAlign w:val="center"/>
          </w:tcPr>
          <w:p>
            <w:pPr>
              <w:keepNext/>
              <w:spacing w:after="0" w:before="0" w:line="240" w:lineRule="auto"/>
              <w:jc w:val="right"/>
            </w:pPr>
            <w:r>
              <w:rPr>
                <w:rFonts w:ascii="Calibri" w:hAnsi="Calibri"/>
                <w:b w:val="0"/>
                <w:sz w:val="19"/>
              </w:rPr>
              <w:t>0.2232</w:t>
            </w:r>
          </w:p>
        </w:tc>
        <w:tc>
          <w:tcPr>
            <w:tcW w:type="dxa" w:w="2664"/>
            <w:vAlign w:val="center"/>
          </w:tcPr>
          <w:p>
            <w:pPr>
              <w:keepNext/>
              <w:spacing w:after="0" w:before="0" w:line="240" w:lineRule="auto"/>
              <w:jc w:val="right"/>
            </w:pPr>
            <w:r>
              <w:rPr>
                <w:rFonts w:ascii="Calibri" w:hAnsi="Calibri"/>
                <w:b w:val="0"/>
                <w:sz w:val="19"/>
              </w:rPr>
              <w:t>0.2029</w:t>
            </w:r>
          </w:p>
        </w:tc>
      </w:tr>
    </w:tbl>
    <w:p>
      <w:pPr>
        <w:keepLines/>
        <w:spacing w:before="60" w:after="120"/>
      </w:pPr>
      <w:r>
        <w:rPr>
          <w:sz w:val="18"/>
        </w:rPr>
        <w:t>Controlled simulation. Lower MSE indicates lower prediction error within the same task and target scaling.</w:t>
      </w:r>
    </w:p>
    <w:p>
      <w:r>
        <w:t>PredictiveJacobian closely recovers phase structure, but independently training four hard-partitioned experts gives test MSE approximately 0.0978. MonoBlock achieves 0.0250, and even the oracle phase-quartile partition gives approximately 0.0971. Recovery of a meaningful map therefore does not establish that independent parameter blocks are the best use of it.</w:t>
      </w:r>
    </w:p>
    <w:p>
      <w:r>
        <w:t>A functional map can guide additional local capacity and preserve sharing across a continuous transition field.</w:t>
      </w:r>
    </w:p>
    <w:p>
      <w:pPr>
        <w:keepNext/>
        <w:spacing w:after="60"/>
        <w:jc w:val="center"/>
      </w:pPr>
      <w:r>
        <w:drawing>
          <wp:inline xmlns:a="http://schemas.openxmlformats.org/drawingml/2006/main" xmlns:pic="http://schemas.openxmlformats.org/drawingml/2006/picture">
            <wp:extent cx="6309360" cy="3785616"/>
            <wp:docPr id="20" name="Picture 20"/>
            <wp:cNvGraphicFramePr>
              <a:graphicFrameLocks noChangeAspect="1"/>
            </wp:cNvGraphicFramePr>
            <a:graphic>
              <a:graphicData uri="http://schemas.openxmlformats.org/drawingml/2006/picture">
                <pic:pic>
                  <pic:nvPicPr>
                    <pic:cNvPr id="0" name="20_image20.png"/>
                    <pic:cNvPicPr/>
                  </pic:nvPicPr>
                  <pic:blipFill>
                    <a:blip r:embed="rId33"/>
                    <a:stretch>
                      <a:fillRect/>
                    </a:stretch>
                  </pic:blipFill>
                  <pic:spPr>
                    <a:xfrm>
                      <a:off x="0" y="0"/>
                      <a:ext cx="6309360" cy="3785616"/>
                    </a:xfrm>
                    <a:prstGeom prst="rect"/>
                  </pic:spPr>
                </pic:pic>
              </a:graphicData>
            </a:graphic>
          </wp:inline>
        </w:drawing>
      </w:r>
    </w:p>
    <w:p>
      <w:pPr>
        <w:pStyle w:val="Caption"/>
      </w:pPr>
      <w:r>
        <w:t>Figure 20. Prediction performance after discovering local structure. Hard partitions have higher error than Mono; shared predictors with soft residual experts retain continuity and improve the evaluated predictions.</w:t>
      </w:r>
    </w:p>
    <w:p>
      <w:pPr>
        <w:pStyle w:val="Heading3"/>
      </w:pPr>
      <w:r>
        <w:t>5.5.5 Local residual capacity over a shared predictor</w:t>
      </w:r>
    </w:p>
    <w:p>
      <w:pPr>
        <w:pStyle w:val="Caption"/>
        <w:keepNext/>
      </w:pPr>
      <w:r>
        <w:t>Table 37. Shared prediction with local residuals.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Architecture</w:t>
            </w:r>
          </w:p>
        </w:tc>
        <w:tc>
          <w:tcPr>
            <w:tcW w:type="dxa" w:w="2664"/>
            <w:vAlign w:val="center"/>
            <w:shd w:fill="F2F2F2"/>
          </w:tcPr>
          <w:p>
            <w:pPr>
              <w:keepNext/>
              <w:spacing w:after="0" w:before="0" w:line="240" w:lineRule="auto"/>
            </w:pPr>
            <w:r>
              <w:rPr>
                <w:rFonts w:ascii="Calibri" w:hAnsi="Calibri"/>
                <w:b/>
                <w:sz w:val="19"/>
              </w:rPr>
              <w:t>Test MSE</w:t>
            </w:r>
          </w:p>
        </w:tc>
        <w:tc>
          <w:tcPr>
            <w:tcW w:type="dxa" w:w="2664"/>
            <w:vAlign w:val="center"/>
            <w:shd w:fill="F2F2F2"/>
          </w:tcPr>
          <w:p>
            <w:pPr>
              <w:keepNext/>
              <w:spacing w:after="0" w:before="0" w:line="240" w:lineRule="auto"/>
            </w:pPr>
            <w:r>
              <w:rPr>
                <w:rFonts w:ascii="Calibri" w:hAnsi="Calibri"/>
                <w:b/>
                <w:sz w:val="19"/>
              </w:rPr>
              <w:t>Boundary MSE</w:t>
            </w:r>
          </w:p>
        </w:tc>
        <w:tc>
          <w:tcPr>
            <w:tcW w:type="dxa" w:w="2664"/>
            <w:vAlign w:val="center"/>
            <w:shd w:fill="F2F2F2"/>
          </w:tcPr>
          <w:p>
            <w:pPr>
              <w:keepNext/>
              <w:spacing w:after="0" w:before="0" w:line="240" w:lineRule="auto"/>
            </w:pPr>
            <w:r>
              <w:rPr>
                <w:rFonts w:ascii="Calibri" w:hAnsi="Calibri"/>
                <w:b/>
                <w:sz w:val="19"/>
              </w:rPr>
              <w:t>Non-boundary MSE</w:t>
            </w:r>
          </w:p>
        </w:tc>
      </w:tr>
      <w:tr>
        <w:trPr>
          <w:cantSplit/>
        </w:trPr>
        <w:tc>
          <w:tcPr>
            <w:tcW w:type="dxa" w:w="2232"/>
            <w:vAlign w:val="center"/>
          </w:tcPr>
          <w:p>
            <w:pPr>
              <w:keepNext w:val="0"/>
              <w:spacing w:after="0" w:before="0" w:line="240" w:lineRule="auto"/>
            </w:pPr>
            <w:r>
              <w:rPr>
                <w:rFonts w:ascii="Calibri" w:hAnsi="Calibri"/>
                <w:b w:val="0"/>
                <w:sz w:val="19"/>
              </w:rPr>
              <w:t>Shared​Predictive​Residual</w:t>
            </w:r>
          </w:p>
        </w:tc>
        <w:tc>
          <w:tcPr>
            <w:tcW w:type="dxa" w:w="2664"/>
            <w:vAlign w:val="center"/>
          </w:tcPr>
          <w:p>
            <w:pPr>
              <w:keepNext w:val="0"/>
              <w:spacing w:after="0" w:before="0" w:line="240" w:lineRule="auto"/>
              <w:jc w:val="right"/>
            </w:pPr>
            <w:r>
              <w:rPr>
                <w:rFonts w:ascii="Calibri" w:hAnsi="Calibri"/>
                <w:b w:val="0"/>
                <w:sz w:val="19"/>
              </w:rPr>
              <w:t>0.0187</w:t>
            </w:r>
          </w:p>
        </w:tc>
        <w:tc>
          <w:tcPr>
            <w:tcW w:type="dxa" w:w="2664"/>
            <w:vAlign w:val="center"/>
          </w:tcPr>
          <w:p>
            <w:pPr>
              <w:keepNext w:val="0"/>
              <w:spacing w:after="0" w:before="0" w:line="240" w:lineRule="auto"/>
              <w:jc w:val="right"/>
            </w:pPr>
            <w:r>
              <w:rPr>
                <w:rFonts w:ascii="Calibri" w:hAnsi="Calibri"/>
                <w:b w:val="0"/>
                <w:sz w:val="19"/>
              </w:rPr>
              <w:t>0.0170</w:t>
            </w:r>
          </w:p>
        </w:tc>
        <w:tc>
          <w:tcPr>
            <w:tcW w:type="dxa" w:w="2664"/>
            <w:vAlign w:val="center"/>
          </w:tcPr>
          <w:p>
            <w:pPr>
              <w:keepNext w:val="0"/>
              <w:spacing w:after="0" w:before="0" w:line="240" w:lineRule="auto"/>
              <w:jc w:val="right"/>
            </w:pPr>
            <w:r>
              <w:rPr>
                <w:rFonts w:ascii="Calibri" w:hAnsi="Calibri"/>
                <w:b w:val="0"/>
                <w:sz w:val="19"/>
              </w:rPr>
              <w:t>0.0190</w:t>
            </w:r>
          </w:p>
        </w:tc>
      </w:tr>
      <w:tr>
        <w:trPr>
          <w:cantSplit/>
        </w:trPr>
        <w:tc>
          <w:tcPr>
            <w:tcW w:type="dxa" w:w="2232"/>
            <w:vAlign w:val="center"/>
          </w:tcPr>
          <w:p>
            <w:pPr>
              <w:keepNext w:val="0"/>
              <w:spacing w:after="0" w:before="0" w:line="240" w:lineRule="auto"/>
            </w:pPr>
            <w:r>
              <w:rPr>
                <w:rFonts w:ascii="Calibri" w:hAnsi="Calibri"/>
                <w:b w:val="0"/>
                <w:sz w:val="19"/>
              </w:rPr>
              <w:t>Shared​Raw​Residual</w:t>
            </w:r>
          </w:p>
        </w:tc>
        <w:tc>
          <w:tcPr>
            <w:tcW w:type="dxa" w:w="2664"/>
            <w:vAlign w:val="center"/>
          </w:tcPr>
          <w:p>
            <w:pPr>
              <w:keepNext w:val="0"/>
              <w:spacing w:after="0" w:before="0" w:line="240" w:lineRule="auto"/>
              <w:jc w:val="right"/>
            </w:pPr>
            <w:r>
              <w:rPr>
                <w:rFonts w:ascii="Calibri" w:hAnsi="Calibri"/>
                <w:b w:val="0"/>
                <w:sz w:val="19"/>
              </w:rPr>
              <w:t>0.0188</w:t>
            </w:r>
          </w:p>
        </w:tc>
        <w:tc>
          <w:tcPr>
            <w:tcW w:type="dxa" w:w="2664"/>
            <w:vAlign w:val="center"/>
          </w:tcPr>
          <w:p>
            <w:pPr>
              <w:keepNext w:val="0"/>
              <w:spacing w:after="0" w:before="0" w:line="240" w:lineRule="auto"/>
              <w:jc w:val="right"/>
            </w:pPr>
            <w:r>
              <w:rPr>
                <w:rFonts w:ascii="Calibri" w:hAnsi="Calibri"/>
                <w:b w:val="0"/>
                <w:sz w:val="19"/>
              </w:rPr>
              <w:t>0.0224</w:t>
            </w:r>
          </w:p>
        </w:tc>
        <w:tc>
          <w:tcPr>
            <w:tcW w:type="dxa" w:w="2664"/>
            <w:vAlign w:val="center"/>
          </w:tcPr>
          <w:p>
            <w:pPr>
              <w:keepNext w:val="0"/>
              <w:spacing w:after="0" w:before="0" w:line="240" w:lineRule="auto"/>
              <w:jc w:val="right"/>
            </w:pPr>
            <w:r>
              <w:rPr>
                <w:rFonts w:ascii="Calibri" w:hAnsi="Calibri"/>
                <w:b w:val="0"/>
                <w:sz w:val="19"/>
              </w:rPr>
              <w:t>0.0182</w:t>
            </w:r>
          </w:p>
        </w:tc>
      </w:tr>
      <w:tr>
        <w:trPr>
          <w:cantSplit/>
        </w:trPr>
        <w:tc>
          <w:tcPr>
            <w:tcW w:type="dxa" w:w="2232"/>
            <w:vAlign w:val="center"/>
          </w:tcPr>
          <w:p>
            <w:pPr>
              <w:keepNext/>
              <w:spacing w:after="0" w:before="0" w:line="240" w:lineRule="auto"/>
            </w:pPr>
            <w:r>
              <w:rPr>
                <w:rFonts w:ascii="Calibri" w:hAnsi="Calibri"/>
                <w:b w:val="0"/>
                <w:sz w:val="19"/>
              </w:rPr>
              <w:t>Predictive​Compatibility​Graph</w:t>
            </w:r>
          </w:p>
        </w:tc>
        <w:tc>
          <w:tcPr>
            <w:tcW w:type="dxa" w:w="2664"/>
            <w:vAlign w:val="center"/>
          </w:tcPr>
          <w:p>
            <w:pPr>
              <w:keepNext/>
              <w:spacing w:after="0" w:before="0" w:line="240" w:lineRule="auto"/>
              <w:jc w:val="right"/>
            </w:pPr>
            <w:r>
              <w:rPr>
                <w:rFonts w:ascii="Calibri" w:hAnsi="Calibri"/>
                <w:b w:val="0"/>
                <w:sz w:val="19"/>
              </w:rPr>
              <w:t>0.0961</w:t>
            </w:r>
          </w:p>
        </w:tc>
        <w:tc>
          <w:tcPr>
            <w:tcW w:type="dxa" w:w="2664"/>
            <w:vAlign w:val="center"/>
          </w:tcPr>
          <w:p>
            <w:pPr>
              <w:keepNext/>
              <w:spacing w:after="0" w:before="0" w:line="240" w:lineRule="auto"/>
              <w:jc w:val="right"/>
            </w:pPr>
            <w:r>
              <w:rPr>
                <w:rFonts w:ascii="Calibri" w:hAnsi="Calibri"/>
                <w:b w:val="0"/>
                <w:sz w:val="19"/>
              </w:rPr>
              <w:t>0.0941</w:t>
            </w:r>
          </w:p>
        </w:tc>
        <w:tc>
          <w:tcPr>
            <w:tcW w:type="dxa" w:w="2664"/>
            <w:vAlign w:val="center"/>
          </w:tcPr>
          <w:p>
            <w:pPr>
              <w:keepNext/>
              <w:spacing w:after="0" w:before="0" w:line="240" w:lineRule="auto"/>
              <w:jc w:val="right"/>
            </w:pPr>
            <w:r>
              <w:rPr>
                <w:rFonts w:ascii="Calibri" w:hAnsi="Calibri"/>
                <w:b w:val="0"/>
                <w:sz w:val="19"/>
              </w:rPr>
              <w:t>0.0964</w:t>
            </w:r>
          </w:p>
        </w:tc>
      </w:tr>
    </w:tbl>
    <w:p>
      <w:pPr>
        <w:keepLines/>
        <w:spacing w:before="60" w:after="120"/>
      </w:pPr>
      <w:r>
        <w:rPr>
          <w:sz w:val="18"/>
        </w:rPr>
        <w:t>Controlled simulation. Lower MSE indicates lower prediction error within the same task and target scaling.</w:t>
      </w:r>
    </w:p>
    <w:p>
      <w:r>
        <w:t>Retaining a shared trunk and continuously weighting four residual experts by predictive geometry reduces MSE from 0.0250 to 0.0187, approximately 25%. Raw-geometry soft residuals give similar overall MSE, 0.0188, but boundary MSE is 0.0224 versus 0.0170 for predictive residuals, a reduction of approximately 24%. The predictive map is particularly useful near the evaluated boundaries.</w:t>
      </w:r>
    </w:p>
    <w:p>
      <w:pPr>
        <w:spacing w:before="60" w:after="140"/>
        <w:jc w:val="center"/>
      </w:pPr>
      <m:oMath>
        <m:r>
          <m:t>ŷ(x) = </m:t>
        </m:r>
        <m:sSub>
          <m:e>
            <m:r>
              <m:t>f</m:t>
            </m:r>
          </m:e>
          <m:sub>
            <m:r>
              <m:t>shared</m:t>
            </m:r>
          </m:sub>
        </m:sSub>
        <m:r>
          <m:t>(x) + </m:t>
        </m:r>
        <m:sSub>
          <m:e>
            <m:r>
              <m:t>∑</m:t>
            </m:r>
          </m:e>
          <m:sub>
            <m:r>
              <m:t>k</m:t>
            </m:r>
          </m:sub>
        </m:sSub>
        <m:r>
          <m:t> </m:t>
        </m:r>
        <m:sSub>
          <m:e>
            <m:r>
              <m:t>w</m:t>
            </m:r>
          </m:e>
          <m:sub>
            <m:r>
              <m:t>k</m:t>
            </m:r>
          </m:sub>
        </m:sSub>
        <m:r>
          <m:t>(generative-state(x)) </m:t>
        </m:r>
        <m:sSub>
          <m:e>
            <m:r>
              <m:t>r</m:t>
            </m:r>
          </m:e>
          <m:sub>
            <m:r>
              <m:t>k</m:t>
            </m:r>
          </m:sub>
        </m:sSub>
        <m:r>
          <m:t>(x)</m:t>
        </m:r>
      </m:oMath>
    </w:p>
    <w:p>
      <w:r>
        <w:t>The tested architecture combines a shared global function with overlapping local corrections. Experts act as overlapping neighbourhood models over the generating manifold.</w:t>
      </w:r>
    </w:p>
    <w:p>
      <w:pPr>
        <w:pStyle w:val="Heading3"/>
      </w:pPr>
      <w:r>
        <w:t>5.5.6 Dependence on neighbourhood construction</w:t>
      </w:r>
    </w:p>
    <w:p>
      <w:r>
        <w:t>When the compatibility graph begins with raw-observation neighbourhoods, spectral communities have phase NMI 0.344. Constructing neighbourhoods in predictive-function space raises it to 0.516, still below 0.796 for direct PredictiveJacobian clustering.</w:t>
      </w:r>
    </w:p>
    <w:p>
      <w:r>
        <w:t>The measured transfer kernel depends on the neighbourhood basis, update step size and adequacy of the pilot state. Predictive neighbourhoods improve this construction, but compatibility estimates should be checked for sensitivity to those choices.</w:t>
      </w:r>
    </w:p>
    <w:p>
      <w:pPr>
        <w:keepNext/>
        <w:spacing w:after="60"/>
        <w:jc w:val="center"/>
      </w:pPr>
      <w:r>
        <w:drawing>
          <wp:inline xmlns:a="http://schemas.openxmlformats.org/drawingml/2006/main" xmlns:pic="http://schemas.openxmlformats.org/drawingml/2006/picture">
            <wp:extent cx="6309360" cy="4556760"/>
            <wp:docPr id="21" name="Picture 21"/>
            <wp:cNvGraphicFramePr>
              <a:graphicFrameLocks noChangeAspect="1"/>
            </wp:cNvGraphicFramePr>
            <a:graphic>
              <a:graphicData uri="http://schemas.openxmlformats.org/drawingml/2006/picture">
                <pic:pic>
                  <pic:nvPicPr>
                    <pic:cNvPr id="0" name="21_image21.png"/>
                    <pic:cNvPicPr/>
                  </pic:nvPicPr>
                  <pic:blipFill>
                    <a:blip r:embed="rId34"/>
                    <a:stretch>
                      <a:fillRect/>
                    </a:stretch>
                  </pic:blipFill>
                  <pic:spPr>
                    <a:xfrm>
                      <a:off x="0" y="0"/>
                      <a:ext cx="6309360" cy="4556760"/>
                    </a:xfrm>
                    <a:prstGeom prst="rect"/>
                  </pic:spPr>
                </pic:pic>
              </a:graphicData>
            </a:graphic>
          </wp:inline>
        </w:drawing>
      </w:r>
    </w:p>
    <w:p>
      <w:pPr>
        <w:pStyle w:val="Caption"/>
      </w:pPr>
      <w:r>
        <w:t>Figure 21. Training compatibility kernel constructed from predictive-function neighbourhoods in the synthetic manifold experiment. The node definition changes the structure recovered by the transfer diagnostic.</w:t>
      </w:r>
    </w:p>
    <w:p>
      <w:pPr>
        <w:pStyle w:val="Heading3"/>
      </w:pPr>
      <w:r>
        <w:t>5.5.7 An overlapping cover for local capacity</w:t>
      </w:r>
    </w:p>
    <w:p>
      <w:r>
        <w:t>A partition map can specify where capacity is allocated, with overlapping rather than exclusive membership.</w:t>
      </w:r>
    </w:p>
    <w:p>
      <w:r>
        <w:t>Together, experiments 006 and 007 support the following candidate procedure.</w:t>
      </w:r>
    </w:p>
    <w:p>
      <w:pPr>
        <w:pStyle w:val="ListBullet"/>
      </w:pPr>
      <w:r>
        <w:t>Estimate generating neighbourhoods through their predictive consequences.</w:t>
      </w:r>
    </w:p>
    <w:p>
      <w:pPr>
        <w:pStyle w:val="ListBullet"/>
      </w:pPr>
      <w:r>
        <w:t>Retain shared parameters across regions with compatible prediction constraints.</w:t>
      </w:r>
    </w:p>
    <w:p>
      <w:pPr>
        <w:pStyle w:val="ListBullet"/>
      </w:pPr>
      <w:r>
        <w:t>Vary local expert or residual weights continuously with predictive similarity.</w:t>
      </w:r>
    </w:p>
    <w:p>
      <w:pPr>
        <w:pStyle w:val="ListBullet"/>
      </w:pPr>
      <w:r>
        <w:t>Consider a hard boundary where negative transfer is persistent and the measured boundary cost is acceptable.</w:t>
      </w:r>
    </w:p>
    <w:p>
      <w:pPr>
        <w:pStyle w:val="ListBullet"/>
      </w:pPr>
      <w:r>
        <w:t>Allow observations to recruit multiple experts when their useful predictive structure overlaps.</w:t>
      </w:r>
    </w:p>
    <w:p>
      <w:r>
        <w:t>The operational sequence is observation history, predictive-state estimation, generating neighbourhoods, an overlapping cover, and local capacity allocation.</w:t>
      </w:r>
    </w:p>
    <w:p>
      <w:pPr>
        <w:pStyle w:val="Heading3"/>
      </w:pPr>
      <w:r>
        <w:t>5.5.8 Implications for conditional computation</w:t>
      </w:r>
    </w:p>
    <w:p>
      <w:r>
        <w:t>The result motivates continuous allocation of computation over a learned predictive geometry. A model can use shared parameters and overlapping local modules without assigning one expert to each named modality.</w:t>
      </w:r>
    </w:p>
    <w:p>
      <w:r>
        <w:t>Conditional modular computation over a generating manifold includes shared trunks with soft residual fields and other state-dependent local modules. Top-k sparse routing is one implementation to compare against these alternatives.</w:t>
      </w:r>
    </w:p>
    <w:p>
      <w:pPr>
        <w:pStyle w:val="Heading3"/>
      </w:pPr>
      <w:r>
        <w:t>5.5.9 Evidence records</w:t>
      </w:r>
    </w:p>
    <w:p>
      <w:pPr>
        <w:spacing w:after="40"/>
      </w:pPr>
      <w:r>
        <w:rPr>
          <w:sz w:val="18"/>
        </w:rPr>
        <w:t>HIDDEN_​MANIFOLD_​PARTITION_​007_​bundle.zip</w:t>
      </w:r>
    </w:p>
    <w:p>
      <w:pPr>
        <w:spacing w:after="40"/>
      </w:pPr>
      <w:r>
        <w:rPr>
          <w:sz w:val="18"/>
        </w:rPr>
        <w:t>HIDDEN_​MANIFOLD_​PARTITION_​007/​partition_​recovery.csv</w:t>
      </w:r>
    </w:p>
    <w:p>
      <w:pPr>
        <w:spacing w:after="40"/>
      </w:pPr>
      <w:r>
        <w:rPr>
          <w:sz w:val="18"/>
        </w:rPr>
        <w:t>HIDDEN_​MANIFOLD_​PARTITION_​007/​partition_​performance.csv</w:t>
      </w:r>
    </w:p>
    <w:p>
      <w:pPr>
        <w:spacing w:after="40"/>
      </w:pPr>
      <w:r>
        <w:rPr>
          <w:sz w:val="18"/>
        </w:rPr>
        <w:t>HIDDEN_​MANIFOLD_​PARTITION_​007/​followup_​performance.csv</w:t>
      </w:r>
    </w:p>
    <w:p>
      <w:pPr>
        <w:spacing w:after="40"/>
      </w:pPr>
      <w:r>
        <w:rPr>
          <w:sz w:val="18"/>
        </w:rPr>
        <w:t>HIDDEN_​MANIFOLD_​PARTITION_​007/​compatibility_​kernel_​12x12.csv</w:t>
      </w:r>
    </w:p>
    <w:p>
      <w:pPr>
        <w:spacing w:after="40"/>
      </w:pPr>
      <w:r>
        <w:rPr>
          <w:sz w:val="18"/>
        </w:rPr>
        <w:t>HIDDEN_​MANIFOLD_​PARTITION_​007/​predictive_​neighborhood_​compatibility_​kernel.csv</w:t>
      </w:r>
    </w:p>
    <w:p>
      <w:pPr>
        <w:spacing w:after="40"/>
      </w:pPr>
      <w:r>
        <w:rPr>
          <w:sz w:val="18"/>
        </w:rPr>
        <w:t>HIDDEN_​MANIFOLD_​PARTITION_​007/​geometry_​audit.json</w:t>
      </w:r>
    </w:p>
    <w:p>
      <w:pPr>
        <w:spacing w:after="40"/>
      </w:pPr>
      <w:r>
        <w:rPr>
          <w:sz w:val="18"/>
        </w:rPr>
        <w:t>HIDDEN_​MANIFOLD_​PARTITION_​007/​combined_​partition_​performance.png</w:t>
      </w:r>
    </w:p>
    <w:p>
      <w:pPr>
        <w:spacing w:after="40"/>
      </w:pPr>
      <w:r>
        <w:rPr>
          <w:sz w:val="18"/>
        </w:rPr>
        <w:t>HIDDEN_​MANIFOLD_​PARTITION_​007/​predictive_​compatibility_​kernel.png</w:t>
      </w:r>
    </w:p>
    <w:p>
      <w:pPr>
        <w:pStyle w:val="Heading2"/>
      </w:pPr>
      <w:r>
        <w:t>5.6 GENERATIVE-MANIFOLD-DRIFT-008 Routing under changing transition functions</w:t>
      </w:r>
    </w:p>
    <w:p>
      <w:r>
        <w:t>This experiment holds the sensor manifold fixed and lets the transition operator behind each observed neighbourhood drift across eras. It separates migration of a discovered map from the prediction cost of using a stale router with fixed current experts.</w:t>
      </w:r>
    </w:p>
    <w:p>
      <w:pPr>
        <w:pStyle w:val="Heading3"/>
      </w:pPr>
      <w:r>
        <w:t>5.6.1 Controlled transition drift</w:t>
      </w:r>
    </w:p>
    <w:p>
      <w:r>
        <w:t>The six eras use the same observation manifold and input distribution. Only the local transition phase changes, by 0.32 rad per era. A current map is rediscovered from predictive Jacobians in each era, and the era-0 router is retained as the stale map.</w:t>
      </w:r>
    </w:p>
    <w:p>
      <w:r>
        <w:t>The controlled design removes ordinary covariate shift. The manipulated difference is the transition rule associated with the same observed location.</w:t>
      </w:r>
    </w:p>
    <w:p>
      <w:pPr>
        <w:pStyle w:val="Heading3"/>
      </w:pPr>
      <w:r>
        <w:t>5.6.2 Retraining experts under current and stale maps</w:t>
      </w:r>
    </w:p>
    <w:p>
      <w:pPr>
        <w:pStyle w:val="Caption"/>
        <w:keepNext/>
      </w:pPr>
      <w:r>
        <w:t>Table 38. Drift with retrained experts.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435"/>
        <w:gridCol w:w="1435"/>
        <w:gridCol w:w="1435"/>
        <w:gridCol w:w="1435"/>
        <w:gridCol w:w="1435"/>
        <w:gridCol w:w="1435"/>
      </w:tblGrid>
      <w:tr>
        <w:trPr>
          <w:cantSplit/>
          <w:tblHeader/>
        </w:trPr>
        <w:tc>
          <w:tcPr>
            <w:tcW w:type="dxa" w:w="1613"/>
            <w:vAlign w:val="center"/>
            <w:shd w:fill="F2F2F2"/>
          </w:tcPr>
          <w:p>
            <w:pPr>
              <w:keepNext/>
              <w:spacing w:after="0" w:before="0" w:line="240" w:lineRule="auto"/>
            </w:pPr>
            <w:r>
              <w:rPr>
                <w:rFonts w:ascii="Calibri" w:hAnsi="Calibri"/>
                <w:b/>
                <w:sz w:val="18"/>
              </w:rPr>
              <w:t>Era</w:t>
            </w:r>
          </w:p>
        </w:tc>
        <w:tc>
          <w:tcPr>
            <w:tcW w:type="dxa" w:w="1435"/>
            <w:vAlign w:val="center"/>
            <w:shd w:fill="F2F2F2"/>
          </w:tcPr>
          <w:p>
            <w:pPr>
              <w:keepNext/>
              <w:spacing w:after="0" w:before="0" w:line="240" w:lineRule="auto"/>
            </w:pPr>
            <w:r>
              <w:rPr>
                <w:rFonts w:ascii="Calibri" w:hAnsi="Calibri"/>
                <w:b/>
                <w:sz w:val="18"/>
              </w:rPr>
              <w:t>Rule drift</w:t>
            </w:r>
          </w:p>
        </w:tc>
        <w:tc>
          <w:tcPr>
            <w:tcW w:type="dxa" w:w="1435"/>
            <w:vAlign w:val="center"/>
            <w:shd w:fill="F2F2F2"/>
          </w:tcPr>
          <w:p>
            <w:pPr>
              <w:keepNext/>
              <w:spacing w:after="0" w:before="0" w:line="240" w:lineRule="auto"/>
            </w:pPr>
            <w:r>
              <w:rPr>
                <w:rFonts w:ascii="Calibri" w:hAnsi="Calibri"/>
                <w:b/>
                <w:sz w:val="18"/>
              </w:rPr>
              <w:t>Map migration</w:t>
            </w:r>
          </w:p>
        </w:tc>
        <w:tc>
          <w:tcPr>
            <w:tcW w:type="dxa" w:w="1435"/>
            <w:vAlign w:val="center"/>
            <w:shd w:fill="F2F2F2"/>
          </w:tcPr>
          <w:p>
            <w:pPr>
              <w:keepNext/>
              <w:spacing w:after="0" w:before="0" w:line="240" w:lineRule="auto"/>
            </w:pPr>
            <w:r>
              <w:rPr>
                <w:rFonts w:ascii="Calibri" w:hAnsi="Calibri"/>
                <w:b/>
                <w:sz w:val="18"/>
              </w:rPr>
              <w:t>Mono MSE</w:t>
            </w:r>
          </w:p>
        </w:tc>
        <w:tc>
          <w:tcPr>
            <w:tcW w:type="dxa" w:w="1435"/>
            <w:vAlign w:val="center"/>
            <w:shd w:fill="F2F2F2"/>
          </w:tcPr>
          <w:p>
            <w:pPr>
              <w:keepNext/>
              <w:spacing w:after="0" w:before="0" w:line="240" w:lineRule="auto"/>
            </w:pPr>
            <w:r>
              <w:rPr>
                <w:rFonts w:ascii="Calibri" w:hAnsi="Calibri"/>
                <w:b/>
                <w:sz w:val="18"/>
              </w:rPr>
              <w:t>Fresh map</w:t>
            </w:r>
          </w:p>
        </w:tc>
        <w:tc>
          <w:tcPr>
            <w:tcW w:type="dxa" w:w="1435"/>
            <w:vAlign w:val="center"/>
            <w:shd w:fill="F2F2F2"/>
          </w:tcPr>
          <w:p>
            <w:pPr>
              <w:keepNext/>
              <w:spacing w:after="0" w:before="0" w:line="240" w:lineRule="auto"/>
            </w:pPr>
            <w:r>
              <w:rPr>
                <w:rFonts w:ascii="Calibri" w:hAnsi="Calibri"/>
                <w:b/>
                <w:sz w:val="18"/>
              </w:rPr>
              <w:t>Stale map</w:t>
            </w:r>
          </w:p>
        </w:tc>
        <w:tc>
          <w:tcPr>
            <w:tcW w:type="dxa" w:w="1435"/>
            <w:vAlign w:val="center"/>
            <w:shd w:fill="F2F2F2"/>
          </w:tcPr>
          <w:p>
            <w:pPr>
              <w:keepNext/>
              <w:spacing w:after="0" w:before="0" w:line="240" w:lineRule="auto"/>
            </w:pPr>
            <w:r>
              <w:rPr>
                <w:rFonts w:ascii="Calibri" w:hAnsi="Calibri"/>
                <w:b/>
                <w:sz w:val="18"/>
              </w:rPr>
              <w:t>Stale penalty %</w:t>
            </w:r>
          </w:p>
        </w:tc>
      </w:tr>
      <w:tr>
        <w:trPr>
          <w:cantSplit/>
        </w:trPr>
        <w:tc>
          <w:tcPr>
            <w:tcW w:type="dxa" w:w="1613"/>
            <w:vAlign w:val="center"/>
          </w:tcPr>
          <w:p>
            <w:pPr>
              <w:keepNext w:val="0"/>
              <w:spacing w:after="0" w:before="0" w:line="240" w:lineRule="auto"/>
              <w:jc w:val="right"/>
            </w:pPr>
            <w:r>
              <w:rPr>
                <w:rFonts w:ascii="Calibri" w:hAnsi="Calibri"/>
                <w:b w:val="0"/>
                <w:sz w:val="18"/>
              </w:rPr>
              <w:t>0.0000</w:t>
            </w:r>
          </w:p>
        </w:tc>
        <w:tc>
          <w:tcPr>
            <w:tcW w:type="dxa" w:w="1435"/>
            <w:vAlign w:val="center"/>
          </w:tcPr>
          <w:p>
            <w:pPr>
              <w:keepNext w:val="0"/>
              <w:spacing w:after="0" w:before="0" w:line="240" w:lineRule="auto"/>
              <w:jc w:val="right"/>
            </w:pPr>
            <w:r>
              <w:rPr>
                <w:rFonts w:ascii="Calibri" w:hAnsi="Calibri"/>
                <w:b w:val="0"/>
                <w:sz w:val="18"/>
              </w:rPr>
              <w:t>0.0000</w:t>
            </w:r>
          </w:p>
        </w:tc>
        <w:tc>
          <w:tcPr>
            <w:tcW w:type="dxa" w:w="1435"/>
            <w:vAlign w:val="center"/>
          </w:tcPr>
          <w:p>
            <w:pPr>
              <w:keepNext w:val="0"/>
              <w:spacing w:after="0" w:before="0" w:line="240" w:lineRule="auto"/>
              <w:jc w:val="right"/>
            </w:pPr>
            <w:r>
              <w:rPr>
                <w:rFonts w:ascii="Calibri" w:hAnsi="Calibri"/>
                <w:b w:val="0"/>
                <w:sz w:val="18"/>
              </w:rPr>
              <w:t>0.0000</w:t>
            </w:r>
          </w:p>
        </w:tc>
        <w:tc>
          <w:tcPr>
            <w:tcW w:type="dxa" w:w="1435"/>
            <w:vAlign w:val="center"/>
          </w:tcPr>
          <w:p>
            <w:pPr>
              <w:keepNext w:val="0"/>
              <w:spacing w:after="0" w:before="0" w:line="240" w:lineRule="auto"/>
              <w:jc w:val="right"/>
            </w:pPr>
            <w:r>
              <w:rPr>
                <w:rFonts w:ascii="Calibri" w:hAnsi="Calibri"/>
                <w:b w:val="0"/>
                <w:sz w:val="18"/>
              </w:rPr>
              <w:t>0.3274</w:t>
            </w:r>
          </w:p>
        </w:tc>
        <w:tc>
          <w:tcPr>
            <w:tcW w:type="dxa" w:w="1435"/>
            <w:vAlign w:val="center"/>
          </w:tcPr>
          <w:p>
            <w:pPr>
              <w:keepNext w:val="0"/>
              <w:spacing w:after="0" w:before="0" w:line="240" w:lineRule="auto"/>
              <w:jc w:val="right"/>
            </w:pPr>
            <w:r>
              <w:rPr>
                <w:rFonts w:ascii="Calibri" w:hAnsi="Calibri"/>
                <w:b w:val="0"/>
                <w:sz w:val="18"/>
              </w:rPr>
              <w:t>0.2278</w:t>
            </w:r>
          </w:p>
        </w:tc>
        <w:tc>
          <w:tcPr>
            <w:tcW w:type="dxa" w:w="1435"/>
            <w:vAlign w:val="center"/>
          </w:tcPr>
          <w:p>
            <w:pPr>
              <w:keepNext w:val="0"/>
              <w:spacing w:after="0" w:before="0" w:line="240" w:lineRule="auto"/>
              <w:jc w:val="right"/>
            </w:pPr>
            <w:r>
              <w:rPr>
                <w:rFonts w:ascii="Calibri" w:hAnsi="Calibri"/>
                <w:b w:val="0"/>
                <w:sz w:val="18"/>
              </w:rPr>
              <w:t>0.2278</w:t>
            </w:r>
          </w:p>
        </w:tc>
        <w:tc>
          <w:tcPr>
            <w:tcW w:type="dxa" w:w="1435"/>
            <w:vAlign w:val="center"/>
          </w:tcPr>
          <w:p>
            <w:pPr>
              <w:keepNext w:val="0"/>
              <w:spacing w:after="0" w:before="0" w:line="240" w:lineRule="auto"/>
              <w:jc w:val="right"/>
            </w:pPr>
            <w:r>
              <w:rPr>
                <w:rFonts w:ascii="Calibri" w:hAnsi="Calibri"/>
                <w:b w:val="0"/>
                <w:sz w:val="18"/>
              </w:rPr>
              <w:t>0.0000</w:t>
            </w:r>
          </w:p>
        </w:tc>
      </w:tr>
      <w:tr>
        <w:trPr>
          <w:cantSplit/>
        </w:trPr>
        <w:tc>
          <w:tcPr>
            <w:tcW w:type="dxa" w:w="1613"/>
            <w:vAlign w:val="center"/>
          </w:tcPr>
          <w:p>
            <w:pPr>
              <w:keepNext w:val="0"/>
              <w:spacing w:after="0" w:before="0" w:line="240" w:lineRule="auto"/>
              <w:jc w:val="right"/>
            </w:pPr>
            <w:r>
              <w:rPr>
                <w:rFonts w:ascii="Calibri" w:hAnsi="Calibri"/>
                <w:b w:val="0"/>
                <w:sz w:val="18"/>
              </w:rPr>
              <w:t>1.0000</w:t>
            </w:r>
          </w:p>
        </w:tc>
        <w:tc>
          <w:tcPr>
            <w:tcW w:type="dxa" w:w="1435"/>
            <w:vAlign w:val="center"/>
          </w:tcPr>
          <w:p>
            <w:pPr>
              <w:keepNext w:val="0"/>
              <w:spacing w:after="0" w:before="0" w:line="240" w:lineRule="auto"/>
              <w:jc w:val="right"/>
            </w:pPr>
            <w:r>
              <w:rPr>
                <w:rFonts w:ascii="Calibri" w:hAnsi="Calibri"/>
                <w:b w:val="0"/>
                <w:sz w:val="18"/>
              </w:rPr>
              <w:t>0.2216</w:t>
            </w:r>
          </w:p>
        </w:tc>
        <w:tc>
          <w:tcPr>
            <w:tcW w:type="dxa" w:w="1435"/>
            <w:vAlign w:val="center"/>
          </w:tcPr>
          <w:p>
            <w:pPr>
              <w:keepNext w:val="0"/>
              <w:spacing w:after="0" w:before="0" w:line="240" w:lineRule="auto"/>
              <w:jc w:val="right"/>
            </w:pPr>
            <w:r>
              <w:rPr>
                <w:rFonts w:ascii="Calibri" w:hAnsi="Calibri"/>
                <w:b w:val="0"/>
                <w:sz w:val="18"/>
              </w:rPr>
              <w:t>0.2208</w:t>
            </w:r>
          </w:p>
        </w:tc>
        <w:tc>
          <w:tcPr>
            <w:tcW w:type="dxa" w:w="1435"/>
            <w:vAlign w:val="center"/>
          </w:tcPr>
          <w:p>
            <w:pPr>
              <w:keepNext w:val="0"/>
              <w:spacing w:after="0" w:before="0" w:line="240" w:lineRule="auto"/>
              <w:jc w:val="right"/>
            </w:pPr>
            <w:r>
              <w:rPr>
                <w:rFonts w:ascii="Calibri" w:hAnsi="Calibri"/>
                <w:b w:val="0"/>
                <w:sz w:val="18"/>
              </w:rPr>
              <w:t>0.3360</w:t>
            </w:r>
          </w:p>
        </w:tc>
        <w:tc>
          <w:tcPr>
            <w:tcW w:type="dxa" w:w="1435"/>
            <w:vAlign w:val="center"/>
          </w:tcPr>
          <w:p>
            <w:pPr>
              <w:keepNext w:val="0"/>
              <w:spacing w:after="0" w:before="0" w:line="240" w:lineRule="auto"/>
              <w:jc w:val="right"/>
            </w:pPr>
            <w:r>
              <w:rPr>
                <w:rFonts w:ascii="Calibri" w:hAnsi="Calibri"/>
                <w:b w:val="0"/>
                <w:sz w:val="18"/>
              </w:rPr>
              <w:t>0.2317</w:t>
            </w:r>
          </w:p>
        </w:tc>
        <w:tc>
          <w:tcPr>
            <w:tcW w:type="dxa" w:w="1435"/>
            <w:vAlign w:val="center"/>
          </w:tcPr>
          <w:p>
            <w:pPr>
              <w:keepNext w:val="0"/>
              <w:spacing w:after="0" w:before="0" w:line="240" w:lineRule="auto"/>
              <w:jc w:val="right"/>
            </w:pPr>
            <w:r>
              <w:rPr>
                <w:rFonts w:ascii="Calibri" w:hAnsi="Calibri"/>
                <w:b w:val="0"/>
                <w:sz w:val="18"/>
              </w:rPr>
              <w:t>0.2436</w:t>
            </w:r>
          </w:p>
        </w:tc>
        <w:tc>
          <w:tcPr>
            <w:tcW w:type="dxa" w:w="1435"/>
            <w:vAlign w:val="center"/>
          </w:tcPr>
          <w:p>
            <w:pPr>
              <w:keepNext w:val="0"/>
              <w:spacing w:after="0" w:before="0" w:line="240" w:lineRule="auto"/>
              <w:jc w:val="right"/>
            </w:pPr>
            <w:r>
              <w:rPr>
                <w:rFonts w:ascii="Calibri" w:hAnsi="Calibri"/>
                <w:b w:val="0"/>
                <w:sz w:val="18"/>
              </w:rPr>
              <w:t>5.1072</w:t>
            </w:r>
          </w:p>
        </w:tc>
      </w:tr>
      <w:tr>
        <w:trPr>
          <w:cantSplit/>
        </w:trPr>
        <w:tc>
          <w:tcPr>
            <w:tcW w:type="dxa" w:w="1613"/>
            <w:vAlign w:val="center"/>
          </w:tcPr>
          <w:p>
            <w:pPr>
              <w:keepNext w:val="0"/>
              <w:spacing w:after="0" w:before="0" w:line="240" w:lineRule="auto"/>
              <w:jc w:val="right"/>
            </w:pPr>
            <w:r>
              <w:rPr>
                <w:rFonts w:ascii="Calibri" w:hAnsi="Calibri"/>
                <w:b w:val="0"/>
                <w:sz w:val="18"/>
              </w:rPr>
              <w:t>2.0000</w:t>
            </w:r>
          </w:p>
        </w:tc>
        <w:tc>
          <w:tcPr>
            <w:tcW w:type="dxa" w:w="1435"/>
            <w:vAlign w:val="center"/>
          </w:tcPr>
          <w:p>
            <w:pPr>
              <w:keepNext w:val="0"/>
              <w:spacing w:after="0" w:before="0" w:line="240" w:lineRule="auto"/>
              <w:jc w:val="right"/>
            </w:pPr>
            <w:r>
              <w:rPr>
                <w:rFonts w:ascii="Calibri" w:hAnsi="Calibri"/>
                <w:b w:val="0"/>
                <w:sz w:val="18"/>
              </w:rPr>
              <w:t>0.4356</w:t>
            </w:r>
          </w:p>
        </w:tc>
        <w:tc>
          <w:tcPr>
            <w:tcW w:type="dxa" w:w="1435"/>
            <w:vAlign w:val="center"/>
          </w:tcPr>
          <w:p>
            <w:pPr>
              <w:keepNext w:val="0"/>
              <w:spacing w:after="0" w:before="0" w:line="240" w:lineRule="auto"/>
              <w:jc w:val="right"/>
            </w:pPr>
            <w:r>
              <w:rPr>
                <w:rFonts w:ascii="Calibri" w:hAnsi="Calibri"/>
                <w:b w:val="0"/>
                <w:sz w:val="18"/>
              </w:rPr>
              <w:t>0.3542</w:t>
            </w:r>
          </w:p>
        </w:tc>
        <w:tc>
          <w:tcPr>
            <w:tcW w:type="dxa" w:w="1435"/>
            <w:vAlign w:val="center"/>
          </w:tcPr>
          <w:p>
            <w:pPr>
              <w:keepNext w:val="0"/>
              <w:spacing w:after="0" w:before="0" w:line="240" w:lineRule="auto"/>
              <w:jc w:val="right"/>
            </w:pPr>
            <w:r>
              <w:rPr>
                <w:rFonts w:ascii="Calibri" w:hAnsi="Calibri"/>
                <w:b w:val="0"/>
                <w:sz w:val="18"/>
              </w:rPr>
              <w:t>0.3220</w:t>
            </w:r>
          </w:p>
        </w:tc>
        <w:tc>
          <w:tcPr>
            <w:tcW w:type="dxa" w:w="1435"/>
            <w:vAlign w:val="center"/>
          </w:tcPr>
          <w:p>
            <w:pPr>
              <w:keepNext w:val="0"/>
              <w:spacing w:after="0" w:before="0" w:line="240" w:lineRule="auto"/>
              <w:jc w:val="right"/>
            </w:pPr>
            <w:r>
              <w:rPr>
                <w:rFonts w:ascii="Calibri" w:hAnsi="Calibri"/>
                <w:b w:val="0"/>
                <w:sz w:val="18"/>
              </w:rPr>
              <w:t>0.2386</w:t>
            </w:r>
          </w:p>
        </w:tc>
        <w:tc>
          <w:tcPr>
            <w:tcW w:type="dxa" w:w="1435"/>
            <w:vAlign w:val="center"/>
          </w:tcPr>
          <w:p>
            <w:pPr>
              <w:keepNext w:val="0"/>
              <w:spacing w:after="0" w:before="0" w:line="240" w:lineRule="auto"/>
              <w:jc w:val="right"/>
            </w:pPr>
            <w:r>
              <w:rPr>
                <w:rFonts w:ascii="Calibri" w:hAnsi="Calibri"/>
                <w:b w:val="0"/>
                <w:sz w:val="18"/>
              </w:rPr>
              <w:t>0.2344</w:t>
            </w:r>
          </w:p>
        </w:tc>
        <w:tc>
          <w:tcPr>
            <w:tcW w:type="dxa" w:w="1435"/>
            <w:vAlign w:val="center"/>
          </w:tcPr>
          <w:p>
            <w:pPr>
              <w:keepNext w:val="0"/>
              <w:spacing w:after="0" w:before="0" w:line="240" w:lineRule="auto"/>
              <w:jc w:val="right"/>
            </w:pPr>
            <w:r>
              <w:rPr>
                <w:rFonts w:ascii="Calibri" w:hAnsi="Calibri"/>
                <w:b w:val="0"/>
                <w:sz w:val="18"/>
              </w:rPr>
              <w:t>-1.7429</w:t>
            </w:r>
          </w:p>
        </w:tc>
      </w:tr>
      <w:tr>
        <w:trPr>
          <w:cantSplit/>
        </w:trPr>
        <w:tc>
          <w:tcPr>
            <w:tcW w:type="dxa" w:w="1613"/>
            <w:vAlign w:val="center"/>
          </w:tcPr>
          <w:p>
            <w:pPr>
              <w:keepNext w:val="0"/>
              <w:spacing w:after="0" w:before="0" w:line="240" w:lineRule="auto"/>
              <w:jc w:val="right"/>
            </w:pPr>
            <w:r>
              <w:rPr>
                <w:rFonts w:ascii="Calibri" w:hAnsi="Calibri"/>
                <w:b w:val="0"/>
                <w:sz w:val="18"/>
              </w:rPr>
              <w:t>3.0000</w:t>
            </w:r>
          </w:p>
        </w:tc>
        <w:tc>
          <w:tcPr>
            <w:tcW w:type="dxa" w:w="1435"/>
            <w:vAlign w:val="center"/>
          </w:tcPr>
          <w:p>
            <w:pPr>
              <w:keepNext w:val="0"/>
              <w:spacing w:after="0" w:before="0" w:line="240" w:lineRule="auto"/>
              <w:jc w:val="right"/>
            </w:pPr>
            <w:r>
              <w:rPr>
                <w:rFonts w:ascii="Calibri" w:hAnsi="Calibri"/>
                <w:b w:val="0"/>
                <w:sz w:val="18"/>
              </w:rPr>
              <w:t>0.6349</w:t>
            </w:r>
          </w:p>
        </w:tc>
        <w:tc>
          <w:tcPr>
            <w:tcW w:type="dxa" w:w="1435"/>
            <w:vAlign w:val="center"/>
          </w:tcPr>
          <w:p>
            <w:pPr>
              <w:keepNext w:val="0"/>
              <w:spacing w:after="0" w:before="0" w:line="240" w:lineRule="auto"/>
              <w:jc w:val="right"/>
            </w:pPr>
            <w:r>
              <w:rPr>
                <w:rFonts w:ascii="Calibri" w:hAnsi="Calibri"/>
                <w:b w:val="0"/>
                <w:sz w:val="18"/>
              </w:rPr>
              <w:t>0.3917</w:t>
            </w:r>
          </w:p>
        </w:tc>
        <w:tc>
          <w:tcPr>
            <w:tcW w:type="dxa" w:w="1435"/>
            <w:vAlign w:val="center"/>
          </w:tcPr>
          <w:p>
            <w:pPr>
              <w:keepNext w:val="0"/>
              <w:spacing w:after="0" w:before="0" w:line="240" w:lineRule="auto"/>
              <w:jc w:val="right"/>
            </w:pPr>
            <w:r>
              <w:rPr>
                <w:rFonts w:ascii="Calibri" w:hAnsi="Calibri"/>
                <w:b w:val="0"/>
                <w:sz w:val="18"/>
              </w:rPr>
              <w:t>0.3310</w:t>
            </w:r>
          </w:p>
        </w:tc>
        <w:tc>
          <w:tcPr>
            <w:tcW w:type="dxa" w:w="1435"/>
            <w:vAlign w:val="center"/>
          </w:tcPr>
          <w:p>
            <w:pPr>
              <w:keepNext w:val="0"/>
              <w:spacing w:after="0" w:before="0" w:line="240" w:lineRule="auto"/>
              <w:jc w:val="right"/>
            </w:pPr>
            <w:r>
              <w:rPr>
                <w:rFonts w:ascii="Calibri" w:hAnsi="Calibri"/>
                <w:b w:val="0"/>
                <w:sz w:val="18"/>
              </w:rPr>
              <w:t>0.2381</w:t>
            </w:r>
          </w:p>
        </w:tc>
        <w:tc>
          <w:tcPr>
            <w:tcW w:type="dxa" w:w="1435"/>
            <w:vAlign w:val="center"/>
          </w:tcPr>
          <w:p>
            <w:pPr>
              <w:keepNext w:val="0"/>
              <w:spacing w:after="0" w:before="0" w:line="240" w:lineRule="auto"/>
              <w:jc w:val="right"/>
            </w:pPr>
            <w:r>
              <w:rPr>
                <w:rFonts w:ascii="Calibri" w:hAnsi="Calibri"/>
                <w:b w:val="0"/>
                <w:sz w:val="18"/>
              </w:rPr>
              <w:t>0.2371</w:t>
            </w:r>
          </w:p>
        </w:tc>
        <w:tc>
          <w:tcPr>
            <w:tcW w:type="dxa" w:w="1435"/>
            <w:vAlign w:val="center"/>
          </w:tcPr>
          <w:p>
            <w:pPr>
              <w:keepNext w:val="0"/>
              <w:spacing w:after="0" w:before="0" w:line="240" w:lineRule="auto"/>
              <w:jc w:val="right"/>
            </w:pPr>
            <w:r>
              <w:rPr>
                <w:rFonts w:ascii="Calibri" w:hAnsi="Calibri"/>
                <w:b w:val="0"/>
                <w:sz w:val="18"/>
              </w:rPr>
              <w:t>-0.4285</w:t>
            </w:r>
          </w:p>
        </w:tc>
      </w:tr>
      <w:tr>
        <w:trPr>
          <w:cantSplit/>
        </w:trPr>
        <w:tc>
          <w:tcPr>
            <w:tcW w:type="dxa" w:w="1613"/>
            <w:vAlign w:val="center"/>
          </w:tcPr>
          <w:p>
            <w:pPr>
              <w:keepNext w:val="0"/>
              <w:spacing w:after="0" w:before="0" w:line="240" w:lineRule="auto"/>
              <w:jc w:val="right"/>
            </w:pPr>
            <w:r>
              <w:rPr>
                <w:rFonts w:ascii="Calibri" w:hAnsi="Calibri"/>
                <w:b w:val="0"/>
                <w:sz w:val="18"/>
              </w:rPr>
              <w:t>4.0000</w:t>
            </w:r>
          </w:p>
        </w:tc>
        <w:tc>
          <w:tcPr>
            <w:tcW w:type="dxa" w:w="1435"/>
            <w:vAlign w:val="center"/>
          </w:tcPr>
          <w:p>
            <w:pPr>
              <w:keepNext w:val="0"/>
              <w:spacing w:after="0" w:before="0" w:line="240" w:lineRule="auto"/>
              <w:jc w:val="right"/>
            </w:pPr>
            <w:r>
              <w:rPr>
                <w:rFonts w:ascii="Calibri" w:hAnsi="Calibri"/>
                <w:b w:val="0"/>
                <w:sz w:val="18"/>
              </w:rPr>
              <w:t>0.8137</w:t>
            </w:r>
          </w:p>
        </w:tc>
        <w:tc>
          <w:tcPr>
            <w:tcW w:type="dxa" w:w="1435"/>
            <w:vAlign w:val="center"/>
          </w:tcPr>
          <w:p>
            <w:pPr>
              <w:keepNext w:val="0"/>
              <w:spacing w:after="0" w:before="0" w:line="240" w:lineRule="auto"/>
              <w:jc w:val="right"/>
            </w:pPr>
            <w:r>
              <w:rPr>
                <w:rFonts w:ascii="Calibri" w:hAnsi="Calibri"/>
                <w:b w:val="0"/>
                <w:sz w:val="18"/>
              </w:rPr>
              <w:t>0.4958</w:t>
            </w:r>
          </w:p>
        </w:tc>
        <w:tc>
          <w:tcPr>
            <w:tcW w:type="dxa" w:w="1435"/>
            <w:vAlign w:val="center"/>
          </w:tcPr>
          <w:p>
            <w:pPr>
              <w:keepNext w:val="0"/>
              <w:spacing w:after="0" w:before="0" w:line="240" w:lineRule="auto"/>
              <w:jc w:val="right"/>
            </w:pPr>
            <w:r>
              <w:rPr>
                <w:rFonts w:ascii="Calibri" w:hAnsi="Calibri"/>
                <w:b w:val="0"/>
                <w:sz w:val="18"/>
              </w:rPr>
              <w:t>0.3551</w:t>
            </w:r>
          </w:p>
        </w:tc>
        <w:tc>
          <w:tcPr>
            <w:tcW w:type="dxa" w:w="1435"/>
            <w:vAlign w:val="center"/>
          </w:tcPr>
          <w:p>
            <w:pPr>
              <w:keepNext w:val="0"/>
              <w:spacing w:after="0" w:before="0" w:line="240" w:lineRule="auto"/>
              <w:jc w:val="right"/>
            </w:pPr>
            <w:r>
              <w:rPr>
                <w:rFonts w:ascii="Calibri" w:hAnsi="Calibri"/>
                <w:b w:val="0"/>
                <w:sz w:val="18"/>
              </w:rPr>
              <w:t>0.2667</w:t>
            </w:r>
          </w:p>
        </w:tc>
        <w:tc>
          <w:tcPr>
            <w:tcW w:type="dxa" w:w="1435"/>
            <w:vAlign w:val="center"/>
          </w:tcPr>
          <w:p>
            <w:pPr>
              <w:keepNext w:val="0"/>
              <w:spacing w:after="0" w:before="0" w:line="240" w:lineRule="auto"/>
              <w:jc w:val="right"/>
            </w:pPr>
            <w:r>
              <w:rPr>
                <w:rFonts w:ascii="Calibri" w:hAnsi="Calibri"/>
                <w:b w:val="0"/>
                <w:sz w:val="18"/>
              </w:rPr>
              <w:t>0.2513</w:t>
            </w:r>
          </w:p>
        </w:tc>
        <w:tc>
          <w:tcPr>
            <w:tcW w:type="dxa" w:w="1435"/>
            <w:vAlign w:val="center"/>
          </w:tcPr>
          <w:p>
            <w:pPr>
              <w:keepNext w:val="0"/>
              <w:spacing w:after="0" w:before="0" w:line="240" w:lineRule="auto"/>
              <w:jc w:val="right"/>
            </w:pPr>
            <w:r>
              <w:rPr>
                <w:rFonts w:ascii="Calibri" w:hAnsi="Calibri"/>
                <w:b w:val="0"/>
                <w:sz w:val="18"/>
              </w:rPr>
              <w:t>-5.8030</w:t>
            </w:r>
          </w:p>
        </w:tc>
      </w:tr>
      <w:tr>
        <w:trPr>
          <w:cantSplit/>
        </w:trPr>
        <w:tc>
          <w:tcPr>
            <w:tcW w:type="dxa" w:w="1613"/>
            <w:vAlign w:val="center"/>
          </w:tcPr>
          <w:p>
            <w:pPr>
              <w:keepNext/>
              <w:spacing w:after="0" w:before="0" w:line="240" w:lineRule="auto"/>
              <w:jc w:val="right"/>
            </w:pPr>
            <w:r>
              <w:rPr>
                <w:rFonts w:ascii="Calibri" w:hAnsi="Calibri"/>
                <w:b w:val="0"/>
                <w:sz w:val="18"/>
              </w:rPr>
              <w:t>5.0000</w:t>
            </w:r>
          </w:p>
        </w:tc>
        <w:tc>
          <w:tcPr>
            <w:tcW w:type="dxa" w:w="1435"/>
            <w:vAlign w:val="center"/>
          </w:tcPr>
          <w:p>
            <w:pPr>
              <w:keepNext/>
              <w:spacing w:after="0" w:before="0" w:line="240" w:lineRule="auto"/>
              <w:jc w:val="right"/>
            </w:pPr>
            <w:r>
              <w:rPr>
                <w:rFonts w:ascii="Calibri" w:hAnsi="Calibri"/>
                <w:b w:val="0"/>
                <w:sz w:val="18"/>
              </w:rPr>
              <w:t>0.9676</w:t>
            </w:r>
          </w:p>
        </w:tc>
        <w:tc>
          <w:tcPr>
            <w:tcW w:type="dxa" w:w="1435"/>
            <w:vAlign w:val="center"/>
          </w:tcPr>
          <w:p>
            <w:pPr>
              <w:keepNext/>
              <w:spacing w:after="0" w:before="0" w:line="240" w:lineRule="auto"/>
              <w:jc w:val="right"/>
            </w:pPr>
            <w:r>
              <w:rPr>
                <w:rFonts w:ascii="Calibri" w:hAnsi="Calibri"/>
                <w:b w:val="0"/>
                <w:sz w:val="18"/>
              </w:rPr>
              <w:t>0.5000</w:t>
            </w:r>
          </w:p>
        </w:tc>
        <w:tc>
          <w:tcPr>
            <w:tcW w:type="dxa" w:w="1435"/>
            <w:vAlign w:val="center"/>
          </w:tcPr>
          <w:p>
            <w:pPr>
              <w:keepNext/>
              <w:spacing w:after="0" w:before="0" w:line="240" w:lineRule="auto"/>
              <w:jc w:val="right"/>
            </w:pPr>
            <w:r>
              <w:rPr>
                <w:rFonts w:ascii="Calibri" w:hAnsi="Calibri"/>
                <w:b w:val="0"/>
                <w:sz w:val="18"/>
              </w:rPr>
              <w:t>0.3280</w:t>
            </w:r>
          </w:p>
        </w:tc>
        <w:tc>
          <w:tcPr>
            <w:tcW w:type="dxa" w:w="1435"/>
            <w:vAlign w:val="center"/>
          </w:tcPr>
          <w:p>
            <w:pPr>
              <w:keepNext/>
              <w:spacing w:after="0" w:before="0" w:line="240" w:lineRule="auto"/>
              <w:jc w:val="right"/>
            </w:pPr>
            <w:r>
              <w:rPr>
                <w:rFonts w:ascii="Calibri" w:hAnsi="Calibri"/>
                <w:b w:val="0"/>
                <w:sz w:val="18"/>
              </w:rPr>
              <w:t>0.2371</w:t>
            </w:r>
          </w:p>
        </w:tc>
        <w:tc>
          <w:tcPr>
            <w:tcW w:type="dxa" w:w="1435"/>
            <w:vAlign w:val="center"/>
          </w:tcPr>
          <w:p>
            <w:pPr>
              <w:keepNext/>
              <w:spacing w:after="0" w:before="0" w:line="240" w:lineRule="auto"/>
              <w:jc w:val="right"/>
            </w:pPr>
            <w:r>
              <w:rPr>
                <w:rFonts w:ascii="Calibri" w:hAnsi="Calibri"/>
                <w:b w:val="0"/>
                <w:sz w:val="18"/>
              </w:rPr>
              <w:t>0.2316</w:t>
            </w:r>
          </w:p>
        </w:tc>
        <w:tc>
          <w:tcPr>
            <w:tcW w:type="dxa" w:w="1435"/>
            <w:vAlign w:val="center"/>
          </w:tcPr>
          <w:p>
            <w:pPr>
              <w:keepNext/>
              <w:spacing w:after="0" w:before="0" w:line="240" w:lineRule="auto"/>
              <w:jc w:val="right"/>
            </w:pPr>
            <w:r>
              <w:rPr>
                <w:rFonts w:ascii="Calibri" w:hAnsi="Calibri"/>
                <w:b w:val="0"/>
                <w:sz w:val="18"/>
              </w:rPr>
              <w:t>-2.2857</w:t>
            </w:r>
          </w:p>
        </w:tc>
      </w:tr>
    </w:tbl>
    <w:p>
      <w:pPr>
        <w:keepLines/>
        <w:spacing w:before="60" w:after="120"/>
      </w:pPr>
      <w:r>
        <w:rPr>
          <w:sz w:val="18"/>
        </w:rPr>
        <w:t>Controlled simulation. Lower MSE indicates lower prediction error within the same task and target scaling.</w:t>
      </w:r>
    </w:p>
    <w:p>
      <w:r>
        <w:t>By era 5, functional-rule drift is approximately 0.968 and aligned map migration approximately 0.50. Nevertheless, retraining experts from scratch under the old map does not consistently worsen error. Expert contents can adapt to an unchanged partition, so movement of a map alone is not evidence that its continued use is harmful.</w:t>
      </w:r>
    </w:p>
    <w:p>
      <w:pPr>
        <w:keepNext/>
        <w:spacing w:after="60"/>
        <w:jc w:val="center"/>
      </w:pPr>
      <w:r>
        <w:drawing>
          <wp:inline xmlns:a="http://schemas.openxmlformats.org/drawingml/2006/main" xmlns:pic="http://schemas.openxmlformats.org/drawingml/2006/picture">
            <wp:extent cx="6309360" cy="4026112"/>
            <wp:docPr id="22" name="Picture 22"/>
            <wp:cNvGraphicFramePr>
              <a:graphicFrameLocks noChangeAspect="1"/>
            </wp:cNvGraphicFramePr>
            <a:graphic>
              <a:graphicData uri="http://schemas.openxmlformats.org/drawingml/2006/picture">
                <pic:pic>
                  <pic:nvPicPr>
                    <pic:cNvPr id="0" name="22_image22.png"/>
                    <pic:cNvPicPr/>
                  </pic:nvPicPr>
                  <pic:blipFill>
                    <a:blip r:embed="rId35"/>
                    <a:stretch>
                      <a:fillRect/>
                    </a:stretch>
                  </pic:blipFill>
                  <pic:spPr>
                    <a:xfrm>
                      <a:off x="0" y="0"/>
                      <a:ext cx="6309360" cy="4026112"/>
                    </a:xfrm>
                    <a:prstGeom prst="rect"/>
                  </pic:spPr>
                </pic:pic>
              </a:graphicData>
            </a:graphic>
          </wp:inline>
        </w:drawing>
      </w:r>
    </w:p>
    <w:p>
      <w:pPr>
        <w:pStyle w:val="Caption"/>
      </w:pPr>
      <w:r>
        <w:t>Figure 22. Current and stale maps when expert functions are retrained in each era. The synthetic comparison shows that parameter adaptation can absorb changes in the assignment map.</w:t>
      </w:r>
    </w:p>
    <w:p>
      <w:pPr>
        <w:pStyle w:val="Heading3"/>
      </w:pPr>
      <w:r>
        <w:t>5.6.3 Replacing the router with expert functions held fixed</w:t>
      </w:r>
    </w:p>
    <w:p>
      <w:pPr>
        <w:pStyle w:val="Caption"/>
        <w:keepNext/>
      </w:pPr>
      <w:r>
        <w:t>Table 39. Stale routing with expert functions fixed.</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Era</w:t>
            </w:r>
          </w:p>
        </w:tc>
        <w:tc>
          <w:tcPr>
            <w:tcW w:type="dxa" w:w="1722"/>
            <w:vAlign w:val="center"/>
            <w:shd w:fill="F2F2F2"/>
          </w:tcPr>
          <w:p>
            <w:pPr>
              <w:keepNext/>
              <w:spacing w:after="0" w:before="0" w:line="240" w:lineRule="auto"/>
            </w:pPr>
            <w:r>
              <w:rPr>
                <w:rFonts w:ascii="Calibri" w:hAnsi="Calibri"/>
                <w:b/>
                <w:sz w:val="19"/>
              </w:rPr>
              <w:t>Fresh route MSE</w:t>
            </w:r>
          </w:p>
        </w:tc>
        <w:tc>
          <w:tcPr>
            <w:tcW w:type="dxa" w:w="1722"/>
            <w:vAlign w:val="center"/>
            <w:shd w:fill="F2F2F2"/>
          </w:tcPr>
          <w:p>
            <w:pPr>
              <w:keepNext/>
              <w:spacing w:after="0" w:before="0" w:line="240" w:lineRule="auto"/>
            </w:pPr>
            <w:r>
              <w:rPr>
                <w:rFonts w:ascii="Calibri" w:hAnsi="Calibri"/>
                <w:b/>
                <w:sz w:val="19"/>
              </w:rPr>
              <w:t>Stale route MSE</w:t>
            </w:r>
          </w:p>
        </w:tc>
        <w:tc>
          <w:tcPr>
            <w:tcW w:type="dxa" w:w="1722"/>
            <w:vAlign w:val="center"/>
            <w:shd w:fill="F2F2F2"/>
          </w:tcPr>
          <w:p>
            <w:pPr>
              <w:keepNext/>
              <w:spacing w:after="0" w:before="0" w:line="240" w:lineRule="auto"/>
            </w:pPr>
            <w:r>
              <w:rPr>
                <w:rFonts w:ascii="Calibri" w:hAnsi="Calibri"/>
                <w:b/>
                <w:sz w:val="19"/>
              </w:rPr>
              <w:t>Penalty %</w:t>
            </w:r>
          </w:p>
        </w:tc>
        <w:tc>
          <w:tcPr>
            <w:tcW w:type="dxa" w:w="1722"/>
            <w:vAlign w:val="center"/>
            <w:shd w:fill="F2F2F2"/>
          </w:tcPr>
          <w:p>
            <w:pPr>
              <w:keepNext/>
              <w:spacing w:after="0" w:before="0" w:line="240" w:lineRule="auto"/>
            </w:pPr>
            <w:r>
              <w:rPr>
                <w:rFonts w:ascii="Calibri" w:hAnsi="Calibri"/>
                <w:b/>
                <w:sz w:val="19"/>
              </w:rPr>
              <w:t>Rule drift</w:t>
            </w:r>
          </w:p>
        </w:tc>
        <w:tc>
          <w:tcPr>
            <w:tcW w:type="dxa" w:w="1722"/>
            <w:vAlign w:val="center"/>
            <w:shd w:fill="F2F2F2"/>
          </w:tcPr>
          <w:p>
            <w:pPr>
              <w:keepNext/>
              <w:spacing w:after="0" w:before="0" w:line="240" w:lineRule="auto"/>
            </w:pPr>
            <w:r>
              <w:rPr>
                <w:rFonts w:ascii="Calibri" w:hAnsi="Calibri"/>
                <w:b/>
                <w:sz w:val="19"/>
              </w:rPr>
              <w:t>Map migration</w:t>
            </w:r>
          </w:p>
        </w:tc>
      </w:tr>
      <w:tr>
        <w:trPr>
          <w:cantSplit/>
        </w:trPr>
        <w:tc>
          <w:tcPr>
            <w:tcW w:type="dxa" w:w="1613"/>
            <w:vAlign w:val="center"/>
          </w:tcPr>
          <w:p>
            <w:pPr>
              <w:keepNext w:val="0"/>
              <w:spacing w:after="0" w:before="0" w:line="240" w:lineRule="auto"/>
              <w:jc w:val="right"/>
            </w:pPr>
            <w:r>
              <w:rPr>
                <w:rFonts w:ascii="Calibri" w:hAnsi="Calibri"/>
                <w:b w:val="0"/>
                <w:sz w:val="19"/>
              </w:rPr>
              <w:t>0.0000</w:t>
            </w:r>
          </w:p>
        </w:tc>
        <w:tc>
          <w:tcPr>
            <w:tcW w:type="dxa" w:w="1722"/>
            <w:vAlign w:val="center"/>
          </w:tcPr>
          <w:p>
            <w:pPr>
              <w:keepNext w:val="0"/>
              <w:spacing w:after="0" w:before="0" w:line="240" w:lineRule="auto"/>
              <w:jc w:val="right"/>
            </w:pPr>
            <w:r>
              <w:rPr>
                <w:rFonts w:ascii="Calibri" w:hAnsi="Calibri"/>
                <w:b w:val="0"/>
                <w:sz w:val="19"/>
              </w:rPr>
              <w:t>0.2278</w:t>
            </w:r>
          </w:p>
        </w:tc>
        <w:tc>
          <w:tcPr>
            <w:tcW w:type="dxa" w:w="1722"/>
            <w:vAlign w:val="center"/>
          </w:tcPr>
          <w:p>
            <w:pPr>
              <w:keepNext w:val="0"/>
              <w:spacing w:after="0" w:before="0" w:line="240" w:lineRule="auto"/>
              <w:jc w:val="right"/>
            </w:pPr>
            <w:r>
              <w:rPr>
                <w:rFonts w:ascii="Calibri" w:hAnsi="Calibri"/>
                <w:b w:val="0"/>
                <w:sz w:val="19"/>
              </w:rPr>
              <w:t>0.2278</w:t>
            </w:r>
          </w:p>
        </w:tc>
        <w:tc>
          <w:tcPr>
            <w:tcW w:type="dxa" w:w="1722"/>
            <w:vAlign w:val="center"/>
          </w:tcPr>
          <w:p>
            <w:pPr>
              <w:keepNext w:val="0"/>
              <w:spacing w:after="0" w:before="0" w:line="240" w:lineRule="auto"/>
              <w:jc w:val="right"/>
            </w:pPr>
            <w:r>
              <w:rPr>
                <w:rFonts w:ascii="Calibri" w:hAnsi="Calibri"/>
                <w:b w:val="0"/>
                <w:sz w:val="19"/>
              </w:rPr>
              <w:t>0.0000</w:t>
            </w:r>
          </w:p>
        </w:tc>
        <w:tc>
          <w:tcPr>
            <w:tcW w:type="dxa" w:w="1722"/>
            <w:vAlign w:val="center"/>
          </w:tcPr>
          <w:p>
            <w:pPr>
              <w:keepNext w:val="0"/>
              <w:spacing w:after="0" w:before="0" w:line="240" w:lineRule="auto"/>
              <w:jc w:val="right"/>
            </w:pPr>
            <w:r>
              <w:rPr>
                <w:rFonts w:ascii="Calibri" w:hAnsi="Calibri"/>
                <w:b w:val="0"/>
                <w:sz w:val="19"/>
              </w:rPr>
              <w:t>0.0000</w:t>
            </w:r>
          </w:p>
        </w:tc>
        <w:tc>
          <w:tcPr>
            <w:tcW w:type="dxa" w:w="1722"/>
            <w:vAlign w:val="center"/>
          </w:tcPr>
          <w:p>
            <w:pPr>
              <w:keepNext w:val="0"/>
              <w:spacing w:after="0" w:before="0" w:line="240" w:lineRule="auto"/>
              <w:jc w:val="right"/>
            </w:pPr>
            <w:r>
              <w:rPr>
                <w:rFonts w:ascii="Calibri" w:hAnsi="Calibri"/>
                <w:b w:val="0"/>
                <w:sz w:val="19"/>
              </w:rPr>
              <w:t>0.0000</w:t>
            </w:r>
          </w:p>
        </w:tc>
      </w:tr>
      <w:tr>
        <w:trPr>
          <w:cantSplit/>
        </w:trPr>
        <w:tc>
          <w:tcPr>
            <w:tcW w:type="dxa" w:w="1613"/>
            <w:vAlign w:val="center"/>
          </w:tcPr>
          <w:p>
            <w:pPr>
              <w:keepNext w:val="0"/>
              <w:spacing w:after="0" w:before="0" w:line="240" w:lineRule="auto"/>
              <w:jc w:val="right"/>
            </w:pPr>
            <w:r>
              <w:rPr>
                <w:rFonts w:ascii="Calibri" w:hAnsi="Calibri"/>
                <w:b w:val="0"/>
                <w:sz w:val="19"/>
              </w:rPr>
              <w:t>1.0000</w:t>
            </w:r>
          </w:p>
        </w:tc>
        <w:tc>
          <w:tcPr>
            <w:tcW w:type="dxa" w:w="1722"/>
            <w:vAlign w:val="center"/>
          </w:tcPr>
          <w:p>
            <w:pPr>
              <w:keepNext w:val="0"/>
              <w:spacing w:after="0" w:before="0" w:line="240" w:lineRule="auto"/>
              <w:jc w:val="right"/>
            </w:pPr>
            <w:r>
              <w:rPr>
                <w:rFonts w:ascii="Calibri" w:hAnsi="Calibri"/>
                <w:b w:val="0"/>
                <w:sz w:val="19"/>
              </w:rPr>
              <w:t>0.2317</w:t>
            </w:r>
          </w:p>
        </w:tc>
        <w:tc>
          <w:tcPr>
            <w:tcW w:type="dxa" w:w="1722"/>
            <w:vAlign w:val="center"/>
          </w:tcPr>
          <w:p>
            <w:pPr>
              <w:keepNext w:val="0"/>
              <w:spacing w:after="0" w:before="0" w:line="240" w:lineRule="auto"/>
              <w:jc w:val="right"/>
            </w:pPr>
            <w:r>
              <w:rPr>
                <w:rFonts w:ascii="Calibri" w:hAnsi="Calibri"/>
                <w:b w:val="0"/>
                <w:sz w:val="19"/>
              </w:rPr>
              <w:t>0.3982</w:t>
            </w:r>
          </w:p>
        </w:tc>
        <w:tc>
          <w:tcPr>
            <w:tcW w:type="dxa" w:w="1722"/>
            <w:vAlign w:val="center"/>
          </w:tcPr>
          <w:p>
            <w:pPr>
              <w:keepNext w:val="0"/>
              <w:spacing w:after="0" w:before="0" w:line="240" w:lineRule="auto"/>
              <w:jc w:val="right"/>
            </w:pPr>
            <w:r>
              <w:rPr>
                <w:rFonts w:ascii="Calibri" w:hAnsi="Calibri"/>
                <w:b w:val="0"/>
                <w:sz w:val="19"/>
              </w:rPr>
              <w:t>72.5438</w:t>
            </w:r>
          </w:p>
        </w:tc>
        <w:tc>
          <w:tcPr>
            <w:tcW w:type="dxa" w:w="1722"/>
            <w:vAlign w:val="center"/>
          </w:tcPr>
          <w:p>
            <w:pPr>
              <w:keepNext w:val="0"/>
              <w:spacing w:after="0" w:before="0" w:line="240" w:lineRule="auto"/>
              <w:jc w:val="right"/>
            </w:pPr>
            <w:r>
              <w:rPr>
                <w:rFonts w:ascii="Calibri" w:hAnsi="Calibri"/>
                <w:b w:val="0"/>
                <w:sz w:val="19"/>
              </w:rPr>
              <w:t>0.2216</w:t>
            </w:r>
          </w:p>
        </w:tc>
        <w:tc>
          <w:tcPr>
            <w:tcW w:type="dxa" w:w="1722"/>
            <w:vAlign w:val="center"/>
          </w:tcPr>
          <w:p>
            <w:pPr>
              <w:keepNext w:val="0"/>
              <w:spacing w:after="0" w:before="0" w:line="240" w:lineRule="auto"/>
              <w:jc w:val="right"/>
            </w:pPr>
            <w:r>
              <w:rPr>
                <w:rFonts w:ascii="Calibri" w:hAnsi="Calibri"/>
                <w:b w:val="0"/>
                <w:sz w:val="19"/>
              </w:rPr>
              <w:t>0.2208</w:t>
            </w:r>
          </w:p>
        </w:tc>
      </w:tr>
      <w:tr>
        <w:trPr>
          <w:cantSplit/>
        </w:trPr>
        <w:tc>
          <w:tcPr>
            <w:tcW w:type="dxa" w:w="1613"/>
            <w:vAlign w:val="center"/>
          </w:tcPr>
          <w:p>
            <w:pPr>
              <w:keepNext w:val="0"/>
              <w:spacing w:after="0" w:before="0" w:line="240" w:lineRule="auto"/>
              <w:jc w:val="right"/>
            </w:pPr>
            <w:r>
              <w:rPr>
                <w:rFonts w:ascii="Calibri" w:hAnsi="Calibri"/>
                <w:b w:val="0"/>
                <w:sz w:val="19"/>
              </w:rPr>
              <w:t>2.0000</w:t>
            </w:r>
          </w:p>
        </w:tc>
        <w:tc>
          <w:tcPr>
            <w:tcW w:type="dxa" w:w="1722"/>
            <w:vAlign w:val="center"/>
          </w:tcPr>
          <w:p>
            <w:pPr>
              <w:keepNext w:val="0"/>
              <w:spacing w:after="0" w:before="0" w:line="240" w:lineRule="auto"/>
              <w:jc w:val="right"/>
            </w:pPr>
            <w:r>
              <w:rPr>
                <w:rFonts w:ascii="Calibri" w:hAnsi="Calibri"/>
                <w:b w:val="0"/>
                <w:sz w:val="19"/>
              </w:rPr>
              <w:t>0.2386</w:t>
            </w:r>
          </w:p>
        </w:tc>
        <w:tc>
          <w:tcPr>
            <w:tcW w:type="dxa" w:w="1722"/>
            <w:vAlign w:val="center"/>
          </w:tcPr>
          <w:p>
            <w:pPr>
              <w:keepNext w:val="0"/>
              <w:spacing w:after="0" w:before="0" w:line="240" w:lineRule="auto"/>
              <w:jc w:val="right"/>
            </w:pPr>
            <w:r>
              <w:rPr>
                <w:rFonts w:ascii="Calibri" w:hAnsi="Calibri"/>
                <w:b w:val="0"/>
                <w:sz w:val="19"/>
              </w:rPr>
              <w:t>0.3197</w:t>
            </w:r>
          </w:p>
        </w:tc>
        <w:tc>
          <w:tcPr>
            <w:tcW w:type="dxa" w:w="1722"/>
            <w:vAlign w:val="center"/>
          </w:tcPr>
          <w:p>
            <w:pPr>
              <w:keepNext w:val="0"/>
              <w:spacing w:after="0" w:before="0" w:line="240" w:lineRule="auto"/>
              <w:jc w:val="right"/>
            </w:pPr>
            <w:r>
              <w:rPr>
                <w:rFonts w:ascii="Calibri" w:hAnsi="Calibri"/>
                <w:b w:val="0"/>
                <w:sz w:val="19"/>
              </w:rPr>
              <w:t>34.0875</w:t>
            </w:r>
          </w:p>
        </w:tc>
        <w:tc>
          <w:tcPr>
            <w:tcW w:type="dxa" w:w="1722"/>
            <w:vAlign w:val="center"/>
          </w:tcPr>
          <w:p>
            <w:pPr>
              <w:keepNext w:val="0"/>
              <w:spacing w:after="0" w:before="0" w:line="240" w:lineRule="auto"/>
              <w:jc w:val="right"/>
            </w:pPr>
            <w:r>
              <w:rPr>
                <w:rFonts w:ascii="Calibri" w:hAnsi="Calibri"/>
                <w:b w:val="0"/>
                <w:sz w:val="19"/>
              </w:rPr>
              <w:t>0.4356</w:t>
            </w:r>
          </w:p>
        </w:tc>
        <w:tc>
          <w:tcPr>
            <w:tcW w:type="dxa" w:w="1722"/>
            <w:vAlign w:val="center"/>
          </w:tcPr>
          <w:p>
            <w:pPr>
              <w:keepNext w:val="0"/>
              <w:spacing w:after="0" w:before="0" w:line="240" w:lineRule="auto"/>
              <w:jc w:val="right"/>
            </w:pPr>
            <w:r>
              <w:rPr>
                <w:rFonts w:ascii="Calibri" w:hAnsi="Calibri"/>
                <w:b w:val="0"/>
                <w:sz w:val="19"/>
              </w:rPr>
              <w:t>0.3542</w:t>
            </w:r>
          </w:p>
        </w:tc>
      </w:tr>
      <w:tr>
        <w:trPr>
          <w:cantSplit/>
        </w:trPr>
        <w:tc>
          <w:tcPr>
            <w:tcW w:type="dxa" w:w="1613"/>
            <w:vAlign w:val="center"/>
          </w:tcPr>
          <w:p>
            <w:pPr>
              <w:keepNext w:val="0"/>
              <w:spacing w:after="0" w:before="0" w:line="240" w:lineRule="auto"/>
              <w:jc w:val="right"/>
            </w:pPr>
            <w:r>
              <w:rPr>
                <w:rFonts w:ascii="Calibri" w:hAnsi="Calibri"/>
                <w:b w:val="0"/>
                <w:sz w:val="19"/>
              </w:rPr>
              <w:t>3.0000</w:t>
            </w:r>
          </w:p>
        </w:tc>
        <w:tc>
          <w:tcPr>
            <w:tcW w:type="dxa" w:w="1722"/>
            <w:vAlign w:val="center"/>
          </w:tcPr>
          <w:p>
            <w:pPr>
              <w:keepNext w:val="0"/>
              <w:spacing w:after="0" w:before="0" w:line="240" w:lineRule="auto"/>
              <w:jc w:val="right"/>
            </w:pPr>
            <w:r>
              <w:rPr>
                <w:rFonts w:ascii="Calibri" w:hAnsi="Calibri"/>
                <w:b w:val="0"/>
                <w:sz w:val="19"/>
              </w:rPr>
              <w:t>0.2381</w:t>
            </w:r>
          </w:p>
        </w:tc>
        <w:tc>
          <w:tcPr>
            <w:tcW w:type="dxa" w:w="1722"/>
            <w:vAlign w:val="center"/>
          </w:tcPr>
          <w:p>
            <w:pPr>
              <w:keepNext w:val="0"/>
              <w:spacing w:after="0" w:before="0" w:line="240" w:lineRule="auto"/>
              <w:jc w:val="right"/>
            </w:pPr>
            <w:r>
              <w:rPr>
                <w:rFonts w:ascii="Calibri" w:hAnsi="Calibri"/>
                <w:b w:val="0"/>
                <w:sz w:val="19"/>
              </w:rPr>
              <w:t>0.4429</w:t>
            </w:r>
          </w:p>
        </w:tc>
        <w:tc>
          <w:tcPr>
            <w:tcW w:type="dxa" w:w="1722"/>
            <w:vAlign w:val="center"/>
          </w:tcPr>
          <w:p>
            <w:pPr>
              <w:keepNext w:val="0"/>
              <w:spacing w:after="0" w:before="0" w:line="240" w:lineRule="auto"/>
              <w:jc w:val="right"/>
            </w:pPr>
            <w:r>
              <w:rPr>
                <w:rFonts w:ascii="Calibri" w:hAnsi="Calibri"/>
                <w:b w:val="0"/>
                <w:sz w:val="19"/>
              </w:rPr>
              <w:t>85.9859</w:t>
            </w:r>
          </w:p>
        </w:tc>
        <w:tc>
          <w:tcPr>
            <w:tcW w:type="dxa" w:w="1722"/>
            <w:vAlign w:val="center"/>
          </w:tcPr>
          <w:p>
            <w:pPr>
              <w:keepNext w:val="0"/>
              <w:spacing w:after="0" w:before="0" w:line="240" w:lineRule="auto"/>
              <w:jc w:val="right"/>
            </w:pPr>
            <w:r>
              <w:rPr>
                <w:rFonts w:ascii="Calibri" w:hAnsi="Calibri"/>
                <w:b w:val="0"/>
                <w:sz w:val="19"/>
              </w:rPr>
              <w:t>0.6349</w:t>
            </w:r>
          </w:p>
        </w:tc>
        <w:tc>
          <w:tcPr>
            <w:tcW w:type="dxa" w:w="1722"/>
            <w:vAlign w:val="center"/>
          </w:tcPr>
          <w:p>
            <w:pPr>
              <w:keepNext w:val="0"/>
              <w:spacing w:after="0" w:before="0" w:line="240" w:lineRule="auto"/>
              <w:jc w:val="right"/>
            </w:pPr>
            <w:r>
              <w:rPr>
                <w:rFonts w:ascii="Calibri" w:hAnsi="Calibri"/>
                <w:b w:val="0"/>
                <w:sz w:val="19"/>
              </w:rPr>
              <w:t>0.3917</w:t>
            </w:r>
          </w:p>
        </w:tc>
      </w:tr>
      <w:tr>
        <w:trPr>
          <w:cantSplit/>
        </w:trPr>
        <w:tc>
          <w:tcPr>
            <w:tcW w:type="dxa" w:w="1613"/>
            <w:vAlign w:val="center"/>
          </w:tcPr>
          <w:p>
            <w:pPr>
              <w:keepNext w:val="0"/>
              <w:spacing w:after="0" w:before="0" w:line="240" w:lineRule="auto"/>
              <w:jc w:val="right"/>
            </w:pPr>
            <w:r>
              <w:rPr>
                <w:rFonts w:ascii="Calibri" w:hAnsi="Calibri"/>
                <w:b w:val="0"/>
                <w:sz w:val="19"/>
              </w:rPr>
              <w:t>4.0000</w:t>
            </w:r>
          </w:p>
        </w:tc>
        <w:tc>
          <w:tcPr>
            <w:tcW w:type="dxa" w:w="1722"/>
            <w:vAlign w:val="center"/>
          </w:tcPr>
          <w:p>
            <w:pPr>
              <w:keepNext w:val="0"/>
              <w:spacing w:after="0" w:before="0" w:line="240" w:lineRule="auto"/>
              <w:jc w:val="right"/>
            </w:pPr>
            <w:r>
              <w:rPr>
                <w:rFonts w:ascii="Calibri" w:hAnsi="Calibri"/>
                <w:b w:val="0"/>
                <w:sz w:val="19"/>
              </w:rPr>
              <w:t>0.2667</w:t>
            </w:r>
          </w:p>
        </w:tc>
        <w:tc>
          <w:tcPr>
            <w:tcW w:type="dxa" w:w="1722"/>
            <w:vAlign w:val="center"/>
          </w:tcPr>
          <w:p>
            <w:pPr>
              <w:keepNext w:val="0"/>
              <w:spacing w:after="0" w:before="0" w:line="240" w:lineRule="auto"/>
              <w:jc w:val="right"/>
            </w:pPr>
            <w:r>
              <w:rPr>
                <w:rFonts w:ascii="Calibri" w:hAnsi="Calibri"/>
                <w:b w:val="0"/>
                <w:sz w:val="19"/>
              </w:rPr>
              <w:t>0.4246</w:t>
            </w:r>
          </w:p>
        </w:tc>
        <w:tc>
          <w:tcPr>
            <w:tcW w:type="dxa" w:w="1722"/>
            <w:vAlign w:val="center"/>
          </w:tcPr>
          <w:p>
            <w:pPr>
              <w:keepNext w:val="0"/>
              <w:spacing w:after="0" w:before="0" w:line="240" w:lineRule="auto"/>
              <w:jc w:val="right"/>
            </w:pPr>
            <w:r>
              <w:rPr>
                <w:rFonts w:ascii="Calibri" w:hAnsi="Calibri"/>
                <w:b w:val="0"/>
                <w:sz w:val="19"/>
              </w:rPr>
              <w:t>59.4114</w:t>
            </w:r>
          </w:p>
        </w:tc>
        <w:tc>
          <w:tcPr>
            <w:tcW w:type="dxa" w:w="1722"/>
            <w:vAlign w:val="center"/>
          </w:tcPr>
          <w:p>
            <w:pPr>
              <w:keepNext w:val="0"/>
              <w:spacing w:after="0" w:before="0" w:line="240" w:lineRule="auto"/>
              <w:jc w:val="right"/>
            </w:pPr>
            <w:r>
              <w:rPr>
                <w:rFonts w:ascii="Calibri" w:hAnsi="Calibri"/>
                <w:b w:val="0"/>
                <w:sz w:val="19"/>
              </w:rPr>
              <w:t>0.8137</w:t>
            </w:r>
          </w:p>
        </w:tc>
        <w:tc>
          <w:tcPr>
            <w:tcW w:type="dxa" w:w="1722"/>
            <w:vAlign w:val="center"/>
          </w:tcPr>
          <w:p>
            <w:pPr>
              <w:keepNext w:val="0"/>
              <w:spacing w:after="0" w:before="0" w:line="240" w:lineRule="auto"/>
              <w:jc w:val="right"/>
            </w:pPr>
            <w:r>
              <w:rPr>
                <w:rFonts w:ascii="Calibri" w:hAnsi="Calibri"/>
                <w:b w:val="0"/>
                <w:sz w:val="19"/>
              </w:rPr>
              <w:t>0.4958</w:t>
            </w:r>
          </w:p>
        </w:tc>
      </w:tr>
      <w:tr>
        <w:trPr>
          <w:cantSplit/>
        </w:trPr>
        <w:tc>
          <w:tcPr>
            <w:tcW w:type="dxa" w:w="1613"/>
            <w:vAlign w:val="center"/>
          </w:tcPr>
          <w:p>
            <w:pPr>
              <w:keepNext/>
              <w:spacing w:after="0" w:before="0" w:line="240" w:lineRule="auto"/>
              <w:jc w:val="right"/>
            </w:pPr>
            <w:r>
              <w:rPr>
                <w:rFonts w:ascii="Calibri" w:hAnsi="Calibri"/>
                <w:b w:val="0"/>
                <w:sz w:val="19"/>
              </w:rPr>
              <w:t>5.0000</w:t>
            </w:r>
          </w:p>
        </w:tc>
        <w:tc>
          <w:tcPr>
            <w:tcW w:type="dxa" w:w="1722"/>
            <w:vAlign w:val="center"/>
          </w:tcPr>
          <w:p>
            <w:pPr>
              <w:keepNext/>
              <w:spacing w:after="0" w:before="0" w:line="240" w:lineRule="auto"/>
              <w:jc w:val="right"/>
            </w:pPr>
            <w:r>
              <w:rPr>
                <w:rFonts w:ascii="Calibri" w:hAnsi="Calibri"/>
                <w:b w:val="0"/>
                <w:sz w:val="19"/>
              </w:rPr>
              <w:t>0.2371</w:t>
            </w:r>
          </w:p>
        </w:tc>
        <w:tc>
          <w:tcPr>
            <w:tcW w:type="dxa" w:w="1722"/>
            <w:vAlign w:val="center"/>
          </w:tcPr>
          <w:p>
            <w:pPr>
              <w:keepNext/>
              <w:spacing w:after="0" w:before="0" w:line="240" w:lineRule="auto"/>
              <w:jc w:val="right"/>
            </w:pPr>
            <w:r>
              <w:rPr>
                <w:rFonts w:ascii="Calibri" w:hAnsi="Calibri"/>
                <w:b w:val="0"/>
                <w:sz w:val="19"/>
              </w:rPr>
              <w:t>0.3990</w:t>
            </w:r>
          </w:p>
        </w:tc>
        <w:tc>
          <w:tcPr>
            <w:tcW w:type="dxa" w:w="1722"/>
            <w:vAlign w:val="center"/>
          </w:tcPr>
          <w:p>
            <w:pPr>
              <w:keepNext/>
              <w:spacing w:after="0" w:before="0" w:line="240" w:lineRule="auto"/>
              <w:jc w:val="right"/>
            </w:pPr>
            <w:r>
              <w:rPr>
                <w:rFonts w:ascii="Calibri" w:hAnsi="Calibri"/>
                <w:b w:val="0"/>
                <w:sz w:val="19"/>
              </w:rPr>
              <w:t>68.5625</w:t>
            </w:r>
          </w:p>
        </w:tc>
        <w:tc>
          <w:tcPr>
            <w:tcW w:type="dxa" w:w="1722"/>
            <w:vAlign w:val="center"/>
          </w:tcPr>
          <w:p>
            <w:pPr>
              <w:keepNext/>
              <w:spacing w:after="0" w:before="0" w:line="240" w:lineRule="auto"/>
              <w:jc w:val="right"/>
            </w:pPr>
            <w:r>
              <w:rPr>
                <w:rFonts w:ascii="Calibri" w:hAnsi="Calibri"/>
                <w:b w:val="0"/>
                <w:sz w:val="19"/>
              </w:rPr>
              <w:t>0.9676</w:t>
            </w:r>
          </w:p>
        </w:tc>
        <w:tc>
          <w:tcPr>
            <w:tcW w:type="dxa" w:w="1722"/>
            <w:vAlign w:val="center"/>
          </w:tcPr>
          <w:p>
            <w:pPr>
              <w:keepNext/>
              <w:spacing w:after="0" w:before="0" w:line="240" w:lineRule="auto"/>
              <w:jc w:val="right"/>
            </w:pPr>
            <w:r>
              <w:rPr>
                <w:rFonts w:ascii="Calibri" w:hAnsi="Calibri"/>
                <w:b w:val="0"/>
                <w:sz w:val="19"/>
              </w:rPr>
              <w:t>0.5000</w:t>
            </w:r>
          </w:p>
        </w:tc>
      </w:tr>
    </w:tbl>
    <w:p>
      <w:pPr>
        <w:keepLines/>
        <w:spacing w:before="60" w:after="120"/>
      </w:pPr>
      <w:r>
        <w:rPr>
          <w:sz w:val="18"/>
        </w:rPr>
        <w:t>Controlled simulation. Lower MSE indicates lower prediction error within the same task and target scaling.</w:t>
      </w:r>
    </w:p>
    <w:p>
      <w:r>
        <w:t>With expert functions fixed, substituting stale routing raises MSE in eras 1–5 by approximately 72.5%, 34.1%, 86.0%, 59.4% and 68.6%. The relevant mismatch is between current expert functions and the states assigned to them.</w:t>
      </w:r>
    </w:p>
    <w:p>
      <w:pPr>
        <w:keepNext/>
        <w:spacing w:after="60"/>
        <w:jc w:val="center"/>
      </w:pPr>
      <w:r>
        <w:drawing>
          <wp:inline xmlns:a="http://schemas.openxmlformats.org/drawingml/2006/main" xmlns:pic="http://schemas.openxmlformats.org/drawingml/2006/picture">
            <wp:extent cx="6309360" cy="4141143"/>
            <wp:docPr id="23" name="Picture 23"/>
            <wp:cNvGraphicFramePr>
              <a:graphicFrameLocks noChangeAspect="1"/>
            </wp:cNvGraphicFramePr>
            <a:graphic>
              <a:graphicData uri="http://schemas.openxmlformats.org/drawingml/2006/picture">
                <pic:pic>
                  <pic:nvPicPr>
                    <pic:cNvPr id="0" name="23_image23.png"/>
                    <pic:cNvPicPr/>
                  </pic:nvPicPr>
                  <pic:blipFill>
                    <a:blip r:embed="rId36"/>
                    <a:stretch>
                      <a:fillRect/>
                    </a:stretch>
                  </pic:blipFill>
                  <pic:spPr>
                    <a:xfrm>
                      <a:off x="0" y="0"/>
                      <a:ext cx="6309360" cy="4141143"/>
                    </a:xfrm>
                    <a:prstGeom prst="rect"/>
                  </pic:spPr>
                </pic:pic>
              </a:graphicData>
            </a:graphic>
          </wp:inline>
        </w:drawing>
      </w:r>
    </w:p>
    <w:p>
      <w:pPr>
        <w:pStyle w:val="Caption"/>
      </w:pPr>
      <w:r>
        <w:t>Figure 23. Stale-routing penalty with current expert functions held fixed. This intervention isolates routing mismatch from adaptation of expert contents.</w:t>
      </w:r>
    </w:p>
    <w:p>
      <w:pPr>
        <w:pStyle w:val="Heading3"/>
      </w:pPr>
      <w:r>
        <w:t>5.6.4 Criteria for changing expert allocation</w:t>
      </w:r>
    </w:p>
    <w:p>
      <w:pPr>
        <w:pStyle w:val="ListBullet"/>
      </w:pPr>
      <w:r>
        <w:t>Keep the current allocation when predictive compatibility and expert coverage remain stable.</w:t>
      </w:r>
    </w:p>
    <w:p>
      <w:pPr>
        <w:pStyle w:val="ListBullet"/>
      </w:pPr>
      <w:r>
        <w:t>Move or reassign routing regions when local response signatures drift but the existing experts retain sufficient capacity.</w:t>
      </w:r>
    </w:p>
    <w:p>
      <w:pPr>
        <w:pStyle w:val="ListBullet"/>
      </w:pPr>
      <w:r>
        <w:t>Consider additional capacity when a region has persistent multimodality or negative transfer within an expert.</w:t>
      </w:r>
    </w:p>
    <w:p>
      <w:pPr>
        <w:pStyle w:val="ListBullet"/>
      </w:pPr>
      <w:r>
        <w:t>Consider merging modules when their response and compatibility profiles converge persistently.</w:t>
      </w:r>
    </w:p>
    <w:p>
      <w:pPr>
        <w:pStyle w:val="ListBullet"/>
      </w:pPr>
      <w:r>
        <w:t>Consider removing a module when its distinct predictive contribution is negligible or its residual is adequately represented by the shared predictor.</w:t>
      </w:r>
    </w:p>
    <w:p>
      <w:r>
        <w:t>These lifecycle rules are design criteria suggested by the routing experiment. Keep, move, duplicate, merge and delete operations are not all experimentally evaluated here.</w:t>
      </w:r>
    </w:p>
    <w:p>
      <w:pPr>
        <w:pStyle w:val="Heading3"/>
      </w:pPr>
      <w:r>
        <w:t>5.6.5 Time-dependent allocation of computation</w:t>
      </w:r>
    </w:p>
    <w:p>
      <w:r>
        <w:t>The drift comparison motivates maintaining the correspondence between current predictive geometry and expert functions. A time-dependent router or periodic reassessment can represent that correspondence. Its benefit should be evaluated against retraining or retaining an existing allocation.</w:t>
      </w:r>
    </w:p>
    <w:p>
      <w:r>
        <w:t>The proposed modelling sequence links observation history, predictive state, current generating geometry, expert allocation and the predicted transition.</w:t>
      </w:r>
    </w:p>
    <w:p>
      <w:pPr>
        <w:pStyle w:val="Heading3"/>
      </w:pPr>
      <w:r>
        <w:t>5.6.6 Evidence records</w:t>
      </w:r>
    </w:p>
    <w:p>
      <w:pPr>
        <w:spacing w:after="40"/>
      </w:pPr>
      <w:r>
        <w:rPr>
          <w:sz w:val="18"/>
        </w:rPr>
        <w:t>GENERATIVE_​MANIFOLD_​DRIFT_​008_​bundle.zip</w:t>
      </w:r>
    </w:p>
    <w:p>
      <w:pPr>
        <w:spacing w:after="40"/>
      </w:pPr>
      <w:r>
        <w:rPr>
          <w:sz w:val="18"/>
        </w:rPr>
        <w:t>GENERATIVE_​MANIFOLD_​DRIFT_​008/​drift_​summary.csv</w:t>
      </w:r>
    </w:p>
    <w:p>
      <w:pPr>
        <w:spacing w:after="40"/>
      </w:pPr>
      <w:r>
        <w:rPr>
          <w:sz w:val="18"/>
        </w:rPr>
        <w:t>GENERATIVE_​MANIFOLD_​DRIFT_​008/​strict_​routing_​intervention_​summary.csv</w:t>
      </w:r>
    </w:p>
    <w:p>
      <w:pPr>
        <w:spacing w:after="40"/>
      </w:pPr>
      <w:r>
        <w:rPr>
          <w:sz w:val="18"/>
        </w:rPr>
        <w:t>GENERATIVE_​MANIFOLD_​DRIFT_​008/​drift_​performance.png</w:t>
      </w:r>
    </w:p>
    <w:p>
      <w:pPr>
        <w:spacing w:after="40"/>
      </w:pPr>
      <w:r>
        <w:rPr>
          <w:sz w:val="18"/>
        </w:rPr>
        <w:t>GENERATIVE_​MANIFOLD_​DRIFT_​008/​map_​migration.png</w:t>
      </w:r>
    </w:p>
    <w:p>
      <w:pPr>
        <w:spacing w:after="40"/>
      </w:pPr>
      <w:r>
        <w:rPr>
          <w:sz w:val="18"/>
        </w:rPr>
        <w:t>GENERATIVE_​MANIFOLD_​DRIFT_​008/​strict_​stale_​routing_​penalty.png</w:t>
      </w:r>
    </w:p>
    <w:p>
      <w:pPr>
        <w:pStyle w:val="Heading2"/>
      </w:pPr>
      <w:r>
        <w:t>5.7 GEOMETRY-MATCHED-MECHANISM-FAMILIES-009 Similar marginals and different transitions</w:t>
      </w:r>
    </w:p>
    <w:p>
      <w:r>
        <w:t>Two data families can have nearly identical current-state geometry but different transition laws. This experiment tests whether history identifies that difference and whether routing on the identified mechanism improves rollout.</w:t>
      </w:r>
    </w:p>
    <w:p>
      <w:pPr>
        <w:pStyle w:val="Heading3"/>
      </w:pPr>
      <w:r>
        <w:t>5.7.1 Matched stationary marginals</w:t>
      </w:r>
    </w:p>
    <w:p>
      <w:r>
        <w:t>Both hidden families are six-dimensional stationary Gaussian processes with marginal distribution N(0,I), a common observation basis, ρ=0.997 and isotropic process noise. Only the direction and angle of the orthogonal transition rotation differ. Family identity is constant within a trajectory and is withheld from learned models.</w:t>
      </w:r>
    </w:p>
    <w:p>
      <w:r>
        <w:t>By construction, a single frame has no population-level information about family identity. The transition between frames carries that information.</w:t>
      </w:r>
    </w:p>
    <w:p>
      <w:pPr>
        <w:pStyle w:val="Caption"/>
        <w:keepNext/>
      </w:pPr>
      <w:r>
        <w:t>Table 40. Family-identification diagnostics.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Diagnostic</w:t>
            </w:r>
          </w:p>
        </w:tc>
        <w:tc>
          <w:tcPr>
            <w:tcW w:type="dxa" w:w="6984"/>
            <w:vAlign w:val="center"/>
            <w:shd w:fill="F2F2F2"/>
          </w:tcPr>
          <w:p>
            <w:pPr>
              <w:keepNext/>
              <w:spacing w:after="0" w:before="0" w:line="240" w:lineRule="auto"/>
            </w:pPr>
            <w:r>
              <w:rPr>
                <w:rFonts w:ascii="Calibri" w:hAnsi="Calibri"/>
                <w:b/>
                <w:sz w:val="19"/>
              </w:rPr>
              <w:t>Value</w:t>
            </w:r>
          </w:p>
        </w:tc>
      </w:tr>
      <w:tr>
        <w:trPr>
          <w:cantSplit/>
        </w:trPr>
        <w:tc>
          <w:tcPr>
            <w:tcW w:type="dxa" w:w="3240"/>
            <w:vAlign w:val="center"/>
          </w:tcPr>
          <w:p>
            <w:pPr>
              <w:keepNext w:val="0"/>
              <w:spacing w:after="0" w:before="0" w:line="240" w:lineRule="auto"/>
            </w:pPr>
            <w:r>
              <w:rPr>
                <w:rFonts w:ascii="Calibri" w:hAnsi="Calibri"/>
                <w:b w:val="0"/>
                <w:sz w:val="19"/>
              </w:rPr>
              <w:t>Current-frame family classifier</w:t>
            </w:r>
          </w:p>
        </w:tc>
        <w:tc>
          <w:tcPr>
            <w:tcW w:type="dxa" w:w="6984"/>
            <w:vAlign w:val="center"/>
          </w:tcPr>
          <w:p>
            <w:pPr>
              <w:keepNext w:val="0"/>
              <w:spacing w:after="0" w:before="0" w:line="240" w:lineRule="auto"/>
              <w:jc w:val="right"/>
            </w:pPr>
            <w:r>
              <w:rPr>
                <w:rFonts w:ascii="Calibri" w:hAnsi="Calibri"/>
                <w:b w:val="0"/>
                <w:sz w:val="19"/>
              </w:rPr>
              <w:t>0.4898</w:t>
            </w:r>
          </w:p>
        </w:tc>
      </w:tr>
      <w:tr>
        <w:trPr>
          <w:cantSplit/>
        </w:trPr>
        <w:tc>
          <w:tcPr>
            <w:tcW w:type="dxa" w:w="3240"/>
            <w:vAlign w:val="center"/>
          </w:tcPr>
          <w:p>
            <w:pPr>
              <w:keepNext w:val="0"/>
              <w:spacing w:after="0" w:before="0" w:line="240" w:lineRule="auto"/>
            </w:pPr>
            <w:r>
              <w:rPr>
                <w:rFonts w:ascii="Calibri" w:hAnsi="Calibri"/>
                <w:b w:val="0"/>
                <w:sz w:val="19"/>
              </w:rPr>
              <w:t>Two-frame transition classifier</w:t>
            </w:r>
          </w:p>
        </w:tc>
        <w:tc>
          <w:tcPr>
            <w:tcW w:type="dxa" w:w="6984"/>
            <w:vAlign w:val="center"/>
          </w:tcPr>
          <w:p>
            <w:pPr>
              <w:keepNext w:val="0"/>
              <w:spacing w:after="0" w:before="0" w:line="240" w:lineRule="auto"/>
              <w:jc w:val="right"/>
            </w:pPr>
            <w:r>
              <w:rPr>
                <w:rFonts w:ascii="Calibri" w:hAnsi="Calibri"/>
                <w:b w:val="0"/>
                <w:sz w:val="19"/>
              </w:rPr>
              <w:t>1.0000</w:t>
            </w:r>
          </w:p>
        </w:tc>
      </w:tr>
      <w:tr>
        <w:trPr>
          <w:cantSplit/>
        </w:trPr>
        <w:tc>
          <w:tcPr>
            <w:tcW w:type="dxa" w:w="3240"/>
            <w:vAlign w:val="center"/>
          </w:tcPr>
          <w:p>
            <w:pPr>
              <w:keepNext w:val="0"/>
              <w:spacing w:after="0" w:before="0" w:line="240" w:lineRule="auto"/>
            </w:pPr>
            <w:r>
              <w:rPr>
                <w:rFonts w:ascii="Calibri" w:hAnsi="Calibri"/>
                <w:b w:val="0"/>
                <w:sz w:val="19"/>
              </w:rPr>
              <w:t>Normalized covariance difference</w:t>
            </w:r>
          </w:p>
        </w:tc>
        <w:tc>
          <w:tcPr>
            <w:tcW w:type="dxa" w:w="6984"/>
            <w:vAlign w:val="center"/>
          </w:tcPr>
          <w:p>
            <w:pPr>
              <w:keepNext w:val="0"/>
              <w:spacing w:after="0" w:before="0" w:line="240" w:lineRule="auto"/>
              <w:jc w:val="right"/>
            </w:pPr>
            <w:r>
              <w:rPr>
                <w:rFonts w:ascii="Calibri" w:hAnsi="Calibri"/>
                <w:b w:val="0"/>
                <w:sz w:val="19"/>
              </w:rPr>
              <w:t>0.2185</w:t>
            </w:r>
          </w:p>
        </w:tc>
      </w:tr>
      <w:tr>
        <w:trPr>
          <w:cantSplit/>
        </w:trPr>
        <w:tc>
          <w:tcPr>
            <w:tcW w:type="dxa" w:w="3240"/>
            <w:vAlign w:val="center"/>
          </w:tcPr>
          <w:p>
            <w:pPr>
              <w:keepNext/>
              <w:spacing w:after="0" w:before="0" w:line="240" w:lineRule="auto"/>
            </w:pPr>
            <w:r>
              <w:rPr>
                <w:rFonts w:ascii="Calibri" w:hAnsi="Calibri"/>
                <w:b w:val="0"/>
                <w:sz w:val="19"/>
              </w:rPr>
              <w:t>Current mean difference</w:t>
            </w:r>
          </w:p>
        </w:tc>
        <w:tc>
          <w:tcPr>
            <w:tcW w:type="dxa" w:w="6984"/>
            <w:vAlign w:val="center"/>
          </w:tcPr>
          <w:p>
            <w:pPr>
              <w:keepNext/>
              <w:spacing w:after="0" w:before="0" w:line="240" w:lineRule="auto"/>
              <w:jc w:val="right"/>
            </w:pPr>
            <w:r>
              <w:rPr>
                <w:rFonts w:ascii="Calibri" w:hAnsi="Calibri"/>
                <w:b w:val="0"/>
                <w:sz w:val="19"/>
              </w:rPr>
              <w:t>0.1214</w:t>
            </w:r>
          </w:p>
        </w:tc>
      </w:tr>
    </w:tbl>
    <w:p>
      <w:pPr>
        <w:keepLines/>
        <w:spacing w:before="60" w:after="120"/>
      </w:pPr>
      <w:r>
        <w:rPr>
          <w:sz w:val="18"/>
        </w:rPr>
        <w:t>Controlled simulation.</w:t>
      </w:r>
    </w:p>
    <w:p>
      <w:r>
        <w:t>The current-frame classifier reaches 48.98% accuracy, close to chance; a two-frame transition classifier reaches 100%. The sample mean and covariance diagnostics quantify finite-sample differences despite the matched population marginals.</w:t>
      </w:r>
    </w:p>
    <w:p>
      <w:pPr>
        <w:keepNext/>
        <w:spacing w:after="60"/>
        <w:jc w:val="center"/>
      </w:pPr>
      <w:r>
        <w:drawing>
          <wp:inline xmlns:a="http://schemas.openxmlformats.org/drawingml/2006/main" xmlns:pic="http://schemas.openxmlformats.org/drawingml/2006/picture">
            <wp:extent cx="6309360" cy="4173884"/>
            <wp:docPr id="24" name="Picture 24"/>
            <wp:cNvGraphicFramePr>
              <a:graphicFrameLocks noChangeAspect="1"/>
            </wp:cNvGraphicFramePr>
            <a:graphic>
              <a:graphicData uri="http://schemas.openxmlformats.org/drawingml/2006/picture">
                <pic:pic>
                  <pic:nvPicPr>
                    <pic:cNvPr id="0" name="24_image24.png"/>
                    <pic:cNvPicPr/>
                  </pic:nvPicPr>
                  <pic:blipFill>
                    <a:blip r:embed="rId37"/>
                    <a:stretch>
                      <a:fillRect/>
                    </a:stretch>
                  </pic:blipFill>
                  <pic:spPr>
                    <a:xfrm>
                      <a:off x="0" y="0"/>
                      <a:ext cx="6309360" cy="4173884"/>
                    </a:xfrm>
                    <a:prstGeom prst="rect"/>
                  </pic:spPr>
                </pic:pic>
              </a:graphicData>
            </a:graphic>
          </wp:inline>
        </w:drawing>
      </w:r>
    </w:p>
    <w:p>
      <w:pPr>
        <w:pStyle w:val="Caption"/>
      </w:pPr>
      <w:r>
        <w:t>Figure 24. Family identification from current observations and transition pairs in the controlled Gaussian system. The family distinction is encoded in transitions rather than in the theoretical stationary marginal.</w:t>
      </w:r>
    </w:p>
    <w:p>
      <w:pPr>
        <w:pStyle w:val="Heading3"/>
      </w:pPr>
      <w:r>
        <w:t>5.7.2 Shared recurrence and alternative routers</w:t>
      </w:r>
    </w:p>
    <w:p>
      <w:pPr>
        <w:pStyle w:val="Caption"/>
        <w:keepNext/>
      </w:pPr>
      <w:r>
        <w:t>Table 41. Prediction with alternative routers.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998"/>
        <w:gridCol w:w="1998"/>
        <w:gridCol w:w="1998"/>
        <w:gridCol w:w="1998"/>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1998"/>
            <w:vAlign w:val="center"/>
            <w:shd w:fill="F2F2F2"/>
          </w:tcPr>
          <w:p>
            <w:pPr>
              <w:keepNext/>
              <w:spacing w:after="0" w:before="0" w:line="240" w:lineRule="auto"/>
            </w:pPr>
            <w:r>
              <w:rPr>
                <w:rFonts w:ascii="Calibri" w:hAnsi="Calibri"/>
                <w:b/>
                <w:sz w:val="19"/>
              </w:rPr>
              <w:t>Params</w:t>
            </w:r>
          </w:p>
        </w:tc>
        <w:tc>
          <w:tcPr>
            <w:tcW w:type="dxa" w:w="1998"/>
            <w:vAlign w:val="center"/>
            <w:shd w:fill="F2F2F2"/>
          </w:tcPr>
          <w:p>
            <w:pPr>
              <w:keepNext/>
              <w:spacing w:after="0" w:before="0" w:line="240" w:lineRule="auto"/>
            </w:pPr>
            <w:r>
              <w:rPr>
                <w:rFonts w:ascii="Calibri" w:hAnsi="Calibri"/>
                <w:b/>
                <w:sz w:val="19"/>
              </w:rPr>
              <w:t>One-step</w:t>
            </w:r>
          </w:p>
        </w:tc>
        <w:tc>
          <w:tcPr>
            <w:tcW w:type="dxa" w:w="1998"/>
            <w:vAlign w:val="center"/>
            <w:shd w:fill="F2F2F2"/>
          </w:tcPr>
          <w:p>
            <w:pPr>
              <w:keepNext/>
              <w:spacing w:after="0" w:before="0" w:line="240" w:lineRule="auto"/>
            </w:pPr>
            <w:r>
              <w:rPr>
                <w:rFonts w:ascii="Calibri" w:hAnsi="Calibri"/>
                <w:b/>
                <w:sz w:val="19"/>
              </w:rPr>
              <w:t>Rollout-3</w:t>
            </w:r>
          </w:p>
        </w:tc>
        <w:tc>
          <w:tcPr>
            <w:tcW w:type="dxa" w:w="1998"/>
            <w:vAlign w:val="center"/>
            <w:shd w:fill="F2F2F2"/>
          </w:tcPr>
          <w:p>
            <w:pPr>
              <w:keepNext/>
              <w:spacing w:after="0" w:before="0" w:line="240" w:lineRule="auto"/>
            </w:pPr>
            <w:r>
              <w:rPr>
                <w:rFonts w:ascii="Calibri" w:hAnsi="Calibri"/>
                <w:b/>
                <w:sz w:val="19"/>
              </w:rPr>
              <w:t>Final rollout</w:t>
            </w:r>
          </w:p>
        </w:tc>
      </w:tr>
      <w:tr>
        <w:trPr>
          <w:cantSplit/>
        </w:trPr>
        <w:tc>
          <w:tcPr>
            <w:tcW w:type="dxa" w:w="2232"/>
            <w:vAlign w:val="center"/>
          </w:tcPr>
          <w:p>
            <w:pPr>
              <w:keepNext w:val="0"/>
              <w:spacing w:after="0" w:before="0" w:line="240" w:lineRule="auto"/>
            </w:pPr>
            <w:r>
              <w:rPr>
                <w:rFonts w:ascii="Calibri" w:hAnsi="Calibri"/>
                <w:b w:val="0"/>
                <w:sz w:val="19"/>
              </w:rPr>
              <w:t>OracleMoE</w:t>
            </w:r>
          </w:p>
        </w:tc>
        <w:tc>
          <w:tcPr>
            <w:tcW w:type="dxa" w:w="1998"/>
            <w:vAlign w:val="center"/>
          </w:tcPr>
          <w:p>
            <w:pPr>
              <w:keepNext w:val="0"/>
              <w:spacing w:after="0" w:before="0" w:line="240" w:lineRule="auto"/>
              <w:jc w:val="right"/>
            </w:pPr>
            <w:r>
              <w:rPr>
                <w:rFonts w:ascii="Calibri" w:hAnsi="Calibri"/>
                <w:b w:val="0"/>
                <w:sz w:val="19"/>
              </w:rPr>
              <w:t>4934.00000</w:t>
            </w:r>
          </w:p>
        </w:tc>
        <w:tc>
          <w:tcPr>
            <w:tcW w:type="dxa" w:w="1998"/>
            <w:vAlign w:val="center"/>
          </w:tcPr>
          <w:p>
            <w:pPr>
              <w:keepNext w:val="0"/>
              <w:spacing w:after="0" w:before="0" w:line="240" w:lineRule="auto"/>
              <w:jc w:val="right"/>
            </w:pPr>
            <w:r>
              <w:rPr>
                <w:rFonts w:ascii="Calibri" w:hAnsi="Calibri"/>
                <w:b w:val="0"/>
                <w:sz w:val="19"/>
              </w:rPr>
              <w:t>0.03973</w:t>
            </w:r>
          </w:p>
        </w:tc>
        <w:tc>
          <w:tcPr>
            <w:tcW w:type="dxa" w:w="1998"/>
            <w:vAlign w:val="center"/>
          </w:tcPr>
          <w:p>
            <w:pPr>
              <w:keepNext w:val="0"/>
              <w:spacing w:after="0" w:before="0" w:line="240" w:lineRule="auto"/>
              <w:jc w:val="right"/>
            </w:pPr>
            <w:r>
              <w:rPr>
                <w:rFonts w:ascii="Calibri" w:hAnsi="Calibri"/>
                <w:b w:val="0"/>
                <w:sz w:val="19"/>
              </w:rPr>
              <w:t>0.08256</w:t>
            </w:r>
          </w:p>
        </w:tc>
        <w:tc>
          <w:tcPr>
            <w:tcW w:type="dxa" w:w="1998"/>
            <w:vAlign w:val="center"/>
          </w:tcPr>
          <w:p>
            <w:pPr>
              <w:keepNext w:val="0"/>
              <w:spacing w:after="0" w:before="0" w:line="240" w:lineRule="auto"/>
              <w:jc w:val="right"/>
            </w:pPr>
            <w:r>
              <w:rPr>
                <w:rFonts w:ascii="Calibri" w:hAnsi="Calibri"/>
                <w:b w:val="0"/>
                <w:sz w:val="19"/>
              </w:rPr>
              <w:t>0.13395</w:t>
            </w:r>
          </w:p>
        </w:tc>
      </w:tr>
      <w:tr>
        <w:trPr>
          <w:cantSplit/>
        </w:trPr>
        <w:tc>
          <w:tcPr>
            <w:tcW w:type="dxa" w:w="2232"/>
            <w:vAlign w:val="center"/>
          </w:tcPr>
          <w:p>
            <w:pPr>
              <w:keepNext w:val="0"/>
              <w:spacing w:after="0" w:before="0" w:line="240" w:lineRule="auto"/>
            </w:pPr>
            <w:r>
              <w:rPr>
                <w:rFonts w:ascii="Calibri" w:hAnsi="Calibri"/>
                <w:b w:val="0"/>
                <w:sz w:val="19"/>
              </w:rPr>
              <w:t>Transition​Cluster​Mo​E</w:t>
            </w:r>
          </w:p>
        </w:tc>
        <w:tc>
          <w:tcPr>
            <w:tcW w:type="dxa" w:w="1998"/>
            <w:vAlign w:val="center"/>
          </w:tcPr>
          <w:p>
            <w:pPr>
              <w:keepNext w:val="0"/>
              <w:spacing w:after="0" w:before="0" w:line="240" w:lineRule="auto"/>
              <w:jc w:val="right"/>
            </w:pPr>
            <w:r>
              <w:rPr>
                <w:rFonts w:ascii="Calibri" w:hAnsi="Calibri"/>
                <w:b w:val="0"/>
                <w:sz w:val="19"/>
              </w:rPr>
              <w:t>4934.00000</w:t>
            </w:r>
          </w:p>
        </w:tc>
        <w:tc>
          <w:tcPr>
            <w:tcW w:type="dxa" w:w="1998"/>
            <w:vAlign w:val="center"/>
          </w:tcPr>
          <w:p>
            <w:pPr>
              <w:keepNext w:val="0"/>
              <w:spacing w:after="0" w:before="0" w:line="240" w:lineRule="auto"/>
              <w:jc w:val="right"/>
            </w:pPr>
            <w:r>
              <w:rPr>
                <w:rFonts w:ascii="Calibri" w:hAnsi="Calibri"/>
                <w:b w:val="0"/>
                <w:sz w:val="19"/>
              </w:rPr>
              <w:t>0.04019</w:t>
            </w:r>
          </w:p>
        </w:tc>
        <w:tc>
          <w:tcPr>
            <w:tcW w:type="dxa" w:w="1998"/>
            <w:vAlign w:val="center"/>
          </w:tcPr>
          <w:p>
            <w:pPr>
              <w:keepNext w:val="0"/>
              <w:spacing w:after="0" w:before="0" w:line="240" w:lineRule="auto"/>
              <w:jc w:val="right"/>
            </w:pPr>
            <w:r>
              <w:rPr>
                <w:rFonts w:ascii="Calibri" w:hAnsi="Calibri"/>
                <w:b w:val="0"/>
                <w:sz w:val="19"/>
              </w:rPr>
              <w:t>0.08468</w:t>
            </w:r>
          </w:p>
        </w:tc>
        <w:tc>
          <w:tcPr>
            <w:tcW w:type="dxa" w:w="1998"/>
            <w:vAlign w:val="center"/>
          </w:tcPr>
          <w:p>
            <w:pPr>
              <w:keepNext w:val="0"/>
              <w:spacing w:after="0" w:before="0" w:line="240" w:lineRule="auto"/>
              <w:jc w:val="right"/>
            </w:pPr>
            <w:r>
              <w:rPr>
                <w:rFonts w:ascii="Calibri" w:hAnsi="Calibri"/>
                <w:b w:val="0"/>
                <w:sz w:val="19"/>
              </w:rPr>
              <w:t>0.13586</w:t>
            </w:r>
          </w:p>
        </w:tc>
      </w:tr>
      <w:tr>
        <w:trPr>
          <w:cantSplit/>
        </w:trPr>
        <w:tc>
          <w:tcPr>
            <w:tcW w:type="dxa" w:w="2232"/>
            <w:vAlign w:val="center"/>
          </w:tcPr>
          <w:p>
            <w:pPr>
              <w:keepNext w:val="0"/>
              <w:spacing w:after="0" w:before="0" w:line="240" w:lineRule="auto"/>
            </w:pPr>
            <w:r>
              <w:rPr>
                <w:rFonts w:ascii="Calibri" w:hAnsi="Calibri"/>
                <w:b w:val="0"/>
                <w:sz w:val="19"/>
              </w:rPr>
              <w:t>MonoRNN</w:t>
            </w:r>
          </w:p>
        </w:tc>
        <w:tc>
          <w:tcPr>
            <w:tcW w:type="dxa" w:w="1998"/>
            <w:vAlign w:val="center"/>
          </w:tcPr>
          <w:p>
            <w:pPr>
              <w:keepNext w:val="0"/>
              <w:spacing w:after="0" w:before="0" w:line="240" w:lineRule="auto"/>
              <w:jc w:val="right"/>
            </w:pPr>
            <w:r>
              <w:rPr>
                <w:rFonts w:ascii="Calibri" w:hAnsi="Calibri"/>
                <w:b w:val="0"/>
                <w:sz w:val="19"/>
              </w:rPr>
              <w:t>5406.00000</w:t>
            </w:r>
          </w:p>
        </w:tc>
        <w:tc>
          <w:tcPr>
            <w:tcW w:type="dxa" w:w="1998"/>
            <w:vAlign w:val="center"/>
          </w:tcPr>
          <w:p>
            <w:pPr>
              <w:keepNext w:val="0"/>
              <w:spacing w:after="0" w:before="0" w:line="240" w:lineRule="auto"/>
              <w:jc w:val="right"/>
            </w:pPr>
            <w:r>
              <w:rPr>
                <w:rFonts w:ascii="Calibri" w:hAnsi="Calibri"/>
                <w:b w:val="0"/>
                <w:sz w:val="19"/>
              </w:rPr>
              <w:t>0.02425</w:t>
            </w:r>
          </w:p>
        </w:tc>
        <w:tc>
          <w:tcPr>
            <w:tcW w:type="dxa" w:w="1998"/>
            <w:vAlign w:val="center"/>
          </w:tcPr>
          <w:p>
            <w:pPr>
              <w:keepNext w:val="0"/>
              <w:spacing w:after="0" w:before="0" w:line="240" w:lineRule="auto"/>
              <w:jc w:val="right"/>
            </w:pPr>
            <w:r>
              <w:rPr>
                <w:rFonts w:ascii="Calibri" w:hAnsi="Calibri"/>
                <w:b w:val="0"/>
                <w:sz w:val="19"/>
              </w:rPr>
              <w:t>0.14709</w:t>
            </w:r>
          </w:p>
        </w:tc>
        <w:tc>
          <w:tcPr>
            <w:tcW w:type="dxa" w:w="1998"/>
            <w:vAlign w:val="center"/>
          </w:tcPr>
          <w:p>
            <w:pPr>
              <w:keepNext w:val="0"/>
              <w:spacing w:after="0" w:before="0" w:line="240" w:lineRule="auto"/>
              <w:jc w:val="right"/>
            </w:pPr>
            <w:r>
              <w:rPr>
                <w:rFonts w:ascii="Calibri" w:hAnsi="Calibri"/>
                <w:b w:val="0"/>
                <w:sz w:val="19"/>
              </w:rPr>
              <w:t>0.26418</w:t>
            </w:r>
          </w:p>
        </w:tc>
      </w:tr>
      <w:tr>
        <w:trPr>
          <w:cantSplit/>
        </w:trPr>
        <w:tc>
          <w:tcPr>
            <w:tcW w:type="dxa" w:w="2232"/>
            <w:vAlign w:val="center"/>
          </w:tcPr>
          <w:p>
            <w:pPr>
              <w:keepNext w:val="0"/>
              <w:spacing w:after="0" w:before="0" w:line="240" w:lineRule="auto"/>
            </w:pPr>
            <w:r>
              <w:rPr>
                <w:rFonts w:ascii="Calibri" w:hAnsi="Calibri"/>
                <w:b w:val="0"/>
                <w:sz w:val="19"/>
              </w:rPr>
              <w:t>StateMoE</w:t>
            </w:r>
          </w:p>
        </w:tc>
        <w:tc>
          <w:tcPr>
            <w:tcW w:type="dxa" w:w="1998"/>
            <w:vAlign w:val="center"/>
          </w:tcPr>
          <w:p>
            <w:pPr>
              <w:keepNext w:val="0"/>
              <w:spacing w:after="0" w:before="0" w:line="240" w:lineRule="auto"/>
              <w:jc w:val="right"/>
            </w:pPr>
            <w:r>
              <w:rPr>
                <w:rFonts w:ascii="Calibri" w:hAnsi="Calibri"/>
                <w:b w:val="0"/>
                <w:sz w:val="19"/>
              </w:rPr>
              <w:t>4934.00000</w:t>
            </w:r>
          </w:p>
        </w:tc>
        <w:tc>
          <w:tcPr>
            <w:tcW w:type="dxa" w:w="1998"/>
            <w:vAlign w:val="center"/>
          </w:tcPr>
          <w:p>
            <w:pPr>
              <w:keepNext w:val="0"/>
              <w:spacing w:after="0" w:before="0" w:line="240" w:lineRule="auto"/>
              <w:jc w:val="right"/>
            </w:pPr>
            <w:r>
              <w:rPr>
                <w:rFonts w:ascii="Calibri" w:hAnsi="Calibri"/>
                <w:b w:val="0"/>
                <w:sz w:val="19"/>
              </w:rPr>
              <w:t>0.03942</w:t>
            </w:r>
          </w:p>
        </w:tc>
        <w:tc>
          <w:tcPr>
            <w:tcW w:type="dxa" w:w="1998"/>
            <w:vAlign w:val="center"/>
          </w:tcPr>
          <w:p>
            <w:pPr>
              <w:keepNext w:val="0"/>
              <w:spacing w:after="0" w:before="0" w:line="240" w:lineRule="auto"/>
              <w:jc w:val="right"/>
            </w:pPr>
            <w:r>
              <w:rPr>
                <w:rFonts w:ascii="Calibri" w:hAnsi="Calibri"/>
                <w:b w:val="0"/>
                <w:sz w:val="19"/>
              </w:rPr>
              <w:t>0.28065</w:t>
            </w:r>
          </w:p>
        </w:tc>
        <w:tc>
          <w:tcPr>
            <w:tcW w:type="dxa" w:w="1998"/>
            <w:vAlign w:val="center"/>
          </w:tcPr>
          <w:p>
            <w:pPr>
              <w:keepNext w:val="0"/>
              <w:spacing w:after="0" w:before="0" w:line="240" w:lineRule="auto"/>
              <w:jc w:val="right"/>
            </w:pPr>
            <w:r>
              <w:rPr>
                <w:rFonts w:ascii="Calibri" w:hAnsi="Calibri"/>
                <w:b w:val="0"/>
                <w:sz w:val="19"/>
              </w:rPr>
              <w:t>0.49309</w:t>
            </w:r>
          </w:p>
        </w:tc>
      </w:tr>
      <w:tr>
        <w:trPr>
          <w:cantSplit/>
        </w:trPr>
        <w:tc>
          <w:tcPr>
            <w:tcW w:type="dxa" w:w="2232"/>
            <w:vAlign w:val="center"/>
          </w:tcPr>
          <w:p>
            <w:pPr>
              <w:keepNext/>
              <w:spacing w:after="0" w:before="0" w:line="240" w:lineRule="auto"/>
            </w:pPr>
            <w:r>
              <w:rPr>
                <w:rFonts w:ascii="Calibri" w:hAnsi="Calibri"/>
                <w:b w:val="0"/>
                <w:sz w:val="19"/>
              </w:rPr>
              <w:t>SingleFrame</w:t>
            </w:r>
          </w:p>
        </w:tc>
        <w:tc>
          <w:tcPr>
            <w:tcW w:type="dxa" w:w="1998"/>
            <w:vAlign w:val="center"/>
          </w:tcPr>
          <w:p>
            <w:pPr>
              <w:keepNext/>
              <w:spacing w:after="0" w:before="0" w:line="240" w:lineRule="auto"/>
              <w:jc w:val="right"/>
            </w:pPr>
            <w:r>
              <w:rPr>
                <w:rFonts w:ascii="Calibri" w:hAnsi="Calibri"/>
                <w:b w:val="0"/>
                <w:sz w:val="19"/>
              </w:rPr>
              <w:t>2982.00000</w:t>
            </w:r>
          </w:p>
        </w:tc>
        <w:tc>
          <w:tcPr>
            <w:tcW w:type="dxa" w:w="1998"/>
            <w:vAlign w:val="center"/>
          </w:tcPr>
          <w:p>
            <w:pPr>
              <w:keepNext/>
              <w:spacing w:after="0" w:before="0" w:line="240" w:lineRule="auto"/>
              <w:jc w:val="right"/>
            </w:pPr>
            <w:r>
              <w:rPr>
                <w:rFonts w:ascii="Calibri" w:hAnsi="Calibri"/>
                <w:b w:val="0"/>
                <w:sz w:val="19"/>
              </w:rPr>
              <w:t>0.30103</w:t>
            </w:r>
          </w:p>
        </w:tc>
        <w:tc>
          <w:tcPr>
            <w:tcW w:type="dxa" w:w="1998"/>
            <w:vAlign w:val="center"/>
          </w:tcPr>
          <w:p>
            <w:pPr>
              <w:keepNext/>
              <w:spacing w:after="0" w:before="0" w:line="240" w:lineRule="auto"/>
              <w:jc w:val="right"/>
            </w:pPr>
            <w:r>
              <w:rPr>
                <w:rFonts w:ascii="Calibri" w:hAnsi="Calibri"/>
                <w:b w:val="0"/>
                <w:sz w:val="19"/>
              </w:rPr>
              <w:t>1.31456</w:t>
            </w:r>
          </w:p>
        </w:tc>
        <w:tc>
          <w:tcPr>
            <w:tcW w:type="dxa" w:w="1998"/>
            <w:vAlign w:val="center"/>
          </w:tcPr>
          <w:p>
            <w:pPr>
              <w:keepNext/>
              <w:spacing w:after="0" w:before="0" w:line="240" w:lineRule="auto"/>
              <w:jc w:val="right"/>
            </w:pPr>
            <w:r>
              <w:rPr>
                <w:rFonts w:ascii="Calibri" w:hAnsi="Calibri"/>
                <w:b w:val="0"/>
                <w:sz w:val="19"/>
              </w:rPr>
              <w:t>1.60014</w:t>
            </w:r>
          </w:p>
        </w:tc>
      </w:tr>
    </w:tbl>
    <w:p>
      <w:pPr>
        <w:keepLines/>
        <w:spacing w:before="60" w:after="120"/>
      </w:pPr>
      <w:r>
        <w:rPr>
          <w:sz w:val="18"/>
        </w:rPr>
        <w:t>Controlled simulation.</w:t>
      </w:r>
    </w:p>
    <w:p>
      <w:r>
        <w:t>SingleFrame has final rollout MSE 1.600. MonoRNN uses history and reduces it to 0.264. OracleMoE, with the true family available to its router, reduces it further to 0.134, approximately half the MonoRNN value.</w:t>
      </w:r>
    </w:p>
    <w:p>
      <w:r>
        <w:t>End-to-end StateMoE has router–family NMI approximately zero and final rollout MSE 0.493. A useful decomposition exists in the construction, but that training objective does not reliably discover it through free routing.</w:t>
      </w:r>
    </w:p>
    <w:p>
      <w:pPr>
        <w:pStyle w:val="Heading3"/>
      </w:pPr>
      <w:r>
        <w:t>5.7.3 Unsupervised transition signatures</w:t>
      </w:r>
    </w:p>
    <w:p>
      <w:r>
        <w:t>For each four-frame history, the mean of adjacent-frame outer products forms an empirical transition signature. K-means with two clusters is applied to these signatures without family labels.</w:t>
      </w:r>
    </w:p>
    <w:p>
      <w:r>
        <w:t>Cluster–family NMI is 0.9985, and aligned held-out family accuracy is 100%. Using the unsupervised cluster as a fixed router in the same 4,934-parameter expert architecture yields final rollout MSE 0.1359, close to the oracle value 0.1340.</w:t>
      </w:r>
    </w:p>
    <w:p>
      <w:pPr>
        <w:keepNext/>
        <w:spacing w:after="60"/>
        <w:jc w:val="center"/>
      </w:pPr>
      <w:r>
        <w:drawing>
          <wp:inline xmlns:a="http://schemas.openxmlformats.org/drawingml/2006/main" xmlns:pic="http://schemas.openxmlformats.org/drawingml/2006/picture">
            <wp:extent cx="6309360" cy="3865067"/>
            <wp:docPr id="25" name="Picture 25"/>
            <wp:cNvGraphicFramePr>
              <a:graphicFrameLocks noChangeAspect="1"/>
            </wp:cNvGraphicFramePr>
            <a:graphic>
              <a:graphicData uri="http://schemas.openxmlformats.org/drawingml/2006/picture">
                <pic:pic>
                  <pic:nvPicPr>
                    <pic:cNvPr id="0" name="25_image25.png"/>
                    <pic:cNvPicPr/>
                  </pic:nvPicPr>
                  <pic:blipFill>
                    <a:blip r:embed="rId38"/>
                    <a:stretch>
                      <a:fillRect/>
                    </a:stretch>
                  </pic:blipFill>
                  <pic:spPr>
                    <a:xfrm>
                      <a:off x="0" y="0"/>
                      <a:ext cx="6309360" cy="3865067"/>
                    </a:xfrm>
                    <a:prstGeom prst="rect"/>
                  </pic:spPr>
                </pic:pic>
              </a:graphicData>
            </a:graphic>
          </wp:inline>
        </w:drawing>
      </w:r>
    </w:p>
    <w:p>
      <w:pPr>
        <w:pStyle w:val="Caption"/>
      </w:pPr>
      <w:r>
        <w:t>Figure 25. Rollout prediction with unsupervised transition-based routing. The controlled comparison holds the expert architecture fixed and contrasts discovered, learned and oracle assignments.</w:t>
      </w:r>
    </w:p>
    <w:p>
      <w:pPr>
        <w:pStyle w:val="Heading3"/>
      </w:pPr>
      <w:r>
        <w:t>5.7.4 Implications for data fusion and partition</w:t>
      </w:r>
    </w:p>
    <w:p>
      <w:pPr>
        <w:pStyle w:val="ListBullet"/>
      </w:pPr>
      <w:r>
        <w:t>Similarity of marginal observations does not establish compatibility of their transition functions.</w:t>
      </w:r>
    </w:p>
    <w:p>
      <w:pPr>
        <w:pStyle w:val="ListBullet"/>
      </w:pPr>
      <w:r>
        <w:t>When history identifies distinct conditional laws, state estimation can supply the information needed to compare shared and separate parameterizations.</w:t>
      </w:r>
    </w:p>
    <w:p>
      <w:pPr>
        <w:pStyle w:val="ListBullet"/>
      </w:pPr>
      <w:r>
        <w:t>MonoRNN fits both mechanisms within one recurrent model. Correctly routed modules achieve lower long-horizon error in this experiment.</w:t>
      </w:r>
    </w:p>
    <w:p>
      <w:pPr>
        <w:pStyle w:val="ListBullet"/>
      </w:pPr>
      <w:r>
        <w:t>A poorly performing free router should be evaluated separately from the usefulness of the proposed decomposition.</w:t>
      </w:r>
    </w:p>
    <w:p>
      <w:pPr>
        <w:pStyle w:val="ListBullet"/>
      </w:pPr>
      <w:r>
        <w:t>Conditional-future incompatibility and identifiability provide complementary partition diagnostics.</w:t>
      </w:r>
    </w:p>
    <w:p>
      <w:r>
        <w:t>Parameter sharing should be evaluated in relation to the conditional response, as well as to the geometry of the observed samples.</w:t>
      </w:r>
    </w:p>
    <w:p>
      <w:pPr>
        <w:pStyle w:val="Heading3"/>
      </w:pPr>
      <w:r>
        <w:t>5.7.5 Relation to transition drift</w:t>
      </w:r>
    </w:p>
    <w:p>
      <w:r>
        <w:t>Experiment 008 finds stale-routing penalties of approximately 34–86% when current experts are fixed. Experiment 009 finds that transition-aware routing nearly halves rollout error despite matched observation marginals. Together, these results connect useful expert allocation to the currently identifiable transition structure.</w:t>
      </w:r>
    </w:p>
    <w:p>
      <w:r>
        <w:t>The modelling procedure is to estimate predictive state from history, identify the current transition family or continuum, and compare shared, overlapping and separated models with adequate capacity.</w:t>
      </w:r>
    </w:p>
    <w:p>
      <w:pPr>
        <w:pStyle w:val="Heading3"/>
      </w:pPr>
      <w:r>
        <w:t>5.7.6 Evidence records</w:t>
      </w:r>
    </w:p>
    <w:p>
      <w:pPr>
        <w:spacing w:after="40"/>
      </w:pPr>
      <w:r>
        <w:rPr>
          <w:sz w:val="18"/>
        </w:rPr>
        <w:t>GEOMETRY_​MATCHED_​MECHANISM_​FAMILIES_​009_​bundle.zip</w:t>
      </w:r>
    </w:p>
    <w:p>
      <w:pPr>
        <w:spacing w:after="40"/>
      </w:pPr>
      <w:r>
        <w:rPr>
          <w:sz w:val="18"/>
        </w:rPr>
        <w:t>GEOMETRY_​MATCHED_​MECHANISM_​FAMILIES_​009/​geometry_​audit.json</w:t>
      </w:r>
    </w:p>
    <w:p>
      <w:pPr>
        <w:spacing w:after="40"/>
      </w:pPr>
      <w:r>
        <w:rPr>
          <w:sz w:val="18"/>
        </w:rPr>
        <w:t>GEOMETRY_​MATCHED_​MECHANISM_​FAMILIES_​009/​model_​summary_​with_​unsupervised_​routing.csv</w:t>
      </w:r>
    </w:p>
    <w:p>
      <w:pPr>
        <w:spacing w:after="40"/>
      </w:pPr>
      <w:r>
        <w:rPr>
          <w:sz w:val="18"/>
        </w:rPr>
        <w:t>GEOMETRY_​MATCHED_​MECHANISM_​FAMILIES_​009/​router_​audit.csv</w:t>
      </w:r>
    </w:p>
    <w:p>
      <w:pPr>
        <w:spacing w:after="40"/>
      </w:pPr>
      <w:r>
        <w:rPr>
          <w:sz w:val="18"/>
        </w:rPr>
        <w:t>GEOMETRY_​MATCHED_​MECHANISM_​FAMILIES_​009/​state_​family_​probe.csv</w:t>
      </w:r>
    </w:p>
    <w:p>
      <w:pPr>
        <w:spacing w:after="40"/>
      </w:pPr>
      <w:r>
        <w:rPr>
          <w:sz w:val="18"/>
        </w:rPr>
        <w:t>GEOMETRY_​MATCHED_​MECHANISM_​FAMILIES_​009/​family_​identifiability.png</w:t>
      </w:r>
    </w:p>
    <w:p>
      <w:pPr>
        <w:spacing w:after="40"/>
      </w:pPr>
      <w:r>
        <w:rPr>
          <w:sz w:val="18"/>
        </w:rPr>
        <w:t>GEOMETRY_​MATCHED_​MECHANISM_​FAMILIES_​009/​model_​comparison_​with_​unsupervised_​routing.png</w:t>
      </w:r>
    </w:p>
    <w:p>
      <w:pPr>
        <w:pStyle w:val="Heading1"/>
        <w:pageBreakBefore w:val="0"/>
      </w:pPr>
      <w:r>
        <w:t>6. Tracking and observation processes</w:t>
      </w:r>
    </w:p>
    <w:p>
      <w:pPr>
        <w:pStyle w:val="Heading2"/>
      </w:pPr>
      <w:r>
        <w:t>6.1 TRACKING-MECHANISM-DATA-010 Persistent carriers kinetics and identity</w:t>
      </w:r>
    </w:p>
    <w:p>
      <w:pPr>
        <w:pStyle w:val="Heading3"/>
      </w:pPr>
      <w:r>
        <w:t>6.1.1 The structure of tracking data</w:t>
      </w:r>
    </w:p>
    <w:p>
      <w:r>
        <w:t>Many exposure and infectious-disease measurements can be viewed as delayed, mixed and partially observed projections of persistent sources or lineages. The modelling task includes reconstructing those persistent processes from measurements with different temporal responses.</w:t>
      </w:r>
    </w:p>
    <w:p>
      <w:r>
        <w:t>Carrier activity produces transport and internal or lineage-related state, which in turn generates the measured markers.</w:t>
      </w:r>
    </w:p>
    <w:p>
      <w:pPr>
        <w:spacing w:before="60" w:after="140"/>
        <w:jc w:val="center"/>
      </w:pPr>
      <m:oMath>
        <m:sSub>
          <m:e>
            <m:r>
              <m:t>m</m:t>
            </m:r>
          </m:e>
          <m:sub>
            <m:r>
              <m:t>k</m:t>
            </m:r>
          </m:sub>
        </m:sSub>
        <m:r>
          <m:t>(t) = </m:t>
        </m:r>
        <m:sSub>
          <m:e>
            <m:r>
              <m:t>∑</m:t>
            </m:r>
          </m:e>
          <m:sub>
            <m:r>
              <m:t>j</m:t>
            </m:r>
          </m:sub>
        </m:sSub>
        <m:r>
          <m:t> </m:t>
        </m:r>
        <m:sSub>
          <m:e>
            <m:r>
              <m:t>S</m:t>
            </m:r>
          </m:e>
          <m:sub>
            <m:r>
              <m:t>kj</m:t>
            </m:r>
          </m:sub>
        </m:sSub>
        <m:r>
          <m:t> [</m:t>
        </m:r>
        <m:sSub>
          <m:e>
            <m:r>
              <m:t>K</m:t>
            </m:r>
          </m:e>
          <m:sub>
            <m:r>
              <m:t>k</m:t>
            </m:r>
          </m:sub>
        </m:sSub>
        <m:r>
          <m:t> ∗ </m:t>
        </m:r>
        <m:sSub>
          <m:e>
            <m:r>
              <m:t>c</m:t>
            </m:r>
          </m:e>
          <m:sub>
            <m:r>
              <m:t>j</m:t>
            </m:r>
          </m:sub>
        </m:sSub>
        <m:r>
          <m:t>](t) + </m:t>
        </m:r>
        <m:sSub>
          <m:e>
            <m:r>
              <m:t>ε</m:t>
            </m:r>
          </m:e>
          <m:sub>
            <m:r>
              <m:t>k</m:t>
            </m:r>
          </m:sub>
        </m:sSub>
        <m:r>
          <m:t>(t)</m:t>
        </m:r>
      </m:oMath>
    </w:p>
    <w:p>
      <w:r>
        <w:t>Kinetic tracking concerns the temporal kernels linking sources to readouts. Identity tracking concerns continuity of the same latent carrier across time, including when different carriers have similar measured signatures.</w:t>
      </w:r>
    </w:p>
    <w:p>
      <w:pPr>
        <w:pStyle w:val="Heading3"/>
      </w:pPr>
      <w:r>
        <w:t>6.1.2 Controlled source and measurement system</w:t>
      </w:r>
    </w:p>
    <w:p>
      <w:r>
        <w:t>The synthetic world has three persistent sources, each with four hidden compartments: source activity, environmental transport, internal biomarker burden and pathogen-like persistent burden. Twelve observation channels comprise four environmental markers, four biomarkers and four pathogen-like readouts. Training supplies neither source identity nor latent compartment state.</w:t>
      </w:r>
    </w:p>
    <w:p>
      <w:pPr>
        <w:pStyle w:val="ListBullet"/>
      </w:pPr>
      <w:r>
        <w:t>K0/K1 denotes homogeneous kinetics versus source-specific half-lives, uptake and persistence.</w:t>
      </w:r>
    </w:p>
    <w:p>
      <w:pPr>
        <w:pStyle w:val="ListBullet"/>
      </w:pPr>
      <w:r>
        <w:t>O0/O1 denotes well-separated versus strongly overlapping source signatures.</w:t>
      </w:r>
    </w:p>
    <w:p>
      <w:pPr>
        <w:pStyle w:val="ListBullet"/>
      </w:pPr>
      <w:r>
        <w:t>Snapshot uses the current observation. GlobalGRU maintains a fused recurrent state. CompartmentGRU maintains separate environmental, biomarker and pathogen-like measurement states. SourceTracker learns three persistent source-like slots.</w:t>
      </w:r>
    </w:p>
    <w:p>
      <w:pPr>
        <w:pStyle w:val="Heading3"/>
      </w:pPr>
      <w:r>
        <w:t>6.1.3 Measurement-system consistency</w:t>
      </w:r>
    </w:p>
    <w:p>
      <w:r>
        <w:t>A pilot resampled the source-signature matrix separately across training, validation and test splits. This changes the assay mapping as well as the trajectories. Those pilot results are excluded from the source-tracking comparison reported here.</w:t>
      </w:r>
    </w:p>
    <w:p>
      <w:r>
        <w:t>The reported experiment fixes the measurement/signature system across splits and regenerates individual trajectories. This isolates carrier tracking under a comparable marker-to-source mapping. Changes in that mapping constitute an additional measurement-domain shift.</w:t>
      </w:r>
    </w:p>
    <w:p>
      <w:pPr>
        <w:pStyle w:val="Heading3"/>
      </w:pPr>
      <w:r>
        <w:t>6.1.4 Results with a fixed measurement system</w:t>
      </w:r>
    </w:p>
    <w:p>
      <w:pPr>
        <w:pStyle w:val="Caption"/>
        <w:keepNext/>
      </w:pPr>
      <w:r>
        <w:t>Table 42. Carrier tracking with a fixed measurement system.</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435"/>
        <w:gridCol w:w="1435"/>
        <w:gridCol w:w="1435"/>
        <w:gridCol w:w="1435"/>
        <w:gridCol w:w="1435"/>
        <w:gridCol w:w="1435"/>
      </w:tblGrid>
      <w:tr>
        <w:trPr>
          <w:cantSplit/>
          <w:tblHeader/>
        </w:trPr>
        <w:tc>
          <w:tcPr>
            <w:tcW w:type="dxa" w:w="1613"/>
            <w:vAlign w:val="center"/>
            <w:shd w:fill="F2F2F2"/>
          </w:tcPr>
          <w:p>
            <w:pPr>
              <w:keepNext/>
              <w:spacing w:after="0" w:before="0" w:line="240" w:lineRule="auto"/>
            </w:pPr>
            <w:r>
              <w:rPr>
                <w:rFonts w:ascii="Calibri" w:hAnsi="Calibri"/>
                <w:b/>
                <w:sz w:val="18"/>
              </w:rPr>
              <w:t>Condition</w:t>
            </w:r>
          </w:p>
        </w:tc>
        <w:tc>
          <w:tcPr>
            <w:tcW w:type="dxa" w:w="1435"/>
            <w:vAlign w:val="center"/>
            <w:shd w:fill="F2F2F2"/>
          </w:tcPr>
          <w:p>
            <w:pPr>
              <w:keepNext/>
              <w:spacing w:after="0" w:before="0" w:line="240" w:lineRule="auto"/>
            </w:pPr>
            <w:r>
              <w:rPr>
                <w:rFonts w:ascii="Calibri" w:hAnsi="Calibri"/>
                <w:b/>
                <w:sz w:val="18"/>
              </w:rPr>
              <w:t>Snapshot rollout</w:t>
            </w:r>
          </w:p>
        </w:tc>
        <w:tc>
          <w:tcPr>
            <w:tcW w:type="dxa" w:w="1435"/>
            <w:vAlign w:val="center"/>
            <w:shd w:fill="F2F2F2"/>
          </w:tcPr>
          <w:p>
            <w:pPr>
              <w:keepNext/>
              <w:spacing w:after="0" w:before="0" w:line="240" w:lineRule="auto"/>
            </w:pPr>
            <w:r>
              <w:rPr>
                <w:rFonts w:ascii="Calibri" w:hAnsi="Calibri"/>
                <w:b/>
                <w:sz w:val="18"/>
              </w:rPr>
              <w:t>GlobalGRU</w:t>
            </w:r>
          </w:p>
        </w:tc>
        <w:tc>
          <w:tcPr>
            <w:tcW w:type="dxa" w:w="1435"/>
            <w:vAlign w:val="center"/>
            <w:shd w:fill="F2F2F2"/>
          </w:tcPr>
          <w:p>
            <w:pPr>
              <w:keepNext/>
              <w:spacing w:after="0" w:before="0" w:line="240" w:lineRule="auto"/>
            </w:pPr>
            <w:r>
              <w:rPr>
                <w:rFonts w:ascii="Calibri" w:hAnsi="Calibri"/>
                <w:b/>
                <w:sz w:val="18"/>
              </w:rPr>
              <w:t>CompartmentGRU</w:t>
            </w:r>
          </w:p>
        </w:tc>
        <w:tc>
          <w:tcPr>
            <w:tcW w:type="dxa" w:w="1435"/>
            <w:vAlign w:val="center"/>
            <w:shd w:fill="F2F2F2"/>
          </w:tcPr>
          <w:p>
            <w:pPr>
              <w:keepNext/>
              <w:spacing w:after="0" w:before="0" w:line="240" w:lineRule="auto"/>
            </w:pPr>
            <w:r>
              <w:rPr>
                <w:rFonts w:ascii="Calibri" w:hAnsi="Calibri"/>
                <w:b/>
                <w:sz w:val="18"/>
              </w:rPr>
              <w:t>SourceTracker</w:t>
            </w:r>
          </w:p>
        </w:tc>
        <w:tc>
          <w:tcPr>
            <w:tcW w:type="dxa" w:w="1435"/>
            <w:vAlign w:val="center"/>
            <w:shd w:fill="F2F2F2"/>
          </w:tcPr>
          <w:p>
            <w:pPr>
              <w:keepNext/>
              <w:spacing w:after="0" w:before="0" w:line="240" w:lineRule="auto"/>
            </w:pPr>
            <w:r>
              <w:rPr>
                <w:rFonts w:ascii="Calibri" w:hAnsi="Calibri"/>
                <w:b/>
                <w:sz w:val="18"/>
              </w:rPr>
              <w:t>Best latent R²</w:t>
            </w:r>
          </w:p>
        </w:tc>
        <w:tc>
          <w:tcPr>
            <w:tcW w:type="dxa" w:w="1435"/>
            <w:vAlign w:val="center"/>
            <w:shd w:fill="F2F2F2"/>
          </w:tcPr>
          <w:p>
            <w:pPr>
              <w:keepNext/>
              <w:spacing w:after="0" w:before="0" w:line="240" w:lineRule="auto"/>
            </w:pPr>
            <w:r>
              <w:rPr>
                <w:rFonts w:ascii="Calibri" w:hAnsi="Calibri"/>
                <w:b/>
                <w:sz w:val="18"/>
              </w:rPr>
              <w:t>Slot→source R²</w:t>
            </w:r>
          </w:p>
        </w:tc>
      </w:tr>
      <w:tr>
        <w:trPr>
          <w:cantSplit/>
        </w:trPr>
        <w:tc>
          <w:tcPr>
            <w:tcW w:type="dxa" w:w="1613"/>
            <w:vAlign w:val="center"/>
          </w:tcPr>
          <w:p>
            <w:pPr>
              <w:keepNext w:val="0"/>
              <w:spacing w:after="0" w:before="0" w:line="240" w:lineRule="auto"/>
            </w:pPr>
            <w:r>
              <w:rPr>
                <w:rFonts w:ascii="Calibri" w:hAnsi="Calibri"/>
                <w:b w:val="0"/>
                <w:sz w:val="18"/>
              </w:rPr>
              <w:t>K0_O0</w:t>
            </w:r>
          </w:p>
        </w:tc>
        <w:tc>
          <w:tcPr>
            <w:tcW w:type="dxa" w:w="1435"/>
            <w:vAlign w:val="center"/>
          </w:tcPr>
          <w:p>
            <w:pPr>
              <w:keepNext w:val="0"/>
              <w:spacing w:after="0" w:before="0" w:line="240" w:lineRule="auto"/>
              <w:jc w:val="right"/>
            </w:pPr>
            <w:r>
              <w:rPr>
                <w:rFonts w:ascii="Calibri" w:hAnsi="Calibri"/>
                <w:b w:val="0"/>
                <w:sz w:val="18"/>
              </w:rPr>
              <w:t>1.049</w:t>
            </w:r>
          </w:p>
        </w:tc>
        <w:tc>
          <w:tcPr>
            <w:tcW w:type="dxa" w:w="1435"/>
            <w:vAlign w:val="center"/>
          </w:tcPr>
          <w:p>
            <w:pPr>
              <w:keepNext w:val="0"/>
              <w:spacing w:after="0" w:before="0" w:line="240" w:lineRule="auto"/>
              <w:jc w:val="right"/>
            </w:pPr>
            <w:r>
              <w:rPr>
                <w:rFonts w:ascii="Calibri" w:hAnsi="Calibri"/>
                <w:b w:val="0"/>
                <w:sz w:val="18"/>
              </w:rPr>
              <w:t>1.264</w:t>
            </w:r>
          </w:p>
        </w:tc>
        <w:tc>
          <w:tcPr>
            <w:tcW w:type="dxa" w:w="1435"/>
            <w:vAlign w:val="center"/>
          </w:tcPr>
          <w:p>
            <w:pPr>
              <w:keepNext w:val="0"/>
              <w:spacing w:after="0" w:before="0" w:line="240" w:lineRule="auto"/>
              <w:jc w:val="right"/>
            </w:pPr>
            <w:r>
              <w:rPr>
                <w:rFonts w:ascii="Calibri" w:hAnsi="Calibri"/>
                <w:b w:val="0"/>
                <w:sz w:val="18"/>
              </w:rPr>
              <w:t>1.349</w:t>
            </w:r>
          </w:p>
        </w:tc>
        <w:tc>
          <w:tcPr>
            <w:tcW w:type="dxa" w:w="1435"/>
            <w:vAlign w:val="center"/>
          </w:tcPr>
          <w:p>
            <w:pPr>
              <w:keepNext w:val="0"/>
              <w:spacing w:after="0" w:before="0" w:line="240" w:lineRule="auto"/>
              <w:jc w:val="right"/>
            </w:pPr>
            <w:r>
              <w:rPr>
                <w:rFonts w:ascii="Calibri" w:hAnsi="Calibri"/>
                <w:b w:val="0"/>
                <w:sz w:val="18"/>
              </w:rPr>
              <w:t>1.284</w:t>
            </w:r>
          </w:p>
        </w:tc>
        <w:tc>
          <w:tcPr>
            <w:tcW w:type="dxa" w:w="1435"/>
            <w:vAlign w:val="center"/>
          </w:tcPr>
          <w:p>
            <w:pPr>
              <w:keepNext w:val="0"/>
              <w:spacing w:after="0" w:before="0" w:line="240" w:lineRule="auto"/>
              <w:jc w:val="right"/>
            </w:pPr>
            <w:r>
              <w:rPr>
                <w:rFonts w:ascii="Calibri" w:hAnsi="Calibri"/>
                <w:b w:val="0"/>
                <w:sz w:val="18"/>
              </w:rPr>
              <w:t>0.979</w:t>
            </w:r>
          </w:p>
        </w:tc>
        <w:tc>
          <w:tcPr>
            <w:tcW w:type="dxa" w:w="1435"/>
            <w:vAlign w:val="center"/>
          </w:tcPr>
          <w:p>
            <w:pPr>
              <w:keepNext w:val="0"/>
              <w:spacing w:after="0" w:before="0" w:line="240" w:lineRule="auto"/>
              <w:jc w:val="right"/>
            </w:pPr>
            <w:r>
              <w:rPr>
                <w:rFonts w:ascii="Calibri" w:hAnsi="Calibri"/>
                <w:b w:val="0"/>
                <w:sz w:val="18"/>
              </w:rPr>
              <w:t>0.957</w:t>
            </w:r>
          </w:p>
        </w:tc>
      </w:tr>
      <w:tr>
        <w:trPr>
          <w:cantSplit/>
        </w:trPr>
        <w:tc>
          <w:tcPr>
            <w:tcW w:type="dxa" w:w="1613"/>
            <w:vAlign w:val="center"/>
          </w:tcPr>
          <w:p>
            <w:pPr>
              <w:keepNext w:val="0"/>
              <w:spacing w:after="0" w:before="0" w:line="240" w:lineRule="auto"/>
            </w:pPr>
            <w:r>
              <w:rPr>
                <w:rFonts w:ascii="Calibri" w:hAnsi="Calibri"/>
                <w:b w:val="0"/>
                <w:sz w:val="18"/>
              </w:rPr>
              <w:t>K1_O0</w:t>
            </w:r>
          </w:p>
        </w:tc>
        <w:tc>
          <w:tcPr>
            <w:tcW w:type="dxa" w:w="1435"/>
            <w:vAlign w:val="center"/>
          </w:tcPr>
          <w:p>
            <w:pPr>
              <w:keepNext w:val="0"/>
              <w:spacing w:after="0" w:before="0" w:line="240" w:lineRule="auto"/>
              <w:jc w:val="right"/>
            </w:pPr>
            <w:r>
              <w:rPr>
                <w:rFonts w:ascii="Calibri" w:hAnsi="Calibri"/>
                <w:b w:val="0"/>
                <w:sz w:val="18"/>
              </w:rPr>
              <w:t>1.100</w:t>
            </w:r>
          </w:p>
        </w:tc>
        <w:tc>
          <w:tcPr>
            <w:tcW w:type="dxa" w:w="1435"/>
            <w:vAlign w:val="center"/>
          </w:tcPr>
          <w:p>
            <w:pPr>
              <w:keepNext w:val="0"/>
              <w:spacing w:after="0" w:before="0" w:line="240" w:lineRule="auto"/>
              <w:jc w:val="right"/>
            </w:pPr>
            <w:r>
              <w:rPr>
                <w:rFonts w:ascii="Calibri" w:hAnsi="Calibri"/>
                <w:b w:val="0"/>
                <w:sz w:val="18"/>
              </w:rPr>
              <w:t>1.360</w:t>
            </w:r>
          </w:p>
        </w:tc>
        <w:tc>
          <w:tcPr>
            <w:tcW w:type="dxa" w:w="1435"/>
            <w:vAlign w:val="center"/>
          </w:tcPr>
          <w:p>
            <w:pPr>
              <w:keepNext w:val="0"/>
              <w:spacing w:after="0" w:before="0" w:line="240" w:lineRule="auto"/>
              <w:jc w:val="right"/>
            </w:pPr>
            <w:r>
              <w:rPr>
                <w:rFonts w:ascii="Calibri" w:hAnsi="Calibri"/>
                <w:b w:val="0"/>
                <w:sz w:val="18"/>
              </w:rPr>
              <w:t>1.543</w:t>
            </w:r>
          </w:p>
        </w:tc>
        <w:tc>
          <w:tcPr>
            <w:tcW w:type="dxa" w:w="1435"/>
            <w:vAlign w:val="center"/>
          </w:tcPr>
          <w:p>
            <w:pPr>
              <w:keepNext w:val="0"/>
              <w:spacing w:after="0" w:before="0" w:line="240" w:lineRule="auto"/>
              <w:jc w:val="right"/>
            </w:pPr>
            <w:r>
              <w:rPr>
                <w:rFonts w:ascii="Calibri" w:hAnsi="Calibri"/>
                <w:b w:val="0"/>
                <w:sz w:val="18"/>
              </w:rPr>
              <w:t>1.233</w:t>
            </w:r>
          </w:p>
        </w:tc>
        <w:tc>
          <w:tcPr>
            <w:tcW w:type="dxa" w:w="1435"/>
            <w:vAlign w:val="center"/>
          </w:tcPr>
          <w:p>
            <w:pPr>
              <w:keepNext w:val="0"/>
              <w:spacing w:after="0" w:before="0" w:line="240" w:lineRule="auto"/>
              <w:jc w:val="right"/>
            </w:pPr>
            <w:r>
              <w:rPr>
                <w:rFonts w:ascii="Calibri" w:hAnsi="Calibri"/>
                <w:b w:val="0"/>
                <w:sz w:val="18"/>
              </w:rPr>
              <w:t>0.979</w:t>
            </w:r>
          </w:p>
        </w:tc>
        <w:tc>
          <w:tcPr>
            <w:tcW w:type="dxa" w:w="1435"/>
            <w:vAlign w:val="center"/>
          </w:tcPr>
          <w:p>
            <w:pPr>
              <w:keepNext w:val="0"/>
              <w:spacing w:after="0" w:before="0" w:line="240" w:lineRule="auto"/>
              <w:jc w:val="right"/>
            </w:pPr>
            <w:r>
              <w:rPr>
                <w:rFonts w:ascii="Calibri" w:hAnsi="Calibri"/>
                <w:b w:val="0"/>
                <w:sz w:val="18"/>
              </w:rPr>
              <w:t>0.954</w:t>
            </w:r>
          </w:p>
        </w:tc>
      </w:tr>
      <w:tr>
        <w:trPr>
          <w:cantSplit/>
        </w:trPr>
        <w:tc>
          <w:tcPr>
            <w:tcW w:type="dxa" w:w="1613"/>
            <w:vAlign w:val="center"/>
          </w:tcPr>
          <w:p>
            <w:pPr>
              <w:keepNext w:val="0"/>
              <w:spacing w:after="0" w:before="0" w:line="240" w:lineRule="auto"/>
            </w:pPr>
            <w:r>
              <w:rPr>
                <w:rFonts w:ascii="Calibri" w:hAnsi="Calibri"/>
                <w:b w:val="0"/>
                <w:sz w:val="18"/>
              </w:rPr>
              <w:t>K0_O1</w:t>
            </w:r>
          </w:p>
        </w:tc>
        <w:tc>
          <w:tcPr>
            <w:tcW w:type="dxa" w:w="1435"/>
            <w:vAlign w:val="center"/>
          </w:tcPr>
          <w:p>
            <w:pPr>
              <w:keepNext w:val="0"/>
              <w:spacing w:after="0" w:before="0" w:line="240" w:lineRule="auto"/>
              <w:jc w:val="right"/>
            </w:pPr>
            <w:r>
              <w:rPr>
                <w:rFonts w:ascii="Calibri" w:hAnsi="Calibri"/>
                <w:b w:val="0"/>
                <w:sz w:val="18"/>
              </w:rPr>
              <w:t>0.660</w:t>
            </w:r>
          </w:p>
        </w:tc>
        <w:tc>
          <w:tcPr>
            <w:tcW w:type="dxa" w:w="1435"/>
            <w:vAlign w:val="center"/>
          </w:tcPr>
          <w:p>
            <w:pPr>
              <w:keepNext w:val="0"/>
              <w:spacing w:after="0" w:before="0" w:line="240" w:lineRule="auto"/>
              <w:jc w:val="right"/>
            </w:pPr>
            <w:r>
              <w:rPr>
                <w:rFonts w:ascii="Calibri" w:hAnsi="Calibri"/>
                <w:b w:val="0"/>
                <w:sz w:val="18"/>
              </w:rPr>
              <w:t>0.672</w:t>
            </w:r>
          </w:p>
        </w:tc>
        <w:tc>
          <w:tcPr>
            <w:tcW w:type="dxa" w:w="1435"/>
            <w:vAlign w:val="center"/>
          </w:tcPr>
          <w:p>
            <w:pPr>
              <w:keepNext w:val="0"/>
              <w:spacing w:after="0" w:before="0" w:line="240" w:lineRule="auto"/>
              <w:jc w:val="right"/>
            </w:pPr>
            <w:r>
              <w:rPr>
                <w:rFonts w:ascii="Calibri" w:hAnsi="Calibri"/>
                <w:b w:val="0"/>
                <w:sz w:val="18"/>
              </w:rPr>
              <w:t>0.707</w:t>
            </w:r>
          </w:p>
        </w:tc>
        <w:tc>
          <w:tcPr>
            <w:tcW w:type="dxa" w:w="1435"/>
            <w:vAlign w:val="center"/>
          </w:tcPr>
          <w:p>
            <w:pPr>
              <w:keepNext w:val="0"/>
              <w:spacing w:after="0" w:before="0" w:line="240" w:lineRule="auto"/>
              <w:jc w:val="right"/>
            </w:pPr>
            <w:r>
              <w:rPr>
                <w:rFonts w:ascii="Calibri" w:hAnsi="Calibri"/>
                <w:b w:val="0"/>
                <w:sz w:val="18"/>
              </w:rPr>
              <w:t>0.750</w:t>
            </w:r>
          </w:p>
        </w:tc>
        <w:tc>
          <w:tcPr>
            <w:tcW w:type="dxa" w:w="1435"/>
            <w:vAlign w:val="center"/>
          </w:tcPr>
          <w:p>
            <w:pPr>
              <w:keepNext w:val="0"/>
              <w:spacing w:after="0" w:before="0" w:line="240" w:lineRule="auto"/>
              <w:jc w:val="right"/>
            </w:pPr>
            <w:r>
              <w:rPr>
                <w:rFonts w:ascii="Calibri" w:hAnsi="Calibri"/>
                <w:b w:val="0"/>
                <w:sz w:val="18"/>
              </w:rPr>
              <w:t>0.860</w:t>
            </w:r>
          </w:p>
        </w:tc>
        <w:tc>
          <w:tcPr>
            <w:tcW w:type="dxa" w:w="1435"/>
            <w:vAlign w:val="center"/>
          </w:tcPr>
          <w:p>
            <w:pPr>
              <w:keepNext w:val="0"/>
              <w:spacing w:after="0" w:before="0" w:line="240" w:lineRule="auto"/>
              <w:jc w:val="right"/>
            </w:pPr>
            <w:r>
              <w:rPr>
                <w:rFonts w:ascii="Calibri" w:hAnsi="Calibri"/>
                <w:b w:val="0"/>
                <w:sz w:val="18"/>
              </w:rPr>
              <w:t>0.762</w:t>
            </w:r>
          </w:p>
        </w:tc>
      </w:tr>
      <w:tr>
        <w:trPr>
          <w:cantSplit/>
        </w:trPr>
        <w:tc>
          <w:tcPr>
            <w:tcW w:type="dxa" w:w="1613"/>
            <w:vAlign w:val="center"/>
          </w:tcPr>
          <w:p>
            <w:pPr>
              <w:keepNext/>
              <w:spacing w:after="0" w:before="0" w:line="240" w:lineRule="auto"/>
            </w:pPr>
            <w:r>
              <w:rPr>
                <w:rFonts w:ascii="Calibri" w:hAnsi="Calibri"/>
                <w:b w:val="0"/>
                <w:sz w:val="18"/>
              </w:rPr>
              <w:t>K1_O1</w:t>
            </w:r>
          </w:p>
        </w:tc>
        <w:tc>
          <w:tcPr>
            <w:tcW w:type="dxa" w:w="1435"/>
            <w:vAlign w:val="center"/>
          </w:tcPr>
          <w:p>
            <w:pPr>
              <w:keepNext/>
              <w:spacing w:after="0" w:before="0" w:line="240" w:lineRule="auto"/>
              <w:jc w:val="right"/>
            </w:pPr>
            <w:r>
              <w:rPr>
                <w:rFonts w:ascii="Calibri" w:hAnsi="Calibri"/>
                <w:b w:val="0"/>
                <w:sz w:val="18"/>
              </w:rPr>
              <w:t>0.810</w:t>
            </w:r>
          </w:p>
        </w:tc>
        <w:tc>
          <w:tcPr>
            <w:tcW w:type="dxa" w:w="1435"/>
            <w:vAlign w:val="center"/>
          </w:tcPr>
          <w:p>
            <w:pPr>
              <w:keepNext/>
              <w:spacing w:after="0" w:before="0" w:line="240" w:lineRule="auto"/>
              <w:jc w:val="right"/>
            </w:pPr>
            <w:r>
              <w:rPr>
                <w:rFonts w:ascii="Calibri" w:hAnsi="Calibri"/>
                <w:b w:val="0"/>
                <w:sz w:val="18"/>
              </w:rPr>
              <w:t>0.769</w:t>
            </w:r>
          </w:p>
        </w:tc>
        <w:tc>
          <w:tcPr>
            <w:tcW w:type="dxa" w:w="1435"/>
            <w:vAlign w:val="center"/>
          </w:tcPr>
          <w:p>
            <w:pPr>
              <w:keepNext/>
              <w:spacing w:after="0" w:before="0" w:line="240" w:lineRule="auto"/>
              <w:jc w:val="right"/>
            </w:pPr>
            <w:r>
              <w:rPr>
                <w:rFonts w:ascii="Calibri" w:hAnsi="Calibri"/>
                <w:b w:val="0"/>
                <w:sz w:val="18"/>
              </w:rPr>
              <w:t>0.802</w:t>
            </w:r>
          </w:p>
        </w:tc>
        <w:tc>
          <w:tcPr>
            <w:tcW w:type="dxa" w:w="1435"/>
            <w:vAlign w:val="center"/>
          </w:tcPr>
          <w:p>
            <w:pPr>
              <w:keepNext/>
              <w:spacing w:after="0" w:before="0" w:line="240" w:lineRule="auto"/>
              <w:jc w:val="right"/>
            </w:pPr>
            <w:r>
              <w:rPr>
                <w:rFonts w:ascii="Calibri" w:hAnsi="Calibri"/>
                <w:b w:val="0"/>
                <w:sz w:val="18"/>
              </w:rPr>
              <w:t>0.844</w:t>
            </w:r>
          </w:p>
        </w:tc>
        <w:tc>
          <w:tcPr>
            <w:tcW w:type="dxa" w:w="1435"/>
            <w:vAlign w:val="center"/>
          </w:tcPr>
          <w:p>
            <w:pPr>
              <w:keepNext/>
              <w:spacing w:after="0" w:before="0" w:line="240" w:lineRule="auto"/>
              <w:jc w:val="right"/>
            </w:pPr>
            <w:r>
              <w:rPr>
                <w:rFonts w:ascii="Calibri" w:hAnsi="Calibri"/>
                <w:b w:val="0"/>
                <w:sz w:val="18"/>
              </w:rPr>
              <w:t>0.878</w:t>
            </w:r>
          </w:p>
        </w:tc>
        <w:tc>
          <w:tcPr>
            <w:tcW w:type="dxa" w:w="1435"/>
            <w:vAlign w:val="center"/>
          </w:tcPr>
          <w:p>
            <w:pPr>
              <w:keepNext/>
              <w:spacing w:after="0" w:before="0" w:line="240" w:lineRule="auto"/>
              <w:jc w:val="right"/>
            </w:pPr>
            <w:r>
              <w:rPr>
                <w:rFonts w:ascii="Calibri" w:hAnsi="Calibri"/>
                <w:b w:val="0"/>
                <w:sz w:val="18"/>
              </w:rPr>
              <w:t>0.774</w:t>
            </w:r>
          </w:p>
        </w:tc>
      </w:tr>
    </w:tbl>
    <w:p>
      <w:pPr>
        <w:keepLines/>
        <w:spacing w:before="60" w:after="120"/>
      </w:pPr>
      <w:r>
        <w:rPr>
          <w:sz w:val="18"/>
        </w:rPr>
        <w:t>Controlled simulation. Higher probe R² indicates more decodable target-state information.</w:t>
      </w:r>
    </w:p>
    <w:p>
      <w:r>
        <w:t>With clear source signatures, SourceTracker's post-hoc latent probe reaches approximately 0.979 and best slot-to-source matching approximately 0.95. Under strongly overlapping signatures, slot-to-source R² falls to approximately 0.76–0.77. In K1_O1, SourceTracker still has the highest latent-state probe among the four architectures, at 0.878.</w:t>
      </w:r>
    </w:p>
    <w:p>
      <w:pPr>
        <w:keepNext/>
        <w:spacing w:after="60"/>
        <w:jc w:val="center"/>
      </w:pPr>
      <w:r>
        <w:drawing>
          <wp:inline xmlns:a="http://schemas.openxmlformats.org/drawingml/2006/main" xmlns:pic="http://schemas.openxmlformats.org/drawingml/2006/picture">
            <wp:extent cx="6309360" cy="3865067"/>
            <wp:docPr id="26" name="Picture 26"/>
            <wp:cNvGraphicFramePr>
              <a:graphicFrameLocks noChangeAspect="1"/>
            </wp:cNvGraphicFramePr>
            <a:graphic>
              <a:graphicData uri="http://schemas.openxmlformats.org/drawingml/2006/picture">
                <pic:pic>
                  <pic:nvPicPr>
                    <pic:cNvPr id="0" name="26_image26.png"/>
                    <pic:cNvPicPr/>
                  </pic:nvPicPr>
                  <pic:blipFill>
                    <a:blip r:embed="rId39"/>
                    <a:stretch>
                      <a:fillRect/>
                    </a:stretch>
                  </pic:blipFill>
                  <pic:spPr>
                    <a:xfrm>
                      <a:off x="0" y="0"/>
                      <a:ext cx="6309360" cy="3865067"/>
                    </a:xfrm>
                    <a:prstGeom prst="rect"/>
                  </pic:spPr>
                </pic:pic>
              </a:graphicData>
            </a:graphic>
          </wp:inline>
        </w:drawing>
      </w:r>
    </w:p>
    <w:p>
      <w:pPr>
        <w:pStyle w:val="Caption"/>
      </w:pPr>
      <w:r>
        <w:t>Figure 26. Recovery of latent carrier state in the fixed-measurement synthetic system. Post-hoc probes evaluate information retained by each architecture; latent states are not supplied during training.</w:t>
      </w:r>
    </w:p>
    <w:p>
      <w:pPr>
        <w:pStyle w:val="Heading3"/>
      </w:pPr>
      <w:r>
        <w:t>6.1.5 Forecast accuracy and mechanism-state fidelity</w:t>
      </w:r>
    </w:p>
    <w:p>
      <w:r>
        <w:t>Snapshot remains competitive on rollout in several conditions because the marker burden is persistent. A model can exploit local autocorrelation to forecast short-term measurements without resolving the underlying sources.</w:t>
      </w:r>
    </w:p>
    <w:p>
      <w:r>
        <w:t>Forecast error and fidelity to latent source state are distinct evaluation targets.</w:t>
      </w:r>
    </w:p>
    <w:p>
      <w:r>
        <w:t>SourceTracker has more readable latent state in the hardest condition but not the lowest rollout error. GlobalGRU is more stable for longer predictions. A tracking evaluation should therefore report both forecast performance and source-state information.</w:t>
      </w:r>
    </w:p>
    <w:p>
      <w:pPr>
        <w:pStyle w:val="Heading3"/>
      </w:pPr>
      <w:r>
        <w:t>6.1.6 Measurement compartments and persistent carriers</w:t>
      </w:r>
    </w:p>
    <w:p>
      <w:r>
        <w:t>CompartmentGRU separates measurement kinetics such as transport, uptake, clearance and persistence. SourceTracker separates persistent latent identities within mixed observations. The two decompositions describe different aspects of the same data.</w:t>
      </w:r>
    </w:p>
    <w:p>
      <w:r>
        <w:t>measurement-family encoders → carrier/source slots → shared predictive state → future heads</w:t>
      </w:r>
    </w:p>
    <w:p>
      <w:r>
        <w:t>The comparison motivates combining modality-specific kinetic states with persistent carrier slots; the combined hierarchy is a design proposal rather than a result established by these separate models.</w:t>
      </w:r>
    </w:p>
    <w:p>
      <w:pPr>
        <w:pStyle w:val="Heading3"/>
      </w:pPr>
      <w:r>
        <w:t>6.1.7 Sparse source-resolved anchors</w:t>
      </w:r>
    </w:p>
    <w:p>
      <w:r>
        <w:t>In K1_O1, source-resolved anchors are observed at 12% of time points, representing occasional tracers, isotope-resolved measurements or lineage assays. Neither simple concatenation nor event-gated assimilation automatically improves tracking. NoAnchorSlots has latent R² approximately 0.879 and slot-to-source R² approximately 0.795; AnchorAwareSlots gives approximately 0.867 and 0.764. In this condition, ordinary markers and kinetics already contain substantial identity information.</w:t>
      </w:r>
    </w:p>
    <w:p>
      <w:r>
        <w:t>The value of an additional source-specific measurement depends on the information it contributes conditional on the measurements and state already available.</w:t>
      </w:r>
    </w:p>
    <w:p>
      <w:pPr>
        <w:pStyle w:val="Heading3"/>
      </w:pPr>
      <w:r>
        <w:t>6.1.8 Anchors under identical ordinary signatures</w:t>
      </w:r>
    </w:p>
    <w:p>
      <w:r>
        <w:t>A further construction gives all three sources identical ordinary marker signatures. Aggregate markers then leave source identity underdetermined, and source-resolved anchors are available at only 12% of time points.</w:t>
      </w:r>
    </w:p>
    <w:p>
      <w:pPr>
        <w:pStyle w:val="Caption"/>
        <w:keepNext/>
      </w:pPr>
      <w:r>
        <w:t>Table 43. Sparse anchor supervision.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Training contract</w:t>
            </w:r>
          </w:p>
        </w:tc>
        <w:tc>
          <w:tcPr>
            <w:tcW w:type="dxa" w:w="2664"/>
            <w:vAlign w:val="center"/>
            <w:shd w:fill="F2F2F2"/>
          </w:tcPr>
          <w:p>
            <w:pPr>
              <w:keepNext/>
              <w:spacing w:after="0" w:before="0" w:line="240" w:lineRule="auto"/>
            </w:pPr>
            <w:r>
              <w:rPr>
                <w:rFonts w:ascii="Calibri" w:hAnsi="Calibri"/>
                <w:b/>
                <w:sz w:val="19"/>
              </w:rPr>
              <w:t>Main h1 MSE</w:t>
            </w:r>
          </w:p>
        </w:tc>
        <w:tc>
          <w:tcPr>
            <w:tcW w:type="dxa" w:w="2664"/>
            <w:vAlign w:val="center"/>
            <w:shd w:fill="F2F2F2"/>
          </w:tcPr>
          <w:p>
            <w:pPr>
              <w:keepNext/>
              <w:spacing w:after="0" w:before="0" w:line="240" w:lineRule="auto"/>
            </w:pPr>
            <w:r>
              <w:rPr>
                <w:rFonts w:ascii="Calibri" w:hAnsi="Calibri"/>
                <w:b/>
                <w:sz w:val="19"/>
              </w:rPr>
              <w:t>Slot→source R²</w:t>
            </w:r>
          </w:p>
        </w:tc>
        <w:tc>
          <w:tcPr>
            <w:tcW w:type="dxa" w:w="2664"/>
            <w:vAlign w:val="center"/>
            <w:shd w:fill="F2F2F2"/>
          </w:tcPr>
          <w:p>
            <w:pPr>
              <w:keepNext/>
              <w:spacing w:after="0" w:before="0" w:line="240" w:lineRule="auto"/>
            </w:pPr>
            <w:r>
              <w:rPr>
                <w:rFonts w:ascii="Calibri" w:hAnsi="Calibri"/>
                <w:b/>
                <w:sz w:val="19"/>
              </w:rPr>
              <w:t>Future-anchor MSE</w:t>
            </w:r>
          </w:p>
        </w:tc>
      </w:tr>
      <w:tr>
        <w:trPr>
          <w:cantSplit/>
        </w:trPr>
        <w:tc>
          <w:tcPr>
            <w:tcW w:type="dxa" w:w="2232"/>
            <w:vAlign w:val="center"/>
          </w:tcPr>
          <w:p>
            <w:pPr>
              <w:keepNext w:val="0"/>
              <w:spacing w:after="0" w:before="0" w:line="240" w:lineRule="auto"/>
            </w:pPr>
            <w:r>
              <w:rPr>
                <w:rFonts w:ascii="Calibri" w:hAnsi="Calibri"/>
                <w:b w:val="0"/>
                <w:sz w:val="19"/>
              </w:rPr>
              <w:t>Aggregate future only</w:t>
            </w:r>
          </w:p>
        </w:tc>
        <w:tc>
          <w:tcPr>
            <w:tcW w:type="dxa" w:w="2664"/>
            <w:vAlign w:val="center"/>
          </w:tcPr>
          <w:p>
            <w:pPr>
              <w:keepNext w:val="0"/>
              <w:spacing w:after="0" w:before="0" w:line="240" w:lineRule="auto"/>
              <w:jc w:val="right"/>
            </w:pPr>
            <w:r>
              <w:rPr>
                <w:rFonts w:ascii="Calibri" w:hAnsi="Calibri"/>
                <w:b w:val="0"/>
                <w:sz w:val="19"/>
              </w:rPr>
              <w:t>0.0549</w:t>
            </w:r>
          </w:p>
        </w:tc>
        <w:tc>
          <w:tcPr>
            <w:tcW w:type="dxa" w:w="2664"/>
            <w:vAlign w:val="center"/>
          </w:tcPr>
          <w:p>
            <w:pPr>
              <w:keepNext w:val="0"/>
              <w:spacing w:after="0" w:before="0" w:line="240" w:lineRule="auto"/>
              <w:jc w:val="right"/>
            </w:pPr>
            <w:r>
              <w:rPr>
                <w:rFonts w:ascii="Calibri" w:hAnsi="Calibri"/>
                <w:b w:val="0"/>
                <w:sz w:val="19"/>
              </w:rPr>
              <w:t>0.584</w:t>
            </w:r>
          </w:p>
        </w:tc>
        <w:tc>
          <w:tcPr>
            <w:tcW w:type="dxa" w:w="2664"/>
            <w:vAlign w:val="center"/>
          </w:tcPr>
          <w:p>
            <w:pPr>
              <w:keepNext w:val="0"/>
              <w:spacing w:after="0" w:before="0" w:line="240" w:lineRule="auto"/>
              <w:jc w:val="right"/>
            </w:pPr>
            <w:r>
              <w:rPr>
                <w:rFonts w:ascii="Calibri" w:hAnsi="Calibri"/>
                <w:b w:val="0"/>
                <w:sz w:val="19"/>
              </w:rPr>
              <w:t>1.149</w:t>
            </w:r>
          </w:p>
        </w:tc>
      </w:tr>
      <w:tr>
        <w:trPr>
          <w:cantSplit/>
        </w:trPr>
        <w:tc>
          <w:tcPr>
            <w:tcW w:type="dxa" w:w="2232"/>
            <w:vAlign w:val="center"/>
          </w:tcPr>
          <w:p>
            <w:pPr>
              <w:keepNext/>
              <w:spacing w:after="0" w:before="0" w:line="240" w:lineRule="auto"/>
            </w:pPr>
            <w:r>
              <w:rPr>
                <w:rFonts w:ascii="Calibri" w:hAnsi="Calibri"/>
                <w:b w:val="0"/>
                <w:sz w:val="19"/>
              </w:rPr>
              <w:t>+ sparse future-anchor loss</w:t>
            </w:r>
          </w:p>
        </w:tc>
        <w:tc>
          <w:tcPr>
            <w:tcW w:type="dxa" w:w="2664"/>
            <w:vAlign w:val="center"/>
          </w:tcPr>
          <w:p>
            <w:pPr>
              <w:keepNext/>
              <w:spacing w:after="0" w:before="0" w:line="240" w:lineRule="auto"/>
              <w:jc w:val="right"/>
            </w:pPr>
            <w:r>
              <w:rPr>
                <w:rFonts w:ascii="Calibri" w:hAnsi="Calibri"/>
                <w:b w:val="0"/>
                <w:sz w:val="19"/>
              </w:rPr>
              <w:t>0.0585</w:t>
            </w:r>
          </w:p>
        </w:tc>
        <w:tc>
          <w:tcPr>
            <w:tcW w:type="dxa" w:w="2664"/>
            <w:vAlign w:val="center"/>
          </w:tcPr>
          <w:p>
            <w:pPr>
              <w:keepNext/>
              <w:spacing w:after="0" w:before="0" w:line="240" w:lineRule="auto"/>
              <w:jc w:val="right"/>
            </w:pPr>
            <w:r>
              <w:rPr>
                <w:rFonts w:ascii="Calibri" w:hAnsi="Calibri"/>
                <w:b w:val="0"/>
                <w:sz w:val="19"/>
              </w:rPr>
              <w:t>0.596</w:t>
            </w:r>
          </w:p>
        </w:tc>
        <w:tc>
          <w:tcPr>
            <w:tcW w:type="dxa" w:w="2664"/>
            <w:vAlign w:val="center"/>
          </w:tcPr>
          <w:p>
            <w:pPr>
              <w:keepNext/>
              <w:spacing w:after="0" w:before="0" w:line="240" w:lineRule="auto"/>
              <w:jc w:val="right"/>
            </w:pPr>
            <w:r>
              <w:rPr>
                <w:rFonts w:ascii="Calibri" w:hAnsi="Calibri"/>
                <w:b w:val="0"/>
                <w:sz w:val="19"/>
              </w:rPr>
              <w:t>0.626</w:t>
            </w:r>
          </w:p>
        </w:tc>
      </w:tr>
    </w:tbl>
    <w:p>
      <w:pPr>
        <w:keepLines/>
        <w:spacing w:before="60" w:after="120"/>
      </w:pPr>
      <w:r>
        <w:rPr>
          <w:sz w:val="18"/>
        </w:rPr>
        <w:t>Controlled simulation. Lower MSE indicates lower prediction error within the same task and target scaling. Higher probe R² indicates more decodable target-state information.</w:t>
      </w:r>
    </w:p>
    <w:p>
      <w:r>
        <w:t>Adding prediction loss only at observed future-anchor events increases slot-to-source R² from 0.584 to 0.596 and reduces future-anchor MSE from 1.149 to 0.626. Aggregate one-step MSE increases slightly, from 0.0549 to 0.0585. Sparse auxiliary supervision therefore improves the identity-related readout, with a modest change in the probe and a trade-off in aggregate prediction.</w:t>
      </w:r>
    </w:p>
    <w:p>
      <w:pPr>
        <w:keepNext/>
        <w:spacing w:after="60"/>
        <w:jc w:val="center"/>
      </w:pPr>
      <w:r>
        <w:drawing>
          <wp:inline xmlns:a="http://schemas.openxmlformats.org/drawingml/2006/main" xmlns:pic="http://schemas.openxmlformats.org/drawingml/2006/picture">
            <wp:extent cx="6309360" cy="4477610"/>
            <wp:docPr id="27" name="Picture 27"/>
            <wp:cNvGraphicFramePr>
              <a:graphicFrameLocks noChangeAspect="1"/>
            </wp:cNvGraphicFramePr>
            <a:graphic>
              <a:graphicData uri="http://schemas.openxmlformats.org/drawingml/2006/picture">
                <pic:pic>
                  <pic:nvPicPr>
                    <pic:cNvPr id="0" name="27_image27.png"/>
                    <pic:cNvPicPr/>
                  </pic:nvPicPr>
                  <pic:blipFill>
                    <a:blip r:embed="rId40"/>
                    <a:stretch>
                      <a:fillRect/>
                    </a:stretch>
                  </pic:blipFill>
                  <pic:spPr>
                    <a:xfrm>
                      <a:off x="0" y="0"/>
                      <a:ext cx="6309360" cy="4477610"/>
                    </a:xfrm>
                    <a:prstGeom prst="rect"/>
                  </pic:spPr>
                </pic:pic>
              </a:graphicData>
            </a:graphic>
          </wp:inline>
        </w:drawing>
      </w:r>
    </w:p>
    <w:p>
      <w:pPr>
        <w:pStyle w:val="Caption"/>
      </w:pPr>
      <w:r>
        <w:t>Figure 27. Sparse anchor supervision with identical ordinary source signatures. The synthetic comparison reports aggregate prediction, slot-to-source R² and future-anchor error as separate outcomes.</w:t>
      </w:r>
    </w:p>
    <w:p>
      <w:pPr>
        <w:pStyle w:val="Heading3"/>
      </w:pPr>
      <w:r>
        <w:t>6.1.9 Tracking geometry</w:t>
      </w:r>
    </w:p>
    <w:p>
      <w:r>
        <w:t>G_track summarizes persistence, kinetic kernels, source overlap, observability, anchor value, assay stability and prediction horizon. It is a diagnostic profile for specifying the tracking task.</w:t>
      </w:r>
    </w:p>
    <w:p>
      <w:pPr>
        <w:pStyle w:val="ListBullet"/>
      </w:pPr>
      <w:r>
        <w:t>Persistence describes the continuing existence of a carrier across observations.</w:t>
      </w:r>
    </w:p>
    <w:p>
      <w:pPr>
        <w:pStyle w:val="ListBullet"/>
      </w:pPr>
      <w:r>
        <w:t>Kinetic kernels describe how measurements filter and delay past carrier activity.</w:t>
      </w:r>
    </w:p>
    <w:p>
      <w:pPr>
        <w:pStyle w:val="ListBullet"/>
      </w:pPr>
      <w:r>
        <w:t>Source overlap describes similarity of different carriers' observed signatures.</w:t>
      </w:r>
    </w:p>
    <w:p>
      <w:pPr>
        <w:pStyle w:val="ListBullet"/>
      </w:pPr>
      <w:r>
        <w:t>Observability describes whether the available history identifies carrier state from mixed measurements.</w:t>
      </w:r>
    </w:p>
    <w:p>
      <w:pPr>
        <w:pStyle w:val="ListBullet"/>
      </w:pPr>
      <w:r>
        <w:t>Anchor value describes the additional information supplied by source-resolved observations.</w:t>
      </w:r>
    </w:p>
    <w:p>
      <w:pPr>
        <w:pStyle w:val="ListBullet"/>
      </w:pPr>
      <w:r>
        <w:t>Assay stability describes consistency of the marker-to-source mapping across time and batches.</w:t>
      </w:r>
    </w:p>
    <w:p>
      <w:pPr>
        <w:pStyle w:val="ListBullet"/>
      </w:pPr>
      <w:r>
        <w:t>Objective horizon determines the relative reward for short-term persistence and retention of longer-term mechanism information.</w:t>
      </w:r>
    </w:p>
    <w:p>
      <w:pPr>
        <w:pStyle w:val="Heading3"/>
      </w:pPr>
      <w:r>
        <w:t>6.1.10 Mappings to exposure and infectious-disease research</w:t>
      </w:r>
    </w:p>
    <w:p>
      <w:r>
        <w:t>An exposure model may connect source activity to air, dust, water or food; external markers; internal biomarkers; and outcomes. Transport, uptake, clearance and half-life create different temporal kernels. Internal biomarkers can mix contributions from several sources, and source-specific tracers can provide intermittent calibration. These are application mappings from the controlled design.</w:t>
      </w:r>
    </w:p>
    <w:p>
      <w:r>
        <w:t>An infectious-disease model may connect a lineage or infected host to transmission, pathogen burden and assay readouts. Burden measurements and lineage-resolved measurements can have different frequencies and identity resolution. The modelling implication is to distinguish persistent lineage state from the assay process.</w:t>
      </w:r>
    </w:p>
    <w:p>
      <w:r>
        <w:t>Experiment 010 evaluates persistent sources with fixed membership. Branching, genealogy and merging require additional structure and are examined through the subsequent controlled lifecycle studies.</w:t>
      </w:r>
    </w:p>
    <w:p>
      <w:pPr>
        <w:pStyle w:val="Heading3"/>
      </w:pPr>
      <w:r>
        <w:t>6.1.11 Candidate tracking architecture</w:t>
      </w:r>
    </w:p>
    <w:p>
      <w:r>
        <w:t>continuous background measurements → modality-specific kinetic states → persistent carrier / lineage slots → event-gated sparse calibration → multi-horizon future heads</w:t>
      </w:r>
    </w:p>
    <w:p>
      <w:r>
        <w:t>Tracking models may need to retain both past activity and the identity of the process that generated it.</w:t>
      </w:r>
    </w:p>
    <w:p>
      <w:pPr>
        <w:pStyle w:val="Heading3"/>
      </w:pPr>
      <w:r>
        <w:t>6.1.12 Evidence records</w:t>
      </w:r>
    </w:p>
    <w:p>
      <w:pPr>
        <w:spacing w:after="40"/>
      </w:pPr>
      <w:r>
        <w:rPr>
          <w:sz w:val="18"/>
        </w:rPr>
        <w:t>TRACKING_​MECHANISM_​DATA_​010_​CORRECTED_​bundle.zip</w:t>
      </w:r>
    </w:p>
    <w:p>
      <w:pPr>
        <w:spacing w:after="40"/>
      </w:pPr>
      <w:r>
        <w:rPr>
          <w:sz w:val="18"/>
        </w:rPr>
        <w:t>TRACKING_​MECHANISM_​DATA_​010_​CORRECTED/​model_​summary.csv</w:t>
      </w:r>
    </w:p>
    <w:p>
      <w:pPr>
        <w:spacing w:after="40"/>
      </w:pPr>
      <w:r>
        <w:rPr>
          <w:sz w:val="18"/>
        </w:rPr>
        <w:t>TRACKING_​MECHANISM_​DATA_​010_​CORRECTED/​slot_​specialization.csv</w:t>
      </w:r>
    </w:p>
    <w:p>
      <w:pPr>
        <w:spacing w:after="40"/>
      </w:pPr>
      <w:r>
        <w:rPr>
          <w:sz w:val="18"/>
        </w:rPr>
        <w:t>TRACKING_​MECHANISM_​DATA_​010_​CORRECTED/​anchor_​multihorizon_​summary.csv</w:t>
      </w:r>
    </w:p>
    <w:p>
      <w:pPr>
        <w:spacing w:after="40"/>
      </w:pPr>
      <w:r>
        <w:rPr>
          <w:sz w:val="18"/>
        </w:rPr>
        <w:t>TRACKING_​MECHANISM_​DATA_​010_​CORRECTED/​event_​gated_​summary.csv</w:t>
      </w:r>
    </w:p>
    <w:p>
      <w:pPr>
        <w:spacing w:after="40"/>
      </w:pPr>
      <w:r>
        <w:rPr>
          <w:sz w:val="18"/>
        </w:rPr>
        <w:t>TRACKING_​MECHANISM_​DATA_​010_​CORRECTED/​sparse_​anchor_​supervision_​summary.csv</w:t>
      </w:r>
    </w:p>
    <w:p>
      <w:pPr>
        <w:spacing w:after="40"/>
      </w:pPr>
      <w:r>
        <w:rPr>
          <w:sz w:val="18"/>
        </w:rPr>
        <w:t>TRACKING_​MECHANISM_​DATA_​010_​CORRECTED/​tracking_​state_​recovery.png</w:t>
      </w:r>
    </w:p>
    <w:p>
      <w:pPr>
        <w:spacing w:after="40"/>
      </w:pPr>
      <w:r>
        <w:rPr>
          <w:sz w:val="18"/>
        </w:rPr>
        <w:t>TRACKING_​MECHANISM_​DATA_​010_​CORRECTED/​sparse_​anchor_​supervision.png</w:t>
      </w:r>
    </w:p>
    <w:p>
      <w:pPr>
        <w:pStyle w:val="Heading2"/>
      </w:pPr>
      <w:r>
        <w:t>6.2 DYNAMIC-CARRIER-TRACKING-011 Lifecycle events and irregular observation</w:t>
      </w:r>
    </w:p>
    <w:p>
      <w:r>
        <w:t>Experiment 010 studies persistent sources with fixed membership. Here the set of active carriers changes through birth, branching, death and merging. Measurements also arrive either regularly or asynchronously. The controlled construction separates changes in the latent carrier set from changes in observation timing.</w:t>
      </w:r>
    </w:p>
    <w:p>
      <w:pPr>
        <w:pStyle w:val="Heading3"/>
      </w:pPr>
      <w:r>
        <w:t>6.2.1 A changing set of explanatory states</w:t>
      </w:r>
    </w:p>
    <w:p>
      <w:r>
        <w:t>Lifecycle events change the number and relationships of active explanatory entities. A tracking representation must preserve the consequences of these events, including burdens that persist after source activity ends.</w:t>
      </w:r>
    </w:p>
    <w:p>
      <w:r>
        <w:t>The proposed state comprises a dynamic explanatory set and a separate observation-process state.</w:t>
      </w:r>
    </w:p>
    <w:p>
      <w:pPr>
        <w:pStyle w:val="ListBullet"/>
      </w:pPr>
      <w:r>
        <w:t>Birth introduces an independently active source.</w:t>
      </w:r>
    </w:p>
    <w:p>
      <w:pPr>
        <w:pStyle w:val="ListBullet"/>
      </w:pPr>
      <w:r>
        <w:t>Branching creates a related identity and transfers part of the parent's state or history.</w:t>
      </w:r>
    </w:p>
    <w:p>
      <w:pPr>
        <w:pStyle w:val="ListBullet"/>
      </w:pPr>
      <w:r>
        <w:t>Death ends source forcing, but downstream environmental and biomarker burdens can persist.</w:t>
      </w:r>
    </w:p>
    <w:p>
      <w:pPr>
        <w:pStyle w:val="ListBullet"/>
      </w:pPr>
      <w:r>
        <w:t>Merging combines explanatory states without instantly removing accumulated burden.</w:t>
      </w:r>
    </w:p>
    <w:p>
      <w:pPr>
        <w:pStyle w:val="ListBullet"/>
      </w:pPr>
      <w:r>
        <w:t>Irregular sampling adds channel-specific observation timing. A missing value is distinct from biological zero, and elapsed time since measurement can be informative.</w:t>
      </w:r>
    </w:p>
    <w:p>
      <w:pPr>
        <w:pStyle w:val="Heading3"/>
      </w:pPr>
      <w:r>
        <w:t>6.2.2 Controlled lifecycle world</w:t>
      </w:r>
    </w:p>
    <w:p>
      <w:r>
        <w:t>The synthetic world allows at most four persistent carriers and produces environmental markers and internal biomarkers. Source 3 has a signature deliberately similar to source 0. Each dynamic trajectory contains birth, branch, death and merge events in that order.</w:t>
      </w:r>
    </w:p>
    <w:p>
      <w:r>
        <w:t>Regular sampling observes every channel continuously. Under irregular sampling, environmental channels are observed more often than biomarkers. The models receive channel masks and log(1 + time since last observation). Training loss uses future channels actually observed; evaluation uses the complete synthetic truth.</w:t>
      </w:r>
    </w:p>
    <w:p>
      <w:pPr>
        <w:pStyle w:val="Heading3"/>
      </w:pPr>
      <w:r>
        <w:t>6.2.3 Model comparisons</w:t>
      </w:r>
    </w:p>
    <w:p>
      <w:pPr>
        <w:pStyle w:val="ListBullet"/>
      </w:pPr>
      <w:r>
        <w:t>NaiveGRU receives zero-imputed values without masks or elapsed-time information.</w:t>
      </w:r>
    </w:p>
    <w:p>
      <w:pPr>
        <w:pStyle w:val="ListBullet"/>
      </w:pPr>
      <w:r>
        <w:t>MaskDeltaGRU receives values, masks and Δt, explicitly representing the observation process.</w:t>
      </w:r>
    </w:p>
    <w:p>
      <w:pPr>
        <w:pStyle w:val="ListBullet"/>
      </w:pPr>
      <w:r>
        <w:t>FixedSlots maintains four recurrent explanatory slots, all contributing to output.</w:t>
      </w:r>
    </w:p>
    <w:p>
      <w:pPr>
        <w:pStyle w:val="ListBullet"/>
      </w:pPr>
      <w:r>
        <w:t>DynamicSlots adds learned continuous presence gates and a very weak sparsity penalty to FixedSlots.</w:t>
      </w:r>
    </w:p>
    <w:p>
      <w:r>
        <w:t>Training supplies no event labels, carrier identities or latent carrier states.</w:t>
      </w:r>
    </w:p>
    <w:p>
      <w:pPr>
        <w:pStyle w:val="Heading3"/>
      </w:pPr>
      <w:r>
        <w:t>6.2.4 Forecast performance and observation-process memory</w:t>
      </w:r>
    </w:p>
    <w:p>
      <w:pPr>
        <w:pStyle w:val="Caption"/>
        <w:keepNext/>
      </w:pPr>
      <w:r>
        <w:t>Table 44. Lifecycle forecasting and latent-state probes.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sampling</w:t>
            </w:r>
          </w:p>
        </w:tc>
        <w:tc>
          <w:tcPr>
            <w:tcW w:type="dxa" w:w="2153"/>
            <w:vAlign w:val="center"/>
            <w:shd w:fill="F2F2F2"/>
          </w:tcPr>
          <w:p>
            <w:pPr>
              <w:keepNext/>
              <w:spacing w:after="0" w:before="0" w:line="240" w:lineRule="auto"/>
            </w:pPr>
            <w:r>
              <w:rPr>
                <w:rFonts w:ascii="Calibri" w:hAnsi="Calibri"/>
                <w:b/>
                <w:sz w:val="19"/>
              </w:rPr>
              <w:t>model</w:t>
            </w:r>
          </w:p>
        </w:tc>
        <w:tc>
          <w:tcPr>
            <w:tcW w:type="dxa" w:w="2153"/>
            <w:vAlign w:val="center"/>
            <w:shd w:fill="F2F2F2"/>
          </w:tcPr>
          <w:p>
            <w:pPr>
              <w:keepNext/>
              <w:spacing w:after="0" w:before="0" w:line="240" w:lineRule="auto"/>
            </w:pPr>
            <w:r>
              <w:rPr>
                <w:rFonts w:ascii="Calibri" w:hAnsi="Calibri"/>
                <w:b/>
                <w:sz w:val="19"/>
              </w:rPr>
              <w:t>full MSE</w:t>
            </w:r>
          </w:p>
        </w:tc>
        <w:tc>
          <w:tcPr>
            <w:tcW w:type="dxa" w:w="2153"/>
            <w:vAlign w:val="center"/>
            <w:shd w:fill="F2F2F2"/>
          </w:tcPr>
          <w:p>
            <w:pPr>
              <w:keepNext/>
              <w:spacing w:after="0" w:before="0" w:line="240" w:lineRule="auto"/>
            </w:pPr>
            <w:r>
              <w:rPr>
                <w:rFonts w:ascii="Calibri" w:hAnsi="Calibri"/>
                <w:b/>
                <w:sz w:val="19"/>
              </w:rPr>
              <w:t>event MSE</w:t>
            </w:r>
          </w:p>
        </w:tc>
        <w:tc>
          <w:tcPr>
            <w:tcW w:type="dxa" w:w="2153"/>
            <w:vAlign w:val="center"/>
            <w:shd w:fill="F2F2F2"/>
          </w:tcPr>
          <w:p>
            <w:pPr>
              <w:keepNext/>
              <w:spacing w:after="0" w:before="0" w:line="240" w:lineRule="auto"/>
            </w:pPr>
            <w:r>
              <w:rPr>
                <w:rFonts w:ascii="Calibri" w:hAnsi="Calibri"/>
                <w:b/>
                <w:sz w:val="19"/>
              </w:rPr>
              <w:t>latent-state R²</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2153"/>
            <w:vAlign w:val="center"/>
          </w:tcPr>
          <w:p>
            <w:pPr>
              <w:keepNext w:val="0"/>
              <w:spacing w:after="0" w:before="0" w:line="240" w:lineRule="auto"/>
            </w:pPr>
            <w:r>
              <w:rPr>
                <w:rFonts w:ascii="Calibri" w:hAnsi="Calibri"/>
                <w:b w:val="0"/>
                <w:sz w:val="19"/>
              </w:rPr>
              <w:t>MaskDeltaGRU</w:t>
            </w:r>
          </w:p>
        </w:tc>
        <w:tc>
          <w:tcPr>
            <w:tcW w:type="dxa" w:w="2153"/>
            <w:vAlign w:val="center"/>
          </w:tcPr>
          <w:p>
            <w:pPr>
              <w:keepNext w:val="0"/>
              <w:spacing w:after="0" w:before="0" w:line="240" w:lineRule="auto"/>
              <w:jc w:val="right"/>
            </w:pPr>
            <w:r>
              <w:rPr>
                <w:rFonts w:ascii="Calibri" w:hAnsi="Calibri"/>
                <w:b w:val="0"/>
                <w:sz w:val="19"/>
              </w:rPr>
              <w:t>0.3331</w:t>
            </w:r>
          </w:p>
        </w:tc>
        <w:tc>
          <w:tcPr>
            <w:tcW w:type="dxa" w:w="2153"/>
            <w:vAlign w:val="center"/>
          </w:tcPr>
          <w:p>
            <w:pPr>
              <w:keepNext w:val="0"/>
              <w:spacing w:after="0" w:before="0" w:line="240" w:lineRule="auto"/>
              <w:jc w:val="right"/>
            </w:pPr>
            <w:r>
              <w:rPr>
                <w:rFonts w:ascii="Calibri" w:hAnsi="Calibri"/>
                <w:b w:val="0"/>
                <w:sz w:val="19"/>
              </w:rPr>
              <w:t>0.3712</w:t>
            </w:r>
          </w:p>
        </w:tc>
        <w:tc>
          <w:tcPr>
            <w:tcW w:type="dxa" w:w="2153"/>
            <w:vAlign w:val="center"/>
          </w:tcPr>
          <w:p>
            <w:pPr>
              <w:keepNext w:val="0"/>
              <w:spacing w:after="0" w:before="0" w:line="240" w:lineRule="auto"/>
              <w:jc w:val="right"/>
            </w:pPr>
            <w:r>
              <w:rPr>
                <w:rFonts w:ascii="Calibri" w:hAnsi="Calibri"/>
                <w:b w:val="0"/>
                <w:sz w:val="19"/>
              </w:rPr>
              <w:t>0.8029</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2153"/>
            <w:vAlign w:val="center"/>
          </w:tcPr>
          <w:p>
            <w:pPr>
              <w:keepNext w:val="0"/>
              <w:spacing w:after="0" w:before="0" w:line="240" w:lineRule="auto"/>
            </w:pPr>
            <w:r>
              <w:rPr>
                <w:rFonts w:ascii="Calibri" w:hAnsi="Calibri"/>
                <w:b w:val="0"/>
                <w:sz w:val="19"/>
              </w:rPr>
              <w:t>FixedSlots</w:t>
            </w:r>
          </w:p>
        </w:tc>
        <w:tc>
          <w:tcPr>
            <w:tcW w:type="dxa" w:w="2153"/>
            <w:vAlign w:val="center"/>
          </w:tcPr>
          <w:p>
            <w:pPr>
              <w:keepNext w:val="0"/>
              <w:spacing w:after="0" w:before="0" w:line="240" w:lineRule="auto"/>
              <w:jc w:val="right"/>
            </w:pPr>
            <w:r>
              <w:rPr>
                <w:rFonts w:ascii="Calibri" w:hAnsi="Calibri"/>
                <w:b w:val="0"/>
                <w:sz w:val="19"/>
              </w:rPr>
              <w:t>0.4095</w:t>
            </w:r>
          </w:p>
        </w:tc>
        <w:tc>
          <w:tcPr>
            <w:tcW w:type="dxa" w:w="2153"/>
            <w:vAlign w:val="center"/>
          </w:tcPr>
          <w:p>
            <w:pPr>
              <w:keepNext w:val="0"/>
              <w:spacing w:after="0" w:before="0" w:line="240" w:lineRule="auto"/>
              <w:jc w:val="right"/>
            </w:pPr>
            <w:r>
              <w:rPr>
                <w:rFonts w:ascii="Calibri" w:hAnsi="Calibri"/>
                <w:b w:val="0"/>
                <w:sz w:val="19"/>
              </w:rPr>
              <w:t>0.4535</w:t>
            </w:r>
          </w:p>
        </w:tc>
        <w:tc>
          <w:tcPr>
            <w:tcW w:type="dxa" w:w="2153"/>
            <w:vAlign w:val="center"/>
          </w:tcPr>
          <w:p>
            <w:pPr>
              <w:keepNext w:val="0"/>
              <w:spacing w:after="0" w:before="0" w:line="240" w:lineRule="auto"/>
              <w:jc w:val="right"/>
            </w:pPr>
            <w:r>
              <w:rPr>
                <w:rFonts w:ascii="Calibri" w:hAnsi="Calibri"/>
                <w:b w:val="0"/>
                <w:sz w:val="19"/>
              </w:rPr>
              <w:t>0.8291</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2153"/>
            <w:vAlign w:val="center"/>
          </w:tcPr>
          <w:p>
            <w:pPr>
              <w:keepNext w:val="0"/>
              <w:spacing w:after="0" w:before="0" w:line="240" w:lineRule="auto"/>
            </w:pPr>
            <w:r>
              <w:rPr>
                <w:rFonts w:ascii="Calibri" w:hAnsi="Calibri"/>
                <w:b w:val="0"/>
                <w:sz w:val="19"/>
              </w:rPr>
              <w:t>DynamicSlots</w:t>
            </w:r>
          </w:p>
        </w:tc>
        <w:tc>
          <w:tcPr>
            <w:tcW w:type="dxa" w:w="2153"/>
            <w:vAlign w:val="center"/>
          </w:tcPr>
          <w:p>
            <w:pPr>
              <w:keepNext w:val="0"/>
              <w:spacing w:after="0" w:before="0" w:line="240" w:lineRule="auto"/>
              <w:jc w:val="right"/>
            </w:pPr>
            <w:r>
              <w:rPr>
                <w:rFonts w:ascii="Calibri" w:hAnsi="Calibri"/>
                <w:b w:val="0"/>
                <w:sz w:val="19"/>
              </w:rPr>
              <w:t>0.5652</w:t>
            </w:r>
          </w:p>
        </w:tc>
        <w:tc>
          <w:tcPr>
            <w:tcW w:type="dxa" w:w="2153"/>
            <w:vAlign w:val="center"/>
          </w:tcPr>
          <w:p>
            <w:pPr>
              <w:keepNext w:val="0"/>
              <w:spacing w:after="0" w:before="0" w:line="240" w:lineRule="auto"/>
              <w:jc w:val="right"/>
            </w:pPr>
            <w:r>
              <w:rPr>
                <w:rFonts w:ascii="Calibri" w:hAnsi="Calibri"/>
                <w:b w:val="0"/>
                <w:sz w:val="19"/>
              </w:rPr>
              <w:t>0.6108</w:t>
            </w:r>
          </w:p>
        </w:tc>
        <w:tc>
          <w:tcPr>
            <w:tcW w:type="dxa" w:w="2153"/>
            <w:vAlign w:val="center"/>
          </w:tcPr>
          <w:p>
            <w:pPr>
              <w:keepNext w:val="0"/>
              <w:spacing w:after="0" w:before="0" w:line="240" w:lineRule="auto"/>
              <w:jc w:val="right"/>
            </w:pPr>
            <w:r>
              <w:rPr>
                <w:rFonts w:ascii="Calibri" w:hAnsi="Calibri"/>
                <w:b w:val="0"/>
                <w:sz w:val="19"/>
              </w:rPr>
              <w:t>0.8307</w:t>
            </w:r>
          </w:p>
        </w:tc>
      </w:tr>
      <w:tr>
        <w:trPr>
          <w:cantSplit/>
        </w:trPr>
        <w:tc>
          <w:tcPr>
            <w:tcW w:type="dxa" w:w="1613"/>
            <w:vAlign w:val="center"/>
          </w:tcPr>
          <w:p>
            <w:pPr>
              <w:keepNext w:val="0"/>
              <w:spacing w:after="0" w:before="0" w:line="240" w:lineRule="auto"/>
            </w:pPr>
            <w:r>
              <w:rPr>
                <w:rFonts w:ascii="Calibri" w:hAnsi="Calibri"/>
                <w:b w:val="0"/>
                <w:sz w:val="19"/>
              </w:rPr>
              <w:t>Irregular</w:t>
            </w:r>
          </w:p>
        </w:tc>
        <w:tc>
          <w:tcPr>
            <w:tcW w:type="dxa" w:w="2153"/>
            <w:vAlign w:val="center"/>
          </w:tcPr>
          <w:p>
            <w:pPr>
              <w:keepNext w:val="0"/>
              <w:spacing w:after="0" w:before="0" w:line="240" w:lineRule="auto"/>
            </w:pPr>
            <w:r>
              <w:rPr>
                <w:rFonts w:ascii="Calibri" w:hAnsi="Calibri"/>
                <w:b w:val="0"/>
                <w:sz w:val="19"/>
              </w:rPr>
              <w:t>MaskDeltaGRU</w:t>
            </w:r>
          </w:p>
        </w:tc>
        <w:tc>
          <w:tcPr>
            <w:tcW w:type="dxa" w:w="2153"/>
            <w:vAlign w:val="center"/>
          </w:tcPr>
          <w:p>
            <w:pPr>
              <w:keepNext w:val="0"/>
              <w:spacing w:after="0" w:before="0" w:line="240" w:lineRule="auto"/>
              <w:jc w:val="right"/>
            </w:pPr>
            <w:r>
              <w:rPr>
                <w:rFonts w:ascii="Calibri" w:hAnsi="Calibri"/>
                <w:b w:val="0"/>
                <w:sz w:val="19"/>
              </w:rPr>
              <w:t>0.4322</w:t>
            </w:r>
          </w:p>
        </w:tc>
        <w:tc>
          <w:tcPr>
            <w:tcW w:type="dxa" w:w="2153"/>
            <w:vAlign w:val="center"/>
          </w:tcPr>
          <w:p>
            <w:pPr>
              <w:keepNext w:val="0"/>
              <w:spacing w:after="0" w:before="0" w:line="240" w:lineRule="auto"/>
              <w:jc w:val="right"/>
            </w:pPr>
            <w:r>
              <w:rPr>
                <w:rFonts w:ascii="Calibri" w:hAnsi="Calibri"/>
                <w:b w:val="0"/>
                <w:sz w:val="19"/>
              </w:rPr>
              <w:t>0.4914</w:t>
            </w:r>
          </w:p>
        </w:tc>
        <w:tc>
          <w:tcPr>
            <w:tcW w:type="dxa" w:w="2153"/>
            <w:vAlign w:val="center"/>
          </w:tcPr>
          <w:p>
            <w:pPr>
              <w:keepNext w:val="0"/>
              <w:spacing w:after="0" w:before="0" w:line="240" w:lineRule="auto"/>
              <w:jc w:val="right"/>
            </w:pPr>
            <w:r>
              <w:rPr>
                <w:rFonts w:ascii="Calibri" w:hAnsi="Calibri"/>
                <w:b w:val="0"/>
                <w:sz w:val="19"/>
              </w:rPr>
              <w:t>0.6066</w:t>
            </w:r>
          </w:p>
        </w:tc>
      </w:tr>
      <w:tr>
        <w:trPr>
          <w:cantSplit/>
        </w:trPr>
        <w:tc>
          <w:tcPr>
            <w:tcW w:type="dxa" w:w="1613"/>
            <w:vAlign w:val="center"/>
          </w:tcPr>
          <w:p>
            <w:pPr>
              <w:keepNext w:val="0"/>
              <w:spacing w:after="0" w:before="0" w:line="240" w:lineRule="auto"/>
            </w:pPr>
            <w:r>
              <w:rPr>
                <w:rFonts w:ascii="Calibri" w:hAnsi="Calibri"/>
                <w:b w:val="0"/>
                <w:sz w:val="19"/>
              </w:rPr>
              <w:t>Irregular</w:t>
            </w:r>
          </w:p>
        </w:tc>
        <w:tc>
          <w:tcPr>
            <w:tcW w:type="dxa" w:w="2153"/>
            <w:vAlign w:val="center"/>
          </w:tcPr>
          <w:p>
            <w:pPr>
              <w:keepNext w:val="0"/>
              <w:spacing w:after="0" w:before="0" w:line="240" w:lineRule="auto"/>
            </w:pPr>
            <w:r>
              <w:rPr>
                <w:rFonts w:ascii="Calibri" w:hAnsi="Calibri"/>
                <w:b w:val="0"/>
                <w:sz w:val="19"/>
              </w:rPr>
              <w:t>FixedSlots</w:t>
            </w:r>
          </w:p>
        </w:tc>
        <w:tc>
          <w:tcPr>
            <w:tcW w:type="dxa" w:w="2153"/>
            <w:vAlign w:val="center"/>
          </w:tcPr>
          <w:p>
            <w:pPr>
              <w:keepNext w:val="0"/>
              <w:spacing w:after="0" w:before="0" w:line="240" w:lineRule="auto"/>
              <w:jc w:val="right"/>
            </w:pPr>
            <w:r>
              <w:rPr>
                <w:rFonts w:ascii="Calibri" w:hAnsi="Calibri"/>
                <w:b w:val="0"/>
                <w:sz w:val="19"/>
              </w:rPr>
              <w:t>0.5931</w:t>
            </w:r>
          </w:p>
        </w:tc>
        <w:tc>
          <w:tcPr>
            <w:tcW w:type="dxa" w:w="2153"/>
            <w:vAlign w:val="center"/>
          </w:tcPr>
          <w:p>
            <w:pPr>
              <w:keepNext w:val="0"/>
              <w:spacing w:after="0" w:before="0" w:line="240" w:lineRule="auto"/>
              <w:jc w:val="right"/>
            </w:pPr>
            <w:r>
              <w:rPr>
                <w:rFonts w:ascii="Calibri" w:hAnsi="Calibri"/>
                <w:b w:val="0"/>
                <w:sz w:val="19"/>
              </w:rPr>
              <w:t>0.6599</w:t>
            </w:r>
          </w:p>
        </w:tc>
        <w:tc>
          <w:tcPr>
            <w:tcW w:type="dxa" w:w="2153"/>
            <w:vAlign w:val="center"/>
          </w:tcPr>
          <w:p>
            <w:pPr>
              <w:keepNext w:val="0"/>
              <w:spacing w:after="0" w:before="0" w:line="240" w:lineRule="auto"/>
              <w:jc w:val="right"/>
            </w:pPr>
            <w:r>
              <w:rPr>
                <w:rFonts w:ascii="Calibri" w:hAnsi="Calibri"/>
                <w:b w:val="0"/>
                <w:sz w:val="19"/>
              </w:rPr>
              <w:t>0.6295</w:t>
            </w:r>
          </w:p>
        </w:tc>
      </w:tr>
      <w:tr>
        <w:trPr>
          <w:cantSplit/>
        </w:trPr>
        <w:tc>
          <w:tcPr>
            <w:tcW w:type="dxa" w:w="1613"/>
            <w:vAlign w:val="center"/>
          </w:tcPr>
          <w:p>
            <w:pPr>
              <w:keepNext/>
              <w:spacing w:after="0" w:before="0" w:line="240" w:lineRule="auto"/>
            </w:pPr>
            <w:r>
              <w:rPr>
                <w:rFonts w:ascii="Calibri" w:hAnsi="Calibri"/>
                <w:b w:val="0"/>
                <w:sz w:val="19"/>
              </w:rPr>
              <w:t>Irregular</w:t>
            </w:r>
          </w:p>
        </w:tc>
        <w:tc>
          <w:tcPr>
            <w:tcW w:type="dxa" w:w="2153"/>
            <w:vAlign w:val="center"/>
          </w:tcPr>
          <w:p>
            <w:pPr>
              <w:keepNext/>
              <w:spacing w:after="0" w:before="0" w:line="240" w:lineRule="auto"/>
            </w:pPr>
            <w:r>
              <w:rPr>
                <w:rFonts w:ascii="Calibri" w:hAnsi="Calibri"/>
                <w:b w:val="0"/>
                <w:sz w:val="19"/>
              </w:rPr>
              <w:t>DynamicSlots</w:t>
            </w:r>
          </w:p>
        </w:tc>
        <w:tc>
          <w:tcPr>
            <w:tcW w:type="dxa" w:w="2153"/>
            <w:vAlign w:val="center"/>
          </w:tcPr>
          <w:p>
            <w:pPr>
              <w:keepNext/>
              <w:spacing w:after="0" w:before="0" w:line="240" w:lineRule="auto"/>
              <w:jc w:val="right"/>
            </w:pPr>
            <w:r>
              <w:rPr>
                <w:rFonts w:ascii="Calibri" w:hAnsi="Calibri"/>
                <w:b w:val="0"/>
                <w:sz w:val="19"/>
              </w:rPr>
              <w:t>0.6992</w:t>
            </w:r>
          </w:p>
        </w:tc>
        <w:tc>
          <w:tcPr>
            <w:tcW w:type="dxa" w:w="2153"/>
            <w:vAlign w:val="center"/>
          </w:tcPr>
          <w:p>
            <w:pPr>
              <w:keepNext/>
              <w:spacing w:after="0" w:before="0" w:line="240" w:lineRule="auto"/>
              <w:jc w:val="right"/>
            </w:pPr>
            <w:r>
              <w:rPr>
                <w:rFonts w:ascii="Calibri" w:hAnsi="Calibri"/>
                <w:b w:val="0"/>
                <w:sz w:val="19"/>
              </w:rPr>
              <w:t>0.7595</w:t>
            </w:r>
          </w:p>
        </w:tc>
        <w:tc>
          <w:tcPr>
            <w:tcW w:type="dxa" w:w="2153"/>
            <w:vAlign w:val="center"/>
          </w:tcPr>
          <w:p>
            <w:pPr>
              <w:keepNext/>
              <w:spacing w:after="0" w:before="0" w:line="240" w:lineRule="auto"/>
              <w:jc w:val="right"/>
            </w:pPr>
            <w:r>
              <w:rPr>
                <w:rFonts w:ascii="Calibri" w:hAnsi="Calibri"/>
                <w:b w:val="0"/>
                <w:sz w:val="19"/>
              </w:rPr>
              <w:t>0.6335</w:t>
            </w:r>
          </w:p>
        </w:tc>
      </w:tr>
    </w:tbl>
    <w:p>
      <w:pPr>
        <w:keepLines/>
        <w:spacing w:before="60" w:after="120"/>
      </w:pPr>
      <w:r>
        <w:rPr>
          <w:sz w:val="18"/>
        </w:rPr>
        <w:t>Controlled simulation. Lower MSE indicates lower prediction error within the same task and target scaling. Higher probe R² indicates more decodable target-state information.</w:t>
      </w:r>
    </w:p>
    <w:p>
      <w:r>
        <w:t>Across the two initialization runs, MaskDeltaGRU has the most stable future predictions. Its full MSE is 0.3331 under regular sampling and 0.4322 under irregular sampling. FixedSlots and DynamicSlots retain more decodable latent carrier information, but that improvement does not translate into lower prediction error.</w:t>
      </w:r>
    </w:p>
    <w:p>
      <w:r>
        <w:t>Presence gating alone does not capture the state transfers and persistent burdens introduced by lifecycle events in this construction.</w:t>
      </w:r>
    </w:p>
    <w:p>
      <w:pPr>
        <w:pStyle w:val="Heading3"/>
      </w:pPr>
      <w:r>
        <w:t>6.2.5 Event-specific error</w:t>
      </w:r>
    </w:p>
    <w:p>
      <w:pPr>
        <w:pStyle w:val="Caption"/>
        <w:keepNext/>
      </w:pPr>
      <w:r>
        <w:t>Table 45. Prediction error by lifecycle event.</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sampling</w:t>
            </w:r>
          </w:p>
        </w:tc>
        <w:tc>
          <w:tcPr>
            <w:tcW w:type="dxa" w:w="1722"/>
            <w:vAlign w:val="center"/>
            <w:shd w:fill="F2F2F2"/>
          </w:tcPr>
          <w:p>
            <w:pPr>
              <w:keepNext/>
              <w:spacing w:after="0" w:before="0" w:line="240" w:lineRule="auto"/>
            </w:pPr>
            <w:r>
              <w:rPr>
                <w:rFonts w:ascii="Calibri" w:hAnsi="Calibri"/>
                <w:b/>
                <w:sz w:val="19"/>
              </w:rPr>
              <w:t>model</w:t>
            </w:r>
          </w:p>
        </w:tc>
        <w:tc>
          <w:tcPr>
            <w:tcW w:type="dxa" w:w="1722"/>
            <w:vAlign w:val="center"/>
            <w:shd w:fill="F2F2F2"/>
          </w:tcPr>
          <w:p>
            <w:pPr>
              <w:keepNext/>
              <w:spacing w:after="0" w:before="0" w:line="240" w:lineRule="auto"/>
            </w:pPr>
            <w:r>
              <w:rPr>
                <w:rFonts w:ascii="Calibri" w:hAnsi="Calibri"/>
                <w:b/>
                <w:sz w:val="19"/>
              </w:rPr>
              <w:t>birth</w:t>
            </w:r>
          </w:p>
        </w:tc>
        <w:tc>
          <w:tcPr>
            <w:tcW w:type="dxa" w:w="1722"/>
            <w:vAlign w:val="center"/>
            <w:shd w:fill="F2F2F2"/>
          </w:tcPr>
          <w:p>
            <w:pPr>
              <w:keepNext/>
              <w:spacing w:after="0" w:before="0" w:line="240" w:lineRule="auto"/>
            </w:pPr>
            <w:r>
              <w:rPr>
                <w:rFonts w:ascii="Calibri" w:hAnsi="Calibri"/>
                <w:b/>
                <w:sz w:val="19"/>
              </w:rPr>
              <w:t>branch</w:t>
            </w:r>
          </w:p>
        </w:tc>
        <w:tc>
          <w:tcPr>
            <w:tcW w:type="dxa" w:w="1722"/>
            <w:vAlign w:val="center"/>
            <w:shd w:fill="F2F2F2"/>
          </w:tcPr>
          <w:p>
            <w:pPr>
              <w:keepNext/>
              <w:spacing w:after="0" w:before="0" w:line="240" w:lineRule="auto"/>
            </w:pPr>
            <w:r>
              <w:rPr>
                <w:rFonts w:ascii="Calibri" w:hAnsi="Calibri"/>
                <w:b/>
                <w:sz w:val="19"/>
              </w:rPr>
              <w:t>death</w:t>
            </w:r>
          </w:p>
        </w:tc>
        <w:tc>
          <w:tcPr>
            <w:tcW w:type="dxa" w:w="1722"/>
            <w:vAlign w:val="center"/>
            <w:shd w:fill="F2F2F2"/>
          </w:tcPr>
          <w:p>
            <w:pPr>
              <w:keepNext/>
              <w:spacing w:after="0" w:before="0" w:line="240" w:lineRule="auto"/>
            </w:pPr>
            <w:r>
              <w:rPr>
                <w:rFonts w:ascii="Calibri" w:hAnsi="Calibri"/>
                <w:b/>
                <w:sz w:val="19"/>
              </w:rPr>
              <w:t>merge</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1722"/>
            <w:vAlign w:val="center"/>
          </w:tcPr>
          <w:p>
            <w:pPr>
              <w:keepNext w:val="0"/>
              <w:spacing w:after="0" w:before="0" w:line="240" w:lineRule="auto"/>
            </w:pPr>
            <w:r>
              <w:rPr>
                <w:rFonts w:ascii="Calibri" w:hAnsi="Calibri"/>
                <w:b w:val="0"/>
                <w:sz w:val="19"/>
              </w:rPr>
              <w:t>MaskDeltaGRU</w:t>
            </w:r>
          </w:p>
        </w:tc>
        <w:tc>
          <w:tcPr>
            <w:tcW w:type="dxa" w:w="1722"/>
            <w:vAlign w:val="center"/>
          </w:tcPr>
          <w:p>
            <w:pPr>
              <w:keepNext w:val="0"/>
              <w:spacing w:after="0" w:before="0" w:line="240" w:lineRule="auto"/>
              <w:jc w:val="right"/>
            </w:pPr>
            <w:r>
              <w:rPr>
                <w:rFonts w:ascii="Calibri" w:hAnsi="Calibri"/>
                <w:b w:val="0"/>
                <w:sz w:val="19"/>
              </w:rPr>
              <w:t>0.220</w:t>
            </w:r>
          </w:p>
        </w:tc>
        <w:tc>
          <w:tcPr>
            <w:tcW w:type="dxa" w:w="1722"/>
            <w:vAlign w:val="center"/>
          </w:tcPr>
          <w:p>
            <w:pPr>
              <w:keepNext w:val="0"/>
              <w:spacing w:after="0" w:before="0" w:line="240" w:lineRule="auto"/>
              <w:jc w:val="right"/>
            </w:pPr>
            <w:r>
              <w:rPr>
                <w:rFonts w:ascii="Calibri" w:hAnsi="Calibri"/>
                <w:b w:val="0"/>
                <w:sz w:val="19"/>
              </w:rPr>
              <w:t>0.316</w:t>
            </w:r>
          </w:p>
        </w:tc>
        <w:tc>
          <w:tcPr>
            <w:tcW w:type="dxa" w:w="1722"/>
            <w:vAlign w:val="center"/>
          </w:tcPr>
          <w:p>
            <w:pPr>
              <w:keepNext w:val="0"/>
              <w:spacing w:after="0" w:before="0" w:line="240" w:lineRule="auto"/>
              <w:jc w:val="right"/>
            </w:pPr>
            <w:r>
              <w:rPr>
                <w:rFonts w:ascii="Calibri" w:hAnsi="Calibri"/>
                <w:b w:val="0"/>
                <w:sz w:val="19"/>
              </w:rPr>
              <w:t>0.443</w:t>
            </w:r>
          </w:p>
        </w:tc>
        <w:tc>
          <w:tcPr>
            <w:tcW w:type="dxa" w:w="1722"/>
            <w:vAlign w:val="center"/>
          </w:tcPr>
          <w:p>
            <w:pPr>
              <w:keepNext w:val="0"/>
              <w:spacing w:after="0" w:before="0" w:line="240" w:lineRule="auto"/>
              <w:jc w:val="right"/>
            </w:pPr>
            <w:r>
              <w:rPr>
                <w:rFonts w:ascii="Calibri" w:hAnsi="Calibri"/>
                <w:b w:val="0"/>
                <w:sz w:val="19"/>
              </w:rPr>
              <w:t>0.515</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1722"/>
            <w:vAlign w:val="center"/>
          </w:tcPr>
          <w:p>
            <w:pPr>
              <w:keepNext w:val="0"/>
              <w:spacing w:after="0" w:before="0" w:line="240" w:lineRule="auto"/>
            </w:pPr>
            <w:r>
              <w:rPr>
                <w:rFonts w:ascii="Calibri" w:hAnsi="Calibri"/>
                <w:b w:val="0"/>
                <w:sz w:val="19"/>
              </w:rPr>
              <w:t>FixedSlots</w:t>
            </w:r>
          </w:p>
        </w:tc>
        <w:tc>
          <w:tcPr>
            <w:tcW w:type="dxa" w:w="1722"/>
            <w:vAlign w:val="center"/>
          </w:tcPr>
          <w:p>
            <w:pPr>
              <w:keepNext w:val="0"/>
              <w:spacing w:after="0" w:before="0" w:line="240" w:lineRule="auto"/>
              <w:jc w:val="right"/>
            </w:pPr>
            <w:r>
              <w:rPr>
                <w:rFonts w:ascii="Calibri" w:hAnsi="Calibri"/>
                <w:b w:val="0"/>
                <w:sz w:val="19"/>
              </w:rPr>
              <w:t>0.244</w:t>
            </w:r>
          </w:p>
        </w:tc>
        <w:tc>
          <w:tcPr>
            <w:tcW w:type="dxa" w:w="1722"/>
            <w:vAlign w:val="center"/>
          </w:tcPr>
          <w:p>
            <w:pPr>
              <w:keepNext w:val="0"/>
              <w:spacing w:after="0" w:before="0" w:line="240" w:lineRule="auto"/>
              <w:jc w:val="right"/>
            </w:pPr>
            <w:r>
              <w:rPr>
                <w:rFonts w:ascii="Calibri" w:hAnsi="Calibri"/>
                <w:b w:val="0"/>
                <w:sz w:val="19"/>
              </w:rPr>
              <w:t>0.318</w:t>
            </w:r>
          </w:p>
        </w:tc>
        <w:tc>
          <w:tcPr>
            <w:tcW w:type="dxa" w:w="1722"/>
            <w:vAlign w:val="center"/>
          </w:tcPr>
          <w:p>
            <w:pPr>
              <w:keepNext w:val="0"/>
              <w:spacing w:after="0" w:before="0" w:line="240" w:lineRule="auto"/>
              <w:jc w:val="right"/>
            </w:pPr>
            <w:r>
              <w:rPr>
                <w:rFonts w:ascii="Calibri" w:hAnsi="Calibri"/>
                <w:b w:val="0"/>
                <w:sz w:val="19"/>
              </w:rPr>
              <w:t>0.504</w:t>
            </w:r>
          </w:p>
        </w:tc>
        <w:tc>
          <w:tcPr>
            <w:tcW w:type="dxa" w:w="1722"/>
            <w:vAlign w:val="center"/>
          </w:tcPr>
          <w:p>
            <w:pPr>
              <w:keepNext w:val="0"/>
              <w:spacing w:after="0" w:before="0" w:line="240" w:lineRule="auto"/>
              <w:jc w:val="right"/>
            </w:pPr>
            <w:r>
              <w:rPr>
                <w:rFonts w:ascii="Calibri" w:hAnsi="Calibri"/>
                <w:b w:val="0"/>
                <w:sz w:val="19"/>
              </w:rPr>
              <w:t>0.766</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1722"/>
            <w:vAlign w:val="center"/>
          </w:tcPr>
          <w:p>
            <w:pPr>
              <w:keepNext w:val="0"/>
              <w:spacing w:after="0" w:before="0" w:line="240" w:lineRule="auto"/>
            </w:pPr>
            <w:r>
              <w:rPr>
                <w:rFonts w:ascii="Calibri" w:hAnsi="Calibri"/>
                <w:b w:val="0"/>
                <w:sz w:val="19"/>
              </w:rPr>
              <w:t>DynamicSlots</w:t>
            </w:r>
          </w:p>
        </w:tc>
        <w:tc>
          <w:tcPr>
            <w:tcW w:type="dxa" w:w="1722"/>
            <w:vAlign w:val="center"/>
          </w:tcPr>
          <w:p>
            <w:pPr>
              <w:keepNext w:val="0"/>
              <w:spacing w:after="0" w:before="0" w:line="240" w:lineRule="auto"/>
              <w:jc w:val="right"/>
            </w:pPr>
            <w:r>
              <w:rPr>
                <w:rFonts w:ascii="Calibri" w:hAnsi="Calibri"/>
                <w:b w:val="0"/>
                <w:sz w:val="19"/>
              </w:rPr>
              <w:t>0.360</w:t>
            </w:r>
          </w:p>
        </w:tc>
        <w:tc>
          <w:tcPr>
            <w:tcW w:type="dxa" w:w="1722"/>
            <w:vAlign w:val="center"/>
          </w:tcPr>
          <w:p>
            <w:pPr>
              <w:keepNext w:val="0"/>
              <w:spacing w:after="0" w:before="0" w:line="240" w:lineRule="auto"/>
              <w:jc w:val="right"/>
            </w:pPr>
            <w:r>
              <w:rPr>
                <w:rFonts w:ascii="Calibri" w:hAnsi="Calibri"/>
                <w:b w:val="0"/>
                <w:sz w:val="19"/>
              </w:rPr>
              <w:t>0.401</w:t>
            </w:r>
          </w:p>
        </w:tc>
        <w:tc>
          <w:tcPr>
            <w:tcW w:type="dxa" w:w="1722"/>
            <w:vAlign w:val="center"/>
          </w:tcPr>
          <w:p>
            <w:pPr>
              <w:keepNext w:val="0"/>
              <w:spacing w:after="0" w:before="0" w:line="240" w:lineRule="auto"/>
              <w:jc w:val="right"/>
            </w:pPr>
            <w:r>
              <w:rPr>
                <w:rFonts w:ascii="Calibri" w:hAnsi="Calibri"/>
                <w:b w:val="0"/>
                <w:sz w:val="19"/>
              </w:rPr>
              <w:t>0.618</w:t>
            </w:r>
          </w:p>
        </w:tc>
        <w:tc>
          <w:tcPr>
            <w:tcW w:type="dxa" w:w="1722"/>
            <w:vAlign w:val="center"/>
          </w:tcPr>
          <w:p>
            <w:pPr>
              <w:keepNext w:val="0"/>
              <w:spacing w:after="0" w:before="0" w:line="240" w:lineRule="auto"/>
              <w:jc w:val="right"/>
            </w:pPr>
            <w:r>
              <w:rPr>
                <w:rFonts w:ascii="Calibri" w:hAnsi="Calibri"/>
                <w:b w:val="0"/>
                <w:sz w:val="19"/>
              </w:rPr>
              <w:t>1.077</w:t>
            </w:r>
          </w:p>
        </w:tc>
      </w:tr>
      <w:tr>
        <w:trPr>
          <w:cantSplit/>
        </w:trPr>
        <w:tc>
          <w:tcPr>
            <w:tcW w:type="dxa" w:w="1613"/>
            <w:vAlign w:val="center"/>
          </w:tcPr>
          <w:p>
            <w:pPr>
              <w:keepNext w:val="0"/>
              <w:spacing w:after="0" w:before="0" w:line="240" w:lineRule="auto"/>
            </w:pPr>
            <w:r>
              <w:rPr>
                <w:rFonts w:ascii="Calibri" w:hAnsi="Calibri"/>
                <w:b w:val="0"/>
                <w:sz w:val="19"/>
              </w:rPr>
              <w:t>Irregular</w:t>
            </w:r>
          </w:p>
        </w:tc>
        <w:tc>
          <w:tcPr>
            <w:tcW w:type="dxa" w:w="1722"/>
            <w:vAlign w:val="center"/>
          </w:tcPr>
          <w:p>
            <w:pPr>
              <w:keepNext w:val="0"/>
              <w:spacing w:after="0" w:before="0" w:line="240" w:lineRule="auto"/>
            </w:pPr>
            <w:r>
              <w:rPr>
                <w:rFonts w:ascii="Calibri" w:hAnsi="Calibri"/>
                <w:b w:val="0"/>
                <w:sz w:val="19"/>
              </w:rPr>
              <w:t>MaskDeltaGRU</w:t>
            </w:r>
          </w:p>
        </w:tc>
        <w:tc>
          <w:tcPr>
            <w:tcW w:type="dxa" w:w="1722"/>
            <w:vAlign w:val="center"/>
          </w:tcPr>
          <w:p>
            <w:pPr>
              <w:keepNext w:val="0"/>
              <w:spacing w:after="0" w:before="0" w:line="240" w:lineRule="auto"/>
              <w:jc w:val="right"/>
            </w:pPr>
            <w:r>
              <w:rPr>
                <w:rFonts w:ascii="Calibri" w:hAnsi="Calibri"/>
                <w:b w:val="0"/>
                <w:sz w:val="19"/>
              </w:rPr>
              <w:t>0.366</w:t>
            </w:r>
          </w:p>
        </w:tc>
        <w:tc>
          <w:tcPr>
            <w:tcW w:type="dxa" w:w="1722"/>
            <w:vAlign w:val="center"/>
          </w:tcPr>
          <w:p>
            <w:pPr>
              <w:keepNext w:val="0"/>
              <w:spacing w:after="0" w:before="0" w:line="240" w:lineRule="auto"/>
              <w:jc w:val="right"/>
            </w:pPr>
            <w:r>
              <w:rPr>
                <w:rFonts w:ascii="Calibri" w:hAnsi="Calibri"/>
                <w:b w:val="0"/>
                <w:sz w:val="19"/>
              </w:rPr>
              <w:t>0.466</w:t>
            </w:r>
          </w:p>
        </w:tc>
        <w:tc>
          <w:tcPr>
            <w:tcW w:type="dxa" w:w="1722"/>
            <w:vAlign w:val="center"/>
          </w:tcPr>
          <w:p>
            <w:pPr>
              <w:keepNext w:val="0"/>
              <w:spacing w:after="0" w:before="0" w:line="240" w:lineRule="auto"/>
              <w:jc w:val="right"/>
            </w:pPr>
            <w:r>
              <w:rPr>
                <w:rFonts w:ascii="Calibri" w:hAnsi="Calibri"/>
                <w:b w:val="0"/>
                <w:sz w:val="19"/>
              </w:rPr>
              <w:t>0.526</w:t>
            </w:r>
          </w:p>
        </w:tc>
        <w:tc>
          <w:tcPr>
            <w:tcW w:type="dxa" w:w="1722"/>
            <w:vAlign w:val="center"/>
          </w:tcPr>
          <w:p>
            <w:pPr>
              <w:keepNext w:val="0"/>
              <w:spacing w:after="0" w:before="0" w:line="240" w:lineRule="auto"/>
              <w:jc w:val="right"/>
            </w:pPr>
            <w:r>
              <w:rPr>
                <w:rFonts w:ascii="Calibri" w:hAnsi="Calibri"/>
                <w:b w:val="0"/>
                <w:sz w:val="19"/>
              </w:rPr>
              <w:t>0.600</w:t>
            </w:r>
          </w:p>
        </w:tc>
      </w:tr>
      <w:tr>
        <w:trPr>
          <w:cantSplit/>
        </w:trPr>
        <w:tc>
          <w:tcPr>
            <w:tcW w:type="dxa" w:w="1613"/>
            <w:vAlign w:val="center"/>
          </w:tcPr>
          <w:p>
            <w:pPr>
              <w:keepNext w:val="0"/>
              <w:spacing w:after="0" w:before="0" w:line="240" w:lineRule="auto"/>
            </w:pPr>
            <w:r>
              <w:rPr>
                <w:rFonts w:ascii="Calibri" w:hAnsi="Calibri"/>
                <w:b w:val="0"/>
                <w:sz w:val="19"/>
              </w:rPr>
              <w:t>Irregular</w:t>
            </w:r>
          </w:p>
        </w:tc>
        <w:tc>
          <w:tcPr>
            <w:tcW w:type="dxa" w:w="1722"/>
            <w:vAlign w:val="center"/>
          </w:tcPr>
          <w:p>
            <w:pPr>
              <w:keepNext w:val="0"/>
              <w:spacing w:after="0" w:before="0" w:line="240" w:lineRule="auto"/>
            </w:pPr>
            <w:r>
              <w:rPr>
                <w:rFonts w:ascii="Calibri" w:hAnsi="Calibri"/>
                <w:b w:val="0"/>
                <w:sz w:val="19"/>
              </w:rPr>
              <w:t>FixedSlots</w:t>
            </w:r>
          </w:p>
        </w:tc>
        <w:tc>
          <w:tcPr>
            <w:tcW w:type="dxa" w:w="1722"/>
            <w:vAlign w:val="center"/>
          </w:tcPr>
          <w:p>
            <w:pPr>
              <w:keepNext w:val="0"/>
              <w:spacing w:after="0" w:before="0" w:line="240" w:lineRule="auto"/>
              <w:jc w:val="right"/>
            </w:pPr>
            <w:r>
              <w:rPr>
                <w:rFonts w:ascii="Calibri" w:hAnsi="Calibri"/>
                <w:b w:val="0"/>
                <w:sz w:val="19"/>
              </w:rPr>
              <w:t>0.516</w:t>
            </w:r>
          </w:p>
        </w:tc>
        <w:tc>
          <w:tcPr>
            <w:tcW w:type="dxa" w:w="1722"/>
            <w:vAlign w:val="center"/>
          </w:tcPr>
          <w:p>
            <w:pPr>
              <w:keepNext w:val="0"/>
              <w:spacing w:after="0" w:before="0" w:line="240" w:lineRule="auto"/>
              <w:jc w:val="right"/>
            </w:pPr>
            <w:r>
              <w:rPr>
                <w:rFonts w:ascii="Calibri" w:hAnsi="Calibri"/>
                <w:b w:val="0"/>
                <w:sz w:val="19"/>
              </w:rPr>
              <w:t>0.523</w:t>
            </w:r>
          </w:p>
        </w:tc>
        <w:tc>
          <w:tcPr>
            <w:tcW w:type="dxa" w:w="1722"/>
            <w:vAlign w:val="center"/>
          </w:tcPr>
          <w:p>
            <w:pPr>
              <w:keepNext w:val="0"/>
              <w:spacing w:after="0" w:before="0" w:line="240" w:lineRule="auto"/>
              <w:jc w:val="right"/>
            </w:pPr>
            <w:r>
              <w:rPr>
                <w:rFonts w:ascii="Calibri" w:hAnsi="Calibri"/>
                <w:b w:val="0"/>
                <w:sz w:val="19"/>
              </w:rPr>
              <w:t>0.592</w:t>
            </w:r>
          </w:p>
        </w:tc>
        <w:tc>
          <w:tcPr>
            <w:tcW w:type="dxa" w:w="1722"/>
            <w:vAlign w:val="center"/>
          </w:tcPr>
          <w:p>
            <w:pPr>
              <w:keepNext w:val="0"/>
              <w:spacing w:after="0" w:before="0" w:line="240" w:lineRule="auto"/>
              <w:jc w:val="right"/>
            </w:pPr>
            <w:r>
              <w:rPr>
                <w:rFonts w:ascii="Calibri" w:hAnsi="Calibri"/>
                <w:b w:val="0"/>
                <w:sz w:val="19"/>
              </w:rPr>
              <w:t>1.007</w:t>
            </w:r>
          </w:p>
        </w:tc>
      </w:tr>
      <w:tr>
        <w:trPr>
          <w:cantSplit/>
        </w:trPr>
        <w:tc>
          <w:tcPr>
            <w:tcW w:type="dxa" w:w="1613"/>
            <w:vAlign w:val="center"/>
          </w:tcPr>
          <w:p>
            <w:pPr>
              <w:keepNext/>
              <w:spacing w:after="0" w:before="0" w:line="240" w:lineRule="auto"/>
            </w:pPr>
            <w:r>
              <w:rPr>
                <w:rFonts w:ascii="Calibri" w:hAnsi="Calibri"/>
                <w:b w:val="0"/>
                <w:sz w:val="19"/>
              </w:rPr>
              <w:t>Irregular</w:t>
            </w:r>
          </w:p>
        </w:tc>
        <w:tc>
          <w:tcPr>
            <w:tcW w:type="dxa" w:w="1722"/>
            <w:vAlign w:val="center"/>
          </w:tcPr>
          <w:p>
            <w:pPr>
              <w:keepNext/>
              <w:spacing w:after="0" w:before="0" w:line="240" w:lineRule="auto"/>
            </w:pPr>
            <w:r>
              <w:rPr>
                <w:rFonts w:ascii="Calibri" w:hAnsi="Calibri"/>
                <w:b w:val="0"/>
                <w:sz w:val="19"/>
              </w:rPr>
              <w:t>DynamicSlots</w:t>
            </w:r>
          </w:p>
        </w:tc>
        <w:tc>
          <w:tcPr>
            <w:tcW w:type="dxa" w:w="1722"/>
            <w:vAlign w:val="center"/>
          </w:tcPr>
          <w:p>
            <w:pPr>
              <w:keepNext/>
              <w:spacing w:after="0" w:before="0" w:line="240" w:lineRule="auto"/>
              <w:jc w:val="right"/>
            </w:pPr>
            <w:r>
              <w:rPr>
                <w:rFonts w:ascii="Calibri" w:hAnsi="Calibri"/>
                <w:b w:val="0"/>
                <w:sz w:val="19"/>
              </w:rPr>
              <w:t>0.612</w:t>
            </w:r>
          </w:p>
        </w:tc>
        <w:tc>
          <w:tcPr>
            <w:tcW w:type="dxa" w:w="1722"/>
            <w:vAlign w:val="center"/>
          </w:tcPr>
          <w:p>
            <w:pPr>
              <w:keepNext/>
              <w:spacing w:after="0" w:before="0" w:line="240" w:lineRule="auto"/>
              <w:jc w:val="right"/>
            </w:pPr>
            <w:r>
              <w:rPr>
                <w:rFonts w:ascii="Calibri" w:hAnsi="Calibri"/>
                <w:b w:val="0"/>
                <w:sz w:val="19"/>
              </w:rPr>
              <w:t>0.582</w:t>
            </w:r>
          </w:p>
        </w:tc>
        <w:tc>
          <w:tcPr>
            <w:tcW w:type="dxa" w:w="1722"/>
            <w:vAlign w:val="center"/>
          </w:tcPr>
          <w:p>
            <w:pPr>
              <w:keepNext/>
              <w:spacing w:after="0" w:before="0" w:line="240" w:lineRule="auto"/>
              <w:jc w:val="right"/>
            </w:pPr>
            <w:r>
              <w:rPr>
                <w:rFonts w:ascii="Calibri" w:hAnsi="Calibri"/>
                <w:b w:val="0"/>
                <w:sz w:val="19"/>
              </w:rPr>
              <w:t>0.652</w:t>
            </w:r>
          </w:p>
        </w:tc>
        <w:tc>
          <w:tcPr>
            <w:tcW w:type="dxa" w:w="1722"/>
            <w:vAlign w:val="center"/>
          </w:tcPr>
          <w:p>
            <w:pPr>
              <w:keepNext/>
              <w:spacing w:after="0" w:before="0" w:line="240" w:lineRule="auto"/>
              <w:jc w:val="right"/>
            </w:pPr>
            <w:r>
              <w:rPr>
                <w:rFonts w:ascii="Calibri" w:hAnsi="Calibri"/>
                <w:b w:val="0"/>
                <w:sz w:val="19"/>
              </w:rPr>
              <w:t>1.186</w:t>
            </w:r>
          </w:p>
        </w:tc>
      </w:tr>
    </w:tbl>
    <w:p>
      <w:pPr>
        <w:keepLines/>
        <w:spacing w:before="60" w:after="120"/>
      </w:pPr>
      <w:r>
        <w:rPr>
          <w:sz w:val="18"/>
        </w:rPr>
        <w:t>Controlled simulation.</w:t>
      </w:r>
    </w:p>
    <w:p>
      <w:r>
        <w:t>Merging is the most difficult event across the compared architectures. MaskDeltaGRU merge MSE is 0.5149 under regular sampling and 0.5997 under irregular sampling. FixedSlots gives 0.7664 and 1.0065, and DynamicSlots is higher still. Merging requires reassignment of accumulated activity, burden and identity relationships.</w:t>
      </w:r>
    </w:p>
    <w:p>
      <w:r>
        <w:t>Death also requires more than setting presence to zero. Source forcing stops, but environmental and biomarker compartments continue to decay with their respective half-lives. The state representation must retain these downstream tails.</w:t>
      </w:r>
    </w:p>
    <w:p>
      <w:pPr>
        <w:keepNext/>
        <w:spacing w:after="60"/>
        <w:jc w:val="center"/>
      </w:pPr>
      <w:r>
        <w:drawing>
          <wp:inline xmlns:a="http://schemas.openxmlformats.org/drawingml/2006/main" xmlns:pic="http://schemas.openxmlformats.org/drawingml/2006/picture">
            <wp:extent cx="6309360" cy="3623500"/>
            <wp:docPr id="28" name="Picture 28"/>
            <wp:cNvGraphicFramePr>
              <a:graphicFrameLocks noChangeAspect="1"/>
            </wp:cNvGraphicFramePr>
            <a:graphic>
              <a:graphicData uri="http://schemas.openxmlformats.org/drawingml/2006/picture">
                <pic:pic>
                  <pic:nvPicPr>
                    <pic:cNvPr id="0" name="28_image28.png"/>
                    <pic:cNvPicPr/>
                  </pic:nvPicPr>
                  <pic:blipFill>
                    <a:blip r:embed="rId41"/>
                    <a:stretch>
                      <a:fillRect/>
                    </a:stretch>
                  </pic:blipFill>
                  <pic:spPr>
                    <a:xfrm>
                      <a:off x="0" y="0"/>
                      <a:ext cx="6309360" cy="3623500"/>
                    </a:xfrm>
                    <a:prstGeom prst="rect"/>
                  </pic:spPr>
                </pic:pic>
              </a:graphicData>
            </a:graphic>
          </wp:inline>
        </w:drawing>
      </w:r>
    </w:p>
    <w:p>
      <w:pPr>
        <w:pStyle w:val="Caption"/>
      </w:pPr>
      <w:r>
        <w:t>Figure 28. Lifecycle-event prediction error under regular and irregular sampling in the synthetic carrier world. Birth, branch, death and merge errors are evaluated against complete simulator truth.</w:t>
      </w:r>
    </w:p>
    <w:p>
      <w:pPr>
        <w:pStyle w:val="Heading3"/>
      </w:pPr>
      <w:r>
        <w:t>6.2.6 Latent-state information and its use by the predictor</w:t>
      </w:r>
    </w:p>
    <w:p>
      <w:r>
        <w:t>Under regular sampling, latent-state R² is 0.8029 for MaskDeltaGRU, 0.8291 for FixedSlots and 0.8307 for DynamicSlots. Under irregular sampling, the values are 0.6066, 0.6295 and 0.6335. Slot states better preserve the latent decomposition under these probes, but the tested transition and decoder do not exploit it sufficiently for improved forecasting.</w:t>
      </w:r>
    </w:p>
    <w:p>
      <w:r>
        <w:t>In the seed-23 audit, the correlation between DynamicSlots gate sum and effective carrier count is approximately 0.63 under regular sampling and 0.55 under irregular sampling. The gates carry count-related information, but branching and merging also require relational state changes.</w:t>
      </w:r>
    </w:p>
    <w:p>
      <w:pPr>
        <w:pStyle w:val="Heading3"/>
      </w:pPr>
      <w:r>
        <w:t>6.2.7 Lifecycle topology and the observation process</w:t>
      </w:r>
    </w:p>
    <w:p>
      <w:r>
        <w:t>The tracking profile gains two additional sets of descriptors.</w:t>
      </w:r>
    </w:p>
    <w:p>
      <w:pPr>
        <w:pStyle w:val="ListBullet"/>
      </w:pPr>
      <w:r>
        <w:t>Observation-process geometry includes masks, intervals, asynchronous modalities and assay-trigger rules.</w:t>
      </w:r>
    </w:p>
    <w:p>
      <w:pPr>
        <w:pStyle w:val="ListBullet"/>
      </w:pPr>
      <w:r>
        <w:t>Carrier topology includes birth, branching, death, merging and the associated ancestry and burden-transfer relationships.</w:t>
      </w:r>
    </w:p>
    <w:p>
      <w:r>
        <w:t>A candidate state representation is:</w:t>
      </w:r>
    </w:p>
    <w:p>
      <w:pPr>
        <w:spacing w:before="60" w:after="140"/>
        <w:jc w:val="center"/>
      </w:pPr>
      <m:oMath>
        <m:sSub>
          <m:e>
            <m:r>
              <m:t>S</m:t>
            </m:r>
          </m:e>
          <m:sub>
            <m:r>
              <m:t>t</m:t>
            </m:r>
          </m:sub>
        </m:sSub>
        <m:r>
          <m:t> = {carrier states, relation edges, residual tails, observation clocks}</m:t>
        </m:r>
      </m:oMath>
    </w:p>
    <w:p>
      <w:r>
        <w:t>Carrier states represent persistent processes; relation edges represent parentage or transfer; residual tails retain the effects of inactive sources; observation clocks record channel-specific staleness. These components define modelling requirements rather than recovered biological identities.</w:t>
      </w:r>
    </w:p>
    <w:p>
      <w:pPr>
        <w:pStyle w:val="Heading3"/>
      </w:pPr>
      <w:r>
        <w:t>6.2.8 Relational carrier state</w:t>
      </w:r>
    </w:p>
    <w:p>
      <w:r>
        <w:t>The presence-gate comparison motivates the directed relation-state formulation evaluated in experiment 012. Its proposed components are:</w:t>
      </w:r>
    </w:p>
    <w:p>
      <w:pPr>
        <w:pStyle w:val="ListBullet"/>
      </w:pPr>
      <w:r>
        <w:t>Node states for persistent carriers and their dynamics.</w:t>
      </w:r>
    </w:p>
    <w:p>
      <w:pPr>
        <w:pStyle w:val="ListBullet"/>
      </w:pPr>
      <w:r>
        <w:t>Edge states for branching, merging, ancestry or shared-source relations.</w:t>
      </w:r>
    </w:p>
    <w:p>
      <w:pPr>
        <w:pStyle w:val="ListBullet"/>
      </w:pPr>
      <w:r>
        <w:t>Candidate new nodes when existing states cannot account for additional predictive structure.</w:t>
      </w:r>
    </w:p>
    <w:p>
      <w:pPr>
        <w:pStyle w:val="ListBullet"/>
      </w:pPr>
      <w:r>
        <w:t>Dormancy or death operations that stop source forcing and retain downstream tails.</w:t>
      </w:r>
    </w:p>
    <w:p>
      <w:pPr>
        <w:pStyle w:val="ListBullet"/>
      </w:pPr>
      <w:r>
        <w:t>Merge operations that explicitly transfer accumulated burden and relevant history.</w:t>
      </w:r>
    </w:p>
    <w:p>
      <w:pPr>
        <w:pStyle w:val="ListBullet"/>
      </w:pPr>
      <w:r>
        <w:t>An observation-process module that retains masks and elapsed time separately from carrier dynamics.</w:t>
      </w:r>
    </w:p>
    <w:p>
      <w:r>
        <w:t>Carrier lifecycle and expert allocation both involve changing explanatory structure. Their semantic roles remain distinct, so a shared abstraction does not imply that carrier identities and computational experts are interchangeable.</w:t>
      </w:r>
    </w:p>
    <w:p>
      <w:pPr>
        <w:pStyle w:val="Heading3"/>
      </w:pPr>
      <w:r>
        <w:t>6.2.9 Evidence records</w:t>
      </w:r>
    </w:p>
    <w:p>
      <w:pPr>
        <w:spacing w:after="40"/>
      </w:pPr>
      <w:r>
        <w:rPr>
          <w:sz w:val="18"/>
        </w:rPr>
        <w:t>DYNAMIC_​CARRIER_​TRACKING_​011_​bundle.zip</w:t>
      </w:r>
    </w:p>
    <w:p>
      <w:pPr>
        <w:spacing w:after="40"/>
      </w:pPr>
      <w:r>
        <w:rPr>
          <w:sz w:val="18"/>
        </w:rPr>
        <w:t>DYNAMIC_​CARRIER_​TRACKING_​011/​model_​results_​seed23.csv</w:t>
      </w:r>
    </w:p>
    <w:p>
      <w:pPr>
        <w:spacing w:after="40"/>
      </w:pPr>
      <w:r>
        <w:rPr>
          <w:sz w:val="18"/>
        </w:rPr>
        <w:t>DYNAMIC_​CARRIER_​TRACKING_​011/​replicated_​summary.csv</w:t>
      </w:r>
    </w:p>
    <w:p>
      <w:pPr>
        <w:spacing w:after="40"/>
      </w:pPr>
      <w:r>
        <w:rPr>
          <w:sz w:val="18"/>
        </w:rPr>
        <w:t>DYNAMIC_​CARRIER_​TRACKING_​011/​replication_​seed47.csv</w:t>
      </w:r>
    </w:p>
    <w:p>
      <w:pPr>
        <w:spacing w:after="40"/>
      </w:pPr>
      <w:r>
        <w:rPr>
          <w:sz w:val="18"/>
        </w:rPr>
        <w:t>DYNAMIC_​CARRIER_​TRACKING_​011/​event_​error.png</w:t>
      </w:r>
    </w:p>
    <w:p>
      <w:pPr>
        <w:pStyle w:val="Heading2"/>
      </w:pPr>
      <w:r>
        <w:t>6.3 DYNAMIC-CARRIER-GRAPH-012 Relational state transfer for forecasting</w:t>
      </w:r>
    </w:p>
    <w:p>
      <w:pPr>
        <w:pStyle w:val="Heading3"/>
      </w:pPr>
      <w:r>
        <w:t>6.3.1 Using carrier structure in prediction</w:t>
      </w:r>
    </w:p>
    <w:p>
      <w:r>
        <w:t>Experiment 011 finds more decodable carrier state in slots but higher lifecycle prediction error than MaskDeltaGRU. Experiment 012 represents the tracking state as S_t={h_i, p_i, A_ij}_t: persistent carrier states h_i, continuous contribution strengths p_i and a learned directed relation field A_ij. This permits state messages between nodes during branching and merging.</w:t>
      </w:r>
    </w:p>
    <w:p>
      <w:pPr>
        <w:pStyle w:val="Heading3"/>
      </w:pPr>
      <w:r>
        <w:t>6.3.2 Controlled relational transfers</w:t>
      </w:r>
    </w:p>
    <w:p>
      <w:r>
        <w:t>The lifecycle world extends experiment 011. Birth introduces carrier 2 independently; branching transfers part of carrier 0's source, environmental and biomarker history to the similar carrier 3; death ends carrier 1's forcing but preserves its tails; merging transfers carrier 3's source, environmental and biomarker burden into carrier 2. Regular and irregular sampling are evaluated separately. Event labels, carrier identities, relation edges and latent states are withheld during training.</w:t>
      </w:r>
    </w:p>
    <w:p>
      <w:pPr>
        <w:pStyle w:val="Heading3"/>
      </w:pPr>
      <w:r>
        <w:t>6.3.3 Architectures</w:t>
      </w:r>
    </w:p>
    <w:p>
      <w:r>
        <w:t>MaskDeltaGRU receives values, masks and Δt. FixedSlots retains carriers without explicit relational operations. GraphSlots learns A_t[target, source] at each step and transmits messages from source to target nodes. GraphResidual adds a shared recurrent backbone, leaving common observation dynamics in the shared path and carrier-specific changes in relational residuals. ClockedGraphResidual also uses masks and measurement staleness to gate assimilation.</w:t>
      </w:r>
    </w:p>
    <w:p>
      <w:pPr>
        <w:pStyle w:val="Heading3"/>
      </w:pPr>
      <w:r>
        <w:t>6.3.4 Regular-sampling results</w:t>
      </w:r>
    </w:p>
    <w:p>
      <w:pPr>
        <w:pStyle w:val="Caption"/>
        <w:keepNext/>
      </w:pPr>
      <w:r>
        <w:t>Table 46. Relational carrier prediction under regular sampling.</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Sampling</w:t>
            </w:r>
          </w:p>
        </w:tc>
        <w:tc>
          <w:tcPr>
            <w:tcW w:type="dxa" w:w="2153"/>
            <w:vAlign w:val="center"/>
            <w:shd w:fill="F2F2F2"/>
          </w:tcPr>
          <w:p>
            <w:pPr>
              <w:keepNext/>
              <w:spacing w:after="0" w:before="0" w:line="240" w:lineRule="auto"/>
            </w:pPr>
            <w:r>
              <w:rPr>
                <w:rFonts w:ascii="Calibri" w:hAnsi="Calibri"/>
                <w:b/>
                <w:sz w:val="19"/>
              </w:rPr>
              <w:t>Model</w:t>
            </w:r>
          </w:p>
        </w:tc>
        <w:tc>
          <w:tcPr>
            <w:tcW w:type="dxa" w:w="2153"/>
            <w:vAlign w:val="center"/>
            <w:shd w:fill="F2F2F2"/>
          </w:tcPr>
          <w:p>
            <w:pPr>
              <w:keepNext/>
              <w:spacing w:after="0" w:before="0" w:line="240" w:lineRule="auto"/>
            </w:pPr>
            <w:r>
              <w:rPr>
                <w:rFonts w:ascii="Calibri" w:hAnsi="Calibri"/>
                <w:b/>
                <w:sz w:val="19"/>
              </w:rPr>
              <w:t>Full MSE</w:t>
            </w:r>
          </w:p>
        </w:tc>
        <w:tc>
          <w:tcPr>
            <w:tcW w:type="dxa" w:w="2153"/>
            <w:vAlign w:val="center"/>
            <w:shd w:fill="F2F2F2"/>
          </w:tcPr>
          <w:p>
            <w:pPr>
              <w:keepNext/>
              <w:spacing w:after="0" w:before="0" w:line="240" w:lineRule="auto"/>
            </w:pPr>
            <w:r>
              <w:rPr>
                <w:rFonts w:ascii="Calibri" w:hAnsi="Calibri"/>
                <w:b/>
                <w:sz w:val="19"/>
              </w:rPr>
              <w:t>Event MSE</w:t>
            </w:r>
          </w:p>
        </w:tc>
        <w:tc>
          <w:tcPr>
            <w:tcW w:type="dxa" w:w="2153"/>
            <w:vAlign w:val="center"/>
            <w:shd w:fill="F2F2F2"/>
          </w:tcPr>
          <w:p>
            <w:pPr>
              <w:keepNext/>
              <w:spacing w:after="0" w:before="0" w:line="240" w:lineRule="auto"/>
            </w:pPr>
            <w:r>
              <w:rPr>
                <w:rFonts w:ascii="Calibri" w:hAnsi="Calibri"/>
                <w:b/>
                <w:sz w:val="19"/>
              </w:rPr>
              <w:t>Latent R²</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2153"/>
            <w:vAlign w:val="center"/>
          </w:tcPr>
          <w:p>
            <w:pPr>
              <w:keepNext w:val="0"/>
              <w:spacing w:after="0" w:before="0" w:line="240" w:lineRule="auto"/>
            </w:pPr>
            <w:r>
              <w:rPr>
                <w:rFonts w:ascii="Calibri" w:hAnsi="Calibri"/>
                <w:b w:val="0"/>
                <w:sz w:val="19"/>
              </w:rPr>
              <w:t>MaskDeltaGRU</w:t>
            </w:r>
          </w:p>
        </w:tc>
        <w:tc>
          <w:tcPr>
            <w:tcW w:type="dxa" w:w="2153"/>
            <w:vAlign w:val="center"/>
          </w:tcPr>
          <w:p>
            <w:pPr>
              <w:keepNext w:val="0"/>
              <w:spacing w:after="0" w:before="0" w:line="240" w:lineRule="auto"/>
              <w:jc w:val="right"/>
            </w:pPr>
            <w:r>
              <w:rPr>
                <w:rFonts w:ascii="Calibri" w:hAnsi="Calibri"/>
                <w:b w:val="0"/>
                <w:sz w:val="19"/>
              </w:rPr>
              <w:t>0.2454</w:t>
            </w:r>
          </w:p>
        </w:tc>
        <w:tc>
          <w:tcPr>
            <w:tcW w:type="dxa" w:w="2153"/>
            <w:vAlign w:val="center"/>
          </w:tcPr>
          <w:p>
            <w:pPr>
              <w:keepNext w:val="0"/>
              <w:spacing w:after="0" w:before="0" w:line="240" w:lineRule="auto"/>
              <w:jc w:val="right"/>
            </w:pPr>
            <w:r>
              <w:rPr>
                <w:rFonts w:ascii="Calibri" w:hAnsi="Calibri"/>
                <w:b w:val="0"/>
                <w:sz w:val="19"/>
              </w:rPr>
              <w:t>0.2833</w:t>
            </w:r>
          </w:p>
        </w:tc>
        <w:tc>
          <w:tcPr>
            <w:tcW w:type="dxa" w:w="2153"/>
            <w:vAlign w:val="center"/>
          </w:tcPr>
          <w:p>
            <w:pPr>
              <w:keepNext w:val="0"/>
              <w:spacing w:after="0" w:before="0" w:line="240" w:lineRule="auto"/>
              <w:jc w:val="right"/>
            </w:pPr>
            <w:r>
              <w:rPr>
                <w:rFonts w:ascii="Calibri" w:hAnsi="Calibri"/>
                <w:b w:val="0"/>
                <w:sz w:val="19"/>
              </w:rPr>
              <w:t>0.8365</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2153"/>
            <w:vAlign w:val="center"/>
          </w:tcPr>
          <w:p>
            <w:pPr>
              <w:keepNext w:val="0"/>
              <w:spacing w:after="0" w:before="0" w:line="240" w:lineRule="auto"/>
            </w:pPr>
            <w:r>
              <w:rPr>
                <w:rFonts w:ascii="Calibri" w:hAnsi="Calibri"/>
                <w:b w:val="0"/>
                <w:sz w:val="19"/>
              </w:rPr>
              <w:t>FixedSlots</w:t>
            </w:r>
          </w:p>
        </w:tc>
        <w:tc>
          <w:tcPr>
            <w:tcW w:type="dxa" w:w="2153"/>
            <w:vAlign w:val="center"/>
          </w:tcPr>
          <w:p>
            <w:pPr>
              <w:keepNext w:val="0"/>
              <w:spacing w:after="0" w:before="0" w:line="240" w:lineRule="auto"/>
              <w:jc w:val="right"/>
            </w:pPr>
            <w:r>
              <w:rPr>
                <w:rFonts w:ascii="Calibri" w:hAnsi="Calibri"/>
                <w:b w:val="0"/>
                <w:sz w:val="19"/>
              </w:rPr>
              <w:t>0.2815</w:t>
            </w:r>
          </w:p>
        </w:tc>
        <w:tc>
          <w:tcPr>
            <w:tcW w:type="dxa" w:w="2153"/>
            <w:vAlign w:val="center"/>
          </w:tcPr>
          <w:p>
            <w:pPr>
              <w:keepNext w:val="0"/>
              <w:spacing w:after="0" w:before="0" w:line="240" w:lineRule="auto"/>
              <w:jc w:val="right"/>
            </w:pPr>
            <w:r>
              <w:rPr>
                <w:rFonts w:ascii="Calibri" w:hAnsi="Calibri"/>
                <w:b w:val="0"/>
                <w:sz w:val="19"/>
              </w:rPr>
              <w:t>0.3228</w:t>
            </w:r>
          </w:p>
        </w:tc>
        <w:tc>
          <w:tcPr>
            <w:tcW w:type="dxa" w:w="2153"/>
            <w:vAlign w:val="center"/>
          </w:tcPr>
          <w:p>
            <w:pPr>
              <w:keepNext w:val="0"/>
              <w:spacing w:after="0" w:before="0" w:line="240" w:lineRule="auto"/>
              <w:jc w:val="right"/>
            </w:pPr>
            <w:r>
              <w:rPr>
                <w:rFonts w:ascii="Calibri" w:hAnsi="Calibri"/>
                <w:b w:val="0"/>
                <w:sz w:val="19"/>
              </w:rPr>
              <w:t>0.8744</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2153"/>
            <w:vAlign w:val="center"/>
          </w:tcPr>
          <w:p>
            <w:pPr>
              <w:keepNext w:val="0"/>
              <w:spacing w:after="0" w:before="0" w:line="240" w:lineRule="auto"/>
            </w:pPr>
            <w:r>
              <w:rPr>
                <w:rFonts w:ascii="Calibri" w:hAnsi="Calibri"/>
                <w:b w:val="0"/>
                <w:sz w:val="19"/>
              </w:rPr>
              <w:t>GraphSlots</w:t>
            </w:r>
          </w:p>
        </w:tc>
        <w:tc>
          <w:tcPr>
            <w:tcW w:type="dxa" w:w="2153"/>
            <w:vAlign w:val="center"/>
          </w:tcPr>
          <w:p>
            <w:pPr>
              <w:keepNext w:val="0"/>
              <w:spacing w:after="0" w:before="0" w:line="240" w:lineRule="auto"/>
              <w:jc w:val="right"/>
            </w:pPr>
            <w:r>
              <w:rPr>
                <w:rFonts w:ascii="Calibri" w:hAnsi="Calibri"/>
                <w:b w:val="0"/>
                <w:sz w:val="19"/>
              </w:rPr>
              <w:t>0.3129</w:t>
            </w:r>
          </w:p>
        </w:tc>
        <w:tc>
          <w:tcPr>
            <w:tcW w:type="dxa" w:w="2153"/>
            <w:vAlign w:val="center"/>
          </w:tcPr>
          <w:p>
            <w:pPr>
              <w:keepNext w:val="0"/>
              <w:spacing w:after="0" w:before="0" w:line="240" w:lineRule="auto"/>
              <w:jc w:val="right"/>
            </w:pPr>
            <w:r>
              <w:rPr>
                <w:rFonts w:ascii="Calibri" w:hAnsi="Calibri"/>
                <w:b w:val="0"/>
                <w:sz w:val="19"/>
              </w:rPr>
              <w:t>0.3545</w:t>
            </w:r>
          </w:p>
        </w:tc>
        <w:tc>
          <w:tcPr>
            <w:tcW w:type="dxa" w:w="2153"/>
            <w:vAlign w:val="center"/>
          </w:tcPr>
          <w:p>
            <w:pPr>
              <w:keepNext w:val="0"/>
              <w:spacing w:after="0" w:before="0" w:line="240" w:lineRule="auto"/>
              <w:jc w:val="right"/>
            </w:pPr>
            <w:r>
              <w:rPr>
                <w:rFonts w:ascii="Calibri" w:hAnsi="Calibri"/>
                <w:b w:val="0"/>
                <w:sz w:val="19"/>
              </w:rPr>
              <w:t>0.8645</w:t>
            </w:r>
          </w:p>
        </w:tc>
      </w:tr>
      <w:tr>
        <w:trPr>
          <w:cantSplit/>
        </w:trPr>
        <w:tc>
          <w:tcPr>
            <w:tcW w:type="dxa" w:w="1613"/>
            <w:vAlign w:val="center"/>
          </w:tcPr>
          <w:p>
            <w:pPr>
              <w:keepNext w:val="0"/>
              <w:spacing w:after="0" w:before="0" w:line="240" w:lineRule="auto"/>
            </w:pPr>
            <w:r>
              <w:rPr>
                <w:rFonts w:ascii="Calibri" w:hAnsi="Calibri"/>
                <w:b w:val="0"/>
                <w:sz w:val="19"/>
              </w:rPr>
              <w:t>Regular</w:t>
            </w:r>
          </w:p>
        </w:tc>
        <w:tc>
          <w:tcPr>
            <w:tcW w:type="dxa" w:w="2153"/>
            <w:vAlign w:val="center"/>
          </w:tcPr>
          <w:p>
            <w:pPr>
              <w:keepNext w:val="0"/>
              <w:spacing w:after="0" w:before="0" w:line="240" w:lineRule="auto"/>
            </w:pPr>
            <w:r>
              <w:rPr>
                <w:rFonts w:ascii="Calibri" w:hAnsi="Calibri"/>
                <w:b w:val="0"/>
                <w:sz w:val="19"/>
              </w:rPr>
              <w:t>GraphResidual</w:t>
            </w:r>
          </w:p>
        </w:tc>
        <w:tc>
          <w:tcPr>
            <w:tcW w:type="dxa" w:w="2153"/>
            <w:vAlign w:val="center"/>
          </w:tcPr>
          <w:p>
            <w:pPr>
              <w:keepNext w:val="0"/>
              <w:spacing w:after="0" w:before="0" w:line="240" w:lineRule="auto"/>
              <w:jc w:val="right"/>
            </w:pPr>
            <w:r>
              <w:rPr>
                <w:rFonts w:ascii="Calibri" w:hAnsi="Calibri"/>
                <w:b w:val="0"/>
                <w:sz w:val="19"/>
              </w:rPr>
              <w:t>0.2093</w:t>
            </w:r>
          </w:p>
        </w:tc>
        <w:tc>
          <w:tcPr>
            <w:tcW w:type="dxa" w:w="2153"/>
            <w:vAlign w:val="center"/>
          </w:tcPr>
          <w:p>
            <w:pPr>
              <w:keepNext w:val="0"/>
              <w:spacing w:after="0" w:before="0" w:line="240" w:lineRule="auto"/>
              <w:jc w:val="right"/>
            </w:pPr>
            <w:r>
              <w:rPr>
                <w:rFonts w:ascii="Calibri" w:hAnsi="Calibri"/>
                <w:b w:val="0"/>
                <w:sz w:val="19"/>
              </w:rPr>
              <w:t>0.2443</w:t>
            </w:r>
          </w:p>
        </w:tc>
        <w:tc>
          <w:tcPr>
            <w:tcW w:type="dxa" w:w="2153"/>
            <w:vAlign w:val="center"/>
          </w:tcPr>
          <w:p>
            <w:pPr>
              <w:keepNext w:val="0"/>
              <w:spacing w:after="0" w:before="0" w:line="240" w:lineRule="auto"/>
              <w:jc w:val="right"/>
            </w:pPr>
            <w:r>
              <w:rPr>
                <w:rFonts w:ascii="Calibri" w:hAnsi="Calibri"/>
                <w:b w:val="0"/>
                <w:sz w:val="19"/>
              </w:rPr>
              <w:t>0.8790</w:t>
            </w:r>
          </w:p>
        </w:tc>
      </w:tr>
      <w:tr>
        <w:trPr>
          <w:cantSplit/>
        </w:trPr>
        <w:tc>
          <w:tcPr>
            <w:tcW w:type="dxa" w:w="1613"/>
            <w:vAlign w:val="center"/>
          </w:tcPr>
          <w:p>
            <w:pPr>
              <w:keepNext/>
              <w:spacing w:after="0" w:before="0" w:line="240" w:lineRule="auto"/>
            </w:pPr>
            <w:r>
              <w:rPr>
                <w:rFonts w:ascii="Calibri" w:hAnsi="Calibri"/>
                <w:b w:val="0"/>
                <w:sz w:val="19"/>
              </w:rPr>
              <w:t>Regular</w:t>
            </w:r>
          </w:p>
        </w:tc>
        <w:tc>
          <w:tcPr>
            <w:tcW w:type="dxa" w:w="2153"/>
            <w:vAlign w:val="center"/>
          </w:tcPr>
          <w:p>
            <w:pPr>
              <w:keepNext/>
              <w:spacing w:after="0" w:before="0" w:line="240" w:lineRule="auto"/>
            </w:pPr>
            <w:r>
              <w:rPr>
                <w:rFonts w:ascii="Calibri" w:hAnsi="Calibri"/>
                <w:b w:val="0"/>
                <w:sz w:val="19"/>
              </w:rPr>
              <w:t>Clocked​Graph​Residual</w:t>
            </w:r>
          </w:p>
        </w:tc>
        <w:tc>
          <w:tcPr>
            <w:tcW w:type="dxa" w:w="2153"/>
            <w:vAlign w:val="center"/>
          </w:tcPr>
          <w:p>
            <w:pPr>
              <w:keepNext/>
              <w:spacing w:after="0" w:before="0" w:line="240" w:lineRule="auto"/>
              <w:jc w:val="right"/>
            </w:pPr>
            <w:r>
              <w:rPr>
                <w:rFonts w:ascii="Calibri" w:hAnsi="Calibri"/>
                <w:b w:val="0"/>
                <w:sz w:val="19"/>
              </w:rPr>
              <w:t>0.2172</w:t>
            </w:r>
          </w:p>
        </w:tc>
        <w:tc>
          <w:tcPr>
            <w:tcW w:type="dxa" w:w="2153"/>
            <w:vAlign w:val="center"/>
          </w:tcPr>
          <w:p>
            <w:pPr>
              <w:keepNext/>
              <w:spacing w:after="0" w:before="0" w:line="240" w:lineRule="auto"/>
              <w:jc w:val="right"/>
            </w:pPr>
            <w:r>
              <w:rPr>
                <w:rFonts w:ascii="Calibri" w:hAnsi="Calibri"/>
                <w:b w:val="0"/>
                <w:sz w:val="19"/>
              </w:rPr>
              <w:t>0.2501</w:t>
            </w:r>
          </w:p>
        </w:tc>
        <w:tc>
          <w:tcPr>
            <w:tcW w:type="dxa" w:w="2153"/>
            <w:vAlign w:val="center"/>
          </w:tcPr>
          <w:p>
            <w:pPr>
              <w:keepNext/>
              <w:spacing w:after="0" w:before="0" w:line="240" w:lineRule="auto"/>
              <w:jc w:val="right"/>
            </w:pPr>
            <w:r>
              <w:rPr>
                <w:rFonts w:ascii="Calibri" w:hAnsi="Calibri"/>
                <w:b w:val="0"/>
                <w:sz w:val="19"/>
              </w:rPr>
              <w:t>0.8762</w:t>
            </w:r>
          </w:p>
        </w:tc>
      </w:tr>
    </w:tbl>
    <w:p>
      <w:pPr>
        <w:keepLines/>
        <w:spacing w:before="60" w:after="120"/>
      </w:pPr>
      <w:r>
        <w:rPr>
          <w:sz w:val="18"/>
        </w:rPr>
        <w:t>Controlled simulation. Lower MSE indicates lower prediction error within the same task and target scaling. Higher probe R² indicates more decodable target-state information.</w:t>
      </w:r>
    </w:p>
    <w:p>
      <w:r>
        <w:t>Relative to MaskDeltaGRU, GraphResidual reduces overall future error by approximately 14.7% and lifecycle-event error by approximately 13.8%. Latent carrier-state R² rises from 0.8365 to 0.8790. In this condition, relational residuals improve both forecast performance and the evaluated latent-state representation.</w:t>
      </w:r>
    </w:p>
    <w:p>
      <w:pPr>
        <w:keepNext/>
        <w:spacing w:after="60"/>
        <w:jc w:val="center"/>
      </w:pPr>
      <w:r>
        <w:drawing>
          <wp:inline xmlns:a="http://schemas.openxmlformats.org/drawingml/2006/main" xmlns:pic="http://schemas.openxmlformats.org/drawingml/2006/picture">
            <wp:extent cx="6309360" cy="3785616"/>
            <wp:docPr id="29" name="Picture 29"/>
            <wp:cNvGraphicFramePr>
              <a:graphicFrameLocks noChangeAspect="1"/>
            </wp:cNvGraphicFramePr>
            <a:graphic>
              <a:graphicData uri="http://schemas.openxmlformats.org/drawingml/2006/picture">
                <pic:pic>
                  <pic:nvPicPr>
                    <pic:cNvPr id="0" name="29_image29.png"/>
                    <pic:cNvPicPr/>
                  </pic:nvPicPr>
                  <pic:blipFill>
                    <a:blip r:embed="rId42"/>
                    <a:stretch>
                      <a:fillRect/>
                    </a:stretch>
                  </pic:blipFill>
                  <pic:spPr>
                    <a:xfrm>
                      <a:off x="0" y="0"/>
                      <a:ext cx="6309360" cy="3785616"/>
                    </a:xfrm>
                    <a:prstGeom prst="rect"/>
                  </pic:spPr>
                </pic:pic>
              </a:graphicData>
            </a:graphic>
          </wp:inline>
        </w:drawing>
      </w:r>
    </w:p>
    <w:p>
      <w:pPr>
        <w:pStyle w:val="Caption"/>
      </w:pPr>
      <w:r>
        <w:t>Figure 29. Lifecycle-event error under regular and irregular sampling in the synthetic relational carrier system. The comparison separates the benefit of relational computation from the effect of observation timing.</w:t>
      </w:r>
    </w:p>
    <w:p>
      <w:pPr>
        <w:keepNext/>
        <w:spacing w:after="60"/>
        <w:jc w:val="center"/>
      </w:pPr>
      <w:r>
        <w:drawing>
          <wp:inline xmlns:a="http://schemas.openxmlformats.org/drawingml/2006/main" xmlns:pic="http://schemas.openxmlformats.org/drawingml/2006/picture">
            <wp:extent cx="6309360" cy="3785616"/>
            <wp:docPr id="30" name="Picture 30"/>
            <wp:cNvGraphicFramePr>
              <a:graphicFrameLocks noChangeAspect="1"/>
            </wp:cNvGraphicFramePr>
            <a:graphic>
              <a:graphicData uri="http://schemas.openxmlformats.org/drawingml/2006/picture">
                <pic:pic>
                  <pic:nvPicPr>
                    <pic:cNvPr id="0" name="30_image30.png"/>
                    <pic:cNvPicPr/>
                  </pic:nvPicPr>
                  <pic:blipFill>
                    <a:blip r:embed="rId43"/>
                    <a:stretch>
                      <a:fillRect/>
                    </a:stretch>
                  </pic:blipFill>
                  <pic:spPr>
                    <a:xfrm>
                      <a:off x="0" y="0"/>
                      <a:ext cx="6309360" cy="3785616"/>
                    </a:xfrm>
                    <a:prstGeom prst="rect"/>
                  </pic:spPr>
                </pic:pic>
              </a:graphicData>
            </a:graphic>
          </wp:inline>
        </w:drawing>
      </w:r>
    </w:p>
    <w:p>
      <w:pPr>
        <w:pStyle w:val="Caption"/>
      </w:pPr>
      <w:r>
        <w:t>Figure 30. Latent carrier-state probe performance across architectures. R² measures post-hoc decodability of simulator state, which is withheld during training.</w:t>
      </w:r>
    </w:p>
    <w:p>
      <w:pPr>
        <w:pStyle w:val="Heading3"/>
      </w:pPr>
      <w:r>
        <w:t>6.3.5 Error by lifecycle event</w:t>
      </w:r>
    </w:p>
    <w:p>
      <w:r>
        <w:t>Under regular sampling, GraphResidual birth, branch, death and merge MSEs are 0.1536, 0.2512, 0.2602 and 0.3599. Merging remains the hardest event, but its error is lower than MaskDeltaGRU's 0.3977. The result supports combining a shared predictive state with local relational transfer.</w:t>
      </w:r>
    </w:p>
    <w:p>
      <w:pPr>
        <w:pStyle w:val="Heading3"/>
      </w:pPr>
      <w:r>
        <w:t>6.3.6 Irregular-sampling results</w:t>
      </w:r>
    </w:p>
    <w:p>
      <w:pPr>
        <w:pStyle w:val="Caption"/>
        <w:keepNext/>
      </w:pPr>
      <w:r>
        <w:t>Table 47. Relational carrier prediction under irregular sampling.</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2664"/>
            <w:vAlign w:val="center"/>
            <w:shd w:fill="F2F2F2"/>
          </w:tcPr>
          <w:p>
            <w:pPr>
              <w:keepNext/>
              <w:spacing w:after="0" w:before="0" w:line="240" w:lineRule="auto"/>
            </w:pPr>
            <w:r>
              <w:rPr>
                <w:rFonts w:ascii="Calibri" w:hAnsi="Calibri"/>
                <w:b/>
                <w:sz w:val="19"/>
              </w:rPr>
              <w:t>Full MSE</w:t>
            </w:r>
          </w:p>
        </w:tc>
        <w:tc>
          <w:tcPr>
            <w:tcW w:type="dxa" w:w="2664"/>
            <w:vAlign w:val="center"/>
            <w:shd w:fill="F2F2F2"/>
          </w:tcPr>
          <w:p>
            <w:pPr>
              <w:keepNext/>
              <w:spacing w:after="0" w:before="0" w:line="240" w:lineRule="auto"/>
            </w:pPr>
            <w:r>
              <w:rPr>
                <w:rFonts w:ascii="Calibri" w:hAnsi="Calibri"/>
                <w:b/>
                <w:sz w:val="19"/>
              </w:rPr>
              <w:t>Event MSE</w:t>
            </w:r>
          </w:p>
        </w:tc>
        <w:tc>
          <w:tcPr>
            <w:tcW w:type="dxa" w:w="2664"/>
            <w:vAlign w:val="center"/>
            <w:shd w:fill="F2F2F2"/>
          </w:tcPr>
          <w:p>
            <w:pPr>
              <w:keepNext/>
              <w:spacing w:after="0" w:before="0" w:line="240" w:lineRule="auto"/>
            </w:pPr>
            <w:r>
              <w:rPr>
                <w:rFonts w:ascii="Calibri" w:hAnsi="Calibri"/>
                <w:b/>
                <w:sz w:val="19"/>
              </w:rPr>
              <w:t>Latent R²</w:t>
            </w:r>
          </w:p>
        </w:tc>
      </w:tr>
      <w:tr>
        <w:trPr>
          <w:cantSplit/>
        </w:trPr>
        <w:tc>
          <w:tcPr>
            <w:tcW w:type="dxa" w:w="2232"/>
            <w:vAlign w:val="center"/>
          </w:tcPr>
          <w:p>
            <w:pPr>
              <w:keepNext w:val="0"/>
              <w:spacing w:after="0" w:before="0" w:line="240" w:lineRule="auto"/>
            </w:pPr>
            <w:r>
              <w:rPr>
                <w:rFonts w:ascii="Calibri" w:hAnsi="Calibri"/>
                <w:b w:val="0"/>
                <w:sz w:val="19"/>
              </w:rPr>
              <w:t>MaskDeltaGRU</w:t>
            </w:r>
          </w:p>
        </w:tc>
        <w:tc>
          <w:tcPr>
            <w:tcW w:type="dxa" w:w="2664"/>
            <w:vAlign w:val="center"/>
          </w:tcPr>
          <w:p>
            <w:pPr>
              <w:keepNext w:val="0"/>
              <w:spacing w:after="0" w:before="0" w:line="240" w:lineRule="auto"/>
              <w:jc w:val="right"/>
            </w:pPr>
            <w:r>
              <w:rPr>
                <w:rFonts w:ascii="Calibri" w:hAnsi="Calibri"/>
                <w:b w:val="0"/>
                <w:sz w:val="19"/>
              </w:rPr>
              <w:t>0.2884</w:t>
            </w:r>
          </w:p>
        </w:tc>
        <w:tc>
          <w:tcPr>
            <w:tcW w:type="dxa" w:w="2664"/>
            <w:vAlign w:val="center"/>
          </w:tcPr>
          <w:p>
            <w:pPr>
              <w:keepNext w:val="0"/>
              <w:spacing w:after="0" w:before="0" w:line="240" w:lineRule="auto"/>
              <w:jc w:val="right"/>
            </w:pPr>
            <w:r>
              <w:rPr>
                <w:rFonts w:ascii="Calibri" w:hAnsi="Calibri"/>
                <w:b w:val="0"/>
                <w:sz w:val="19"/>
              </w:rPr>
              <w:t>0.3315</w:t>
            </w:r>
          </w:p>
        </w:tc>
        <w:tc>
          <w:tcPr>
            <w:tcW w:type="dxa" w:w="2664"/>
            <w:vAlign w:val="center"/>
          </w:tcPr>
          <w:p>
            <w:pPr>
              <w:keepNext w:val="0"/>
              <w:spacing w:after="0" w:before="0" w:line="240" w:lineRule="auto"/>
              <w:jc w:val="right"/>
            </w:pPr>
            <w:r>
              <w:rPr>
                <w:rFonts w:ascii="Calibri" w:hAnsi="Calibri"/>
                <w:b w:val="0"/>
                <w:sz w:val="19"/>
              </w:rPr>
              <w:t>0.6331</w:t>
            </w:r>
          </w:p>
        </w:tc>
      </w:tr>
      <w:tr>
        <w:trPr>
          <w:cantSplit/>
        </w:trPr>
        <w:tc>
          <w:tcPr>
            <w:tcW w:type="dxa" w:w="2232"/>
            <w:vAlign w:val="center"/>
          </w:tcPr>
          <w:p>
            <w:pPr>
              <w:keepNext w:val="0"/>
              <w:spacing w:after="0" w:before="0" w:line="240" w:lineRule="auto"/>
            </w:pPr>
            <w:r>
              <w:rPr>
                <w:rFonts w:ascii="Calibri" w:hAnsi="Calibri"/>
                <w:b w:val="0"/>
                <w:sz w:val="19"/>
              </w:rPr>
              <w:t>GraphResidual</w:t>
            </w:r>
          </w:p>
        </w:tc>
        <w:tc>
          <w:tcPr>
            <w:tcW w:type="dxa" w:w="2664"/>
            <w:vAlign w:val="center"/>
          </w:tcPr>
          <w:p>
            <w:pPr>
              <w:keepNext w:val="0"/>
              <w:spacing w:after="0" w:before="0" w:line="240" w:lineRule="auto"/>
              <w:jc w:val="right"/>
            </w:pPr>
            <w:r>
              <w:rPr>
                <w:rFonts w:ascii="Calibri" w:hAnsi="Calibri"/>
                <w:b w:val="0"/>
                <w:sz w:val="19"/>
              </w:rPr>
              <w:t>0.2972</w:t>
            </w:r>
          </w:p>
        </w:tc>
        <w:tc>
          <w:tcPr>
            <w:tcW w:type="dxa" w:w="2664"/>
            <w:vAlign w:val="center"/>
          </w:tcPr>
          <w:p>
            <w:pPr>
              <w:keepNext w:val="0"/>
              <w:spacing w:after="0" w:before="0" w:line="240" w:lineRule="auto"/>
              <w:jc w:val="right"/>
            </w:pPr>
            <w:r>
              <w:rPr>
                <w:rFonts w:ascii="Calibri" w:hAnsi="Calibri"/>
                <w:b w:val="0"/>
                <w:sz w:val="19"/>
              </w:rPr>
              <w:t>0.3470</w:t>
            </w:r>
          </w:p>
        </w:tc>
        <w:tc>
          <w:tcPr>
            <w:tcW w:type="dxa" w:w="2664"/>
            <w:vAlign w:val="center"/>
          </w:tcPr>
          <w:p>
            <w:pPr>
              <w:keepNext w:val="0"/>
              <w:spacing w:after="0" w:before="0" w:line="240" w:lineRule="auto"/>
              <w:jc w:val="right"/>
            </w:pPr>
            <w:r>
              <w:rPr>
                <w:rFonts w:ascii="Calibri" w:hAnsi="Calibri"/>
                <w:b w:val="0"/>
                <w:sz w:val="19"/>
              </w:rPr>
              <w:t>0.6651</w:t>
            </w:r>
          </w:p>
        </w:tc>
      </w:tr>
      <w:tr>
        <w:trPr>
          <w:cantSplit/>
        </w:trPr>
        <w:tc>
          <w:tcPr>
            <w:tcW w:type="dxa" w:w="2232"/>
            <w:vAlign w:val="center"/>
          </w:tcPr>
          <w:p>
            <w:pPr>
              <w:keepNext/>
              <w:spacing w:after="0" w:before="0" w:line="240" w:lineRule="auto"/>
            </w:pPr>
            <w:r>
              <w:rPr>
                <w:rFonts w:ascii="Calibri" w:hAnsi="Calibri"/>
                <w:b w:val="0"/>
                <w:sz w:val="19"/>
              </w:rPr>
              <w:t>Clocked​Graph​Residual</w:t>
            </w:r>
          </w:p>
        </w:tc>
        <w:tc>
          <w:tcPr>
            <w:tcW w:type="dxa" w:w="2664"/>
            <w:vAlign w:val="center"/>
          </w:tcPr>
          <w:p>
            <w:pPr>
              <w:keepNext/>
              <w:spacing w:after="0" w:before="0" w:line="240" w:lineRule="auto"/>
              <w:jc w:val="right"/>
            </w:pPr>
            <w:r>
              <w:rPr>
                <w:rFonts w:ascii="Calibri" w:hAnsi="Calibri"/>
                <w:b w:val="0"/>
                <w:sz w:val="19"/>
              </w:rPr>
              <w:t>0.2972</w:t>
            </w:r>
          </w:p>
        </w:tc>
        <w:tc>
          <w:tcPr>
            <w:tcW w:type="dxa" w:w="2664"/>
            <w:vAlign w:val="center"/>
          </w:tcPr>
          <w:p>
            <w:pPr>
              <w:keepNext/>
              <w:spacing w:after="0" w:before="0" w:line="240" w:lineRule="auto"/>
              <w:jc w:val="right"/>
            </w:pPr>
            <w:r>
              <w:rPr>
                <w:rFonts w:ascii="Calibri" w:hAnsi="Calibri"/>
                <w:b w:val="0"/>
                <w:sz w:val="19"/>
              </w:rPr>
              <w:t>0.3460</w:t>
            </w:r>
          </w:p>
        </w:tc>
        <w:tc>
          <w:tcPr>
            <w:tcW w:type="dxa" w:w="2664"/>
            <w:vAlign w:val="center"/>
          </w:tcPr>
          <w:p>
            <w:pPr>
              <w:keepNext/>
              <w:spacing w:after="0" w:before="0" w:line="240" w:lineRule="auto"/>
              <w:jc w:val="right"/>
            </w:pPr>
            <w:r>
              <w:rPr>
                <w:rFonts w:ascii="Calibri" w:hAnsi="Calibri"/>
                <w:b w:val="0"/>
                <w:sz w:val="19"/>
              </w:rPr>
              <w:t>0.6737</w:t>
            </w:r>
          </w:p>
        </w:tc>
      </w:tr>
    </w:tbl>
    <w:p>
      <w:pPr>
        <w:keepLines/>
        <w:spacing w:before="60" w:after="120"/>
      </w:pPr>
      <w:r>
        <w:rPr>
          <w:sz w:val="18"/>
        </w:rPr>
        <w:t>Controlled simulation. Lower MSE indicates lower prediction error within the same task and target scaling. Higher probe R² indicates more decodable target-state information.</w:t>
      </w:r>
    </w:p>
    <w:p>
      <w:r>
        <w:t>GraphResidual retains higher latent-state fidelity under irregular sampling, but its event error is approximately 4.7% higher than MaskDeltaGRU's. ClockedGraphResidual reduces that error by only approximately 0.3% relative to GraphResidual and remains approximately 4.4% above MaskDeltaGRU. The tested scalar clock gate therefore provides only a small adjustment to asynchronous assimilation.</w:t>
      </w:r>
    </w:p>
    <w:p>
      <w:pPr>
        <w:keepNext/>
        <w:spacing w:after="60"/>
        <w:jc w:val="center"/>
      </w:pPr>
      <w:r>
        <w:drawing>
          <wp:inline xmlns:a="http://schemas.openxmlformats.org/drawingml/2006/main" xmlns:pic="http://schemas.openxmlformats.org/drawingml/2006/picture">
            <wp:extent cx="6309360" cy="3785616"/>
            <wp:docPr id="31" name="Picture 31"/>
            <wp:cNvGraphicFramePr>
              <a:graphicFrameLocks noChangeAspect="1"/>
            </wp:cNvGraphicFramePr>
            <a:graphic>
              <a:graphicData uri="http://schemas.openxmlformats.org/drawingml/2006/picture">
                <pic:pic>
                  <pic:nvPicPr>
                    <pic:cNvPr id="0" name="31_image31.png"/>
                    <pic:cNvPicPr/>
                  </pic:nvPicPr>
                  <pic:blipFill>
                    <a:blip r:embed="rId44"/>
                    <a:stretch>
                      <a:fillRect/>
                    </a:stretch>
                  </pic:blipFill>
                  <pic:spPr>
                    <a:xfrm>
                      <a:off x="0" y="0"/>
                      <a:ext cx="6309360" cy="3785616"/>
                    </a:xfrm>
                    <a:prstGeom prst="rect"/>
                  </pic:spPr>
                </pic:pic>
              </a:graphicData>
            </a:graphic>
          </wp:inline>
        </w:drawing>
      </w:r>
    </w:p>
    <w:p>
      <w:pPr>
        <w:pStyle w:val="Caption"/>
      </w:pPr>
      <w:r>
        <w:t>Figure 31. Effect of the observation-clock gate under irregular sampling. The synthetic comparison reports event error for the recurrent baseline and relational residual models.</w:t>
      </w:r>
    </w:p>
    <w:p>
      <w:pPr>
        <w:pStyle w:val="Heading3"/>
      </w:pPr>
      <w:r>
        <w:t>6.3.7 Learned edges and simulator genealogy</w:t>
      </w:r>
    </w:p>
    <w:p>
      <w:r>
        <w:t>The simulator's branch edge 0→3 and merge edge 3→2 are used only for post-hoc evaluation. GraphResidual does not consistently assign higher weight to these edges. Under regular sampling, branch-edge weight is approximately 0.229 versus a non-true-source baseline of 0.257; merge-edge weight is approximately 0.248 versus 0.251. Under irregular sampling, the merge edge is slightly above baseline but the branch edge is not.</w:t>
      </w:r>
    </w:p>
    <w:p>
      <w:r>
        <w:t>The supported interpretation is a useful computational relation field. The learned weights do not establish recovery of causal ancestry or biological genealogy.</w:t>
      </w:r>
    </w:p>
    <w:p>
      <w:pPr>
        <w:keepNext/>
        <w:spacing w:after="60"/>
        <w:jc w:val="center"/>
      </w:pPr>
      <w:r>
        <w:drawing>
          <wp:inline xmlns:a="http://schemas.openxmlformats.org/drawingml/2006/main" xmlns:pic="http://schemas.openxmlformats.org/drawingml/2006/picture">
            <wp:extent cx="6309360" cy="3785616"/>
            <wp:docPr id="32" name="Picture 32"/>
            <wp:cNvGraphicFramePr>
              <a:graphicFrameLocks noChangeAspect="1"/>
            </wp:cNvGraphicFramePr>
            <a:graphic>
              <a:graphicData uri="http://schemas.openxmlformats.org/drawingml/2006/picture">
                <pic:pic>
                  <pic:nvPicPr>
                    <pic:cNvPr id="0" name="32_image32.png"/>
                    <pic:cNvPicPr/>
                  </pic:nvPicPr>
                  <pic:blipFill>
                    <a:blip r:embed="rId45"/>
                    <a:stretch>
                      <a:fillRect/>
                    </a:stretch>
                  </pic:blipFill>
                  <pic:spPr>
                    <a:xfrm>
                      <a:off x="0" y="0"/>
                      <a:ext cx="6309360" cy="3785616"/>
                    </a:xfrm>
                    <a:prstGeom prst="rect"/>
                  </pic:spPr>
                </pic:pic>
              </a:graphicData>
            </a:graphic>
          </wp:inline>
        </w:drawing>
      </w:r>
    </w:p>
    <w:p>
      <w:pPr>
        <w:pStyle w:val="Caption"/>
      </w:pPr>
      <w:r>
        <w:t>Figure 32. Post-hoc comparison of learned directed weights with the simulator's branch and merge edges. Edge weight is a computational quantity; alignment with known genealogy is evaluated separately.</w:t>
      </w:r>
    </w:p>
    <w:p>
      <w:pPr>
        <w:pStyle w:val="Heading3"/>
      </w:pPr>
      <w:r>
        <w:t>6.3.8 Two components of tracking state</w:t>
      </w:r>
    </w:p>
    <w:p>
      <w:r>
        <w:t>The representation separates observation-process state O_t={mask, Δt, modality-specific evidence, uncertainty} from carrier relation state C_t={persistent nodes, functional relation field, residual tails}. Prediction combines shared dynamics with relational carrier residuals.</w:t>
      </w:r>
    </w:p>
    <w:p>
      <w:r>
        <w:t>This organization resembles the shared-predictor-plus-local-residual structure evaluated earlier. Here the local components are persistent carrier states that exchange information through learned relations.</w:t>
      </w:r>
    </w:p>
    <w:p>
      <w:pPr>
        <w:pStyle w:val="Heading3"/>
      </w:pPr>
      <w:r>
        <w:t>6.3.9 Application mappings</w:t>
      </w:r>
    </w:p>
    <w:p>
      <w:r>
        <w:t>For exposure modelling, source attribution may require source activity, transport history, internal-burden tails and continuity through mixture or substitution. Asynchronous measurement clocks should be represented separately from the exposure mechanism.</w:t>
      </w:r>
    </w:p>
    <w:p>
      <w:r>
        <w:t>For infectious-disease tracking, a representation may need persistence, ancestry-related transfer, burden tails and assay clocks. The experiment supports testing such architectural components; the learned relation weights here have computational rather than validated genealogical meaning.</w:t>
      </w:r>
    </w:p>
    <w:p>
      <w:pPr>
        <w:pStyle w:val="Heading3"/>
      </w:pPr>
      <w:r>
        <w:t>6.3.10 Results synthesis</w:t>
      </w:r>
    </w:p>
    <w:p>
      <w:r>
        <w:t>In the regular-sampling comparison, a shared predictive backbone with relational carrier residuals outperforms the tested graph-only tracker.</w:t>
      </w:r>
    </w:p>
    <w:p>
      <w:r>
        <w:t>Carrier topology and observation timing introduce different state requirements: relational transfer for the former and asynchronous assimilation for the latter.</w:t>
      </w:r>
    </w:p>
    <w:p>
      <w:r>
        <w:t>Decodable latent structure improves prediction only when the transition and output operators can use it effectively.</w:t>
      </w:r>
    </w:p>
    <w:p>
      <w:pPr>
        <w:pStyle w:val="Heading3"/>
      </w:pPr>
      <w:r>
        <w:t>6.3.11 Evidence records</w:t>
      </w:r>
    </w:p>
    <w:p>
      <w:pPr>
        <w:spacing w:after="40"/>
      </w:pPr>
      <w:r>
        <w:rPr>
          <w:sz w:val="18"/>
        </w:rPr>
        <w:t>DYNAMIC_​CARRIER_​GRAPH_​012_​bundle.zip</w:t>
      </w:r>
    </w:p>
    <w:p>
      <w:pPr>
        <w:spacing w:after="40"/>
      </w:pPr>
      <w:r>
        <w:rPr>
          <w:sz w:val="18"/>
        </w:rPr>
        <w:t>DYNAMIC_​CARRIER_​GRAPH_​012/​model_​summary_​with_​clocked_​graph.csv</w:t>
      </w:r>
    </w:p>
    <w:p>
      <w:pPr>
        <w:spacing w:after="40"/>
      </w:pPr>
      <w:r>
        <w:rPr>
          <w:sz w:val="18"/>
        </w:rPr>
        <w:t>DYNAMIC_​CARRIER_​GRAPH_​012/​relation_​audit_​summary.csv</w:t>
      </w:r>
    </w:p>
    <w:p>
      <w:pPr>
        <w:spacing w:after="40"/>
      </w:pPr>
      <w:r>
        <w:rPr>
          <w:sz w:val="18"/>
        </w:rPr>
        <w:t>DYNAMIC_​CARRIER_​GRAPH_​012/​clocked_​graph_​summary.csv</w:t>
      </w:r>
    </w:p>
    <w:p>
      <w:pPr>
        <w:spacing w:after="40"/>
      </w:pPr>
      <w:r>
        <w:rPr>
          <w:sz w:val="18"/>
        </w:rPr>
        <w:t>DYNAMIC_​CARRIER_​GRAPH_​012/​event_​error.png</w:t>
      </w:r>
    </w:p>
    <w:p>
      <w:pPr>
        <w:spacing w:after="40"/>
      </w:pPr>
      <w:r>
        <w:rPr>
          <w:sz w:val="18"/>
        </w:rPr>
        <w:t>DYNAMIC_​CARRIER_​GRAPH_​012/​latent_​state_​probe.png</w:t>
      </w:r>
    </w:p>
    <w:p>
      <w:pPr>
        <w:spacing w:after="40"/>
      </w:pPr>
      <w:r>
        <w:rPr>
          <w:sz w:val="18"/>
        </w:rPr>
        <w:t>DYNAMIC_​CARRIER_​GRAPH_​012/​relation_​edges.png</w:t>
      </w:r>
    </w:p>
    <w:p>
      <w:pPr>
        <w:spacing w:after="40"/>
      </w:pPr>
      <w:r>
        <w:rPr>
          <w:sz w:val="18"/>
        </w:rPr>
        <w:t>DYNAMIC_​CARRIER_​GRAPH_​012/​clocked_​graph_​event_​error.png</w:t>
      </w:r>
    </w:p>
    <w:p>
      <w:pPr>
        <w:pStyle w:val="Heading2"/>
      </w:pPr>
      <w:r>
        <w:t>6.4 CONTINUOUS-TIME-EVENT-CARRIER-GRAPH-013 Observation events and physical time</w:t>
      </w:r>
    </w:p>
    <w:p>
      <w:pPr>
        <w:pStyle w:val="Heading3"/>
      </w:pPr>
      <w:r>
        <w:t>6.4.1 Time buckets and event sequences</w:t>
      </w:r>
    </w:p>
    <w:p>
      <w:r>
        <w:t>This experiment compares fixed time buckets with original observation events when exposure markers, biomarkers or pathogen-like assays arrive asynchronously. It asks when the actual intervals contain predictive information beyond event content and order.</w:t>
      </w:r>
    </w:p>
    <w:p>
      <w:r>
        <w:t>The relevant diagnostic is whether timing adds information that event values, order and observation density do not already supply.</w:t>
      </w:r>
    </w:p>
    <w:p>
      <w:pPr>
        <w:pStyle w:val="Heading3"/>
      </w:pPr>
      <w:r>
        <w:t>6.4.2 Continuous-time tracking construction</w:t>
      </w:r>
    </w:p>
    <w:p>
      <w:r>
        <w:t>A fine-time simulator with internal dt=0.1 contains three persistent carriers and the chain source dynamics → environmental transport → slow biomarker burden. It includes branching, source death and merging. The observer sees only measurements at each assay's asynchronous sampling times.</w:t>
      </w:r>
    </w:p>
    <w:p>
      <w:r>
        <w:t>Moderate and severe irregularity are tested. Every model receives the same history and predicts the complete observable state at a fixed horizon of +1.0 time unit from the query. This gives the forecasting target a common physical duration.</w:t>
      </w:r>
    </w:p>
    <w:p>
      <w:pPr>
        <w:pStyle w:val="Heading3"/>
      </w:pPr>
      <w:r>
        <w:t>6.4.3 Training representations</w:t>
      </w:r>
    </w:p>
    <w:p>
      <w:pPr>
        <w:pStyle w:val="ListNumber"/>
      </w:pPr>
      <w:r>
        <w:t>BucketGRU compresses the previous four time units into eight 0.5-unit buckets. Each bucket retains the last value, observation mask and elapsed time since the last observation.</w:t>
      </w:r>
    </w:p>
    <w:p>
      <w:pPr>
        <w:pStyle w:val="ListNumber"/>
      </w:pPr>
      <w:r>
        <w:t>EventGRU_NoTime retains event order and values but omits the true inter-event intervals.</w:t>
      </w:r>
    </w:p>
    <w:p>
      <w:pPr>
        <w:pStyle w:val="ListNumber"/>
      </w:pPr>
      <w:r>
        <w:t>EventGRU_Time retains the event sequence and true Δt.</w:t>
      </w:r>
    </w:p>
    <w:p>
      <w:pPr>
        <w:pStyle w:val="ListNumber"/>
      </w:pPr>
      <w:r>
        <w:t>CTGraphResidual combines event inputs, continuous exponential decay of carrier state, relational residuals and explicit propagation over the +1.0 horizon.</w:t>
      </w:r>
    </w:p>
    <w:p>
      <w:pPr>
        <w:pStyle w:val="Heading3"/>
      </w:pPr>
      <w:r>
        <w:t>6.4.4 Main representation comparison</w:t>
      </w:r>
    </w:p>
    <w:p>
      <w:pPr>
        <w:pStyle w:val="Caption"/>
        <w:keepNext/>
      </w:pPr>
      <w:r>
        <w:t>Table 48. Buckets and events at a common physical horizon.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Condition</w:t>
            </w:r>
          </w:p>
        </w:tc>
        <w:tc>
          <w:tcPr>
            <w:tcW w:type="dxa" w:w="1722"/>
            <w:vAlign w:val="center"/>
            <w:shd w:fill="F2F2F2"/>
          </w:tcPr>
          <w:p>
            <w:pPr>
              <w:keepNext/>
              <w:spacing w:after="0" w:before="0" w:line="240" w:lineRule="auto"/>
            </w:pPr>
            <w:r>
              <w:rPr>
                <w:rFonts w:ascii="Calibri" w:hAnsi="Calibri"/>
                <w:b/>
                <w:sz w:val="19"/>
              </w:rPr>
              <w:t>Model</w:t>
            </w:r>
          </w:p>
        </w:tc>
        <w:tc>
          <w:tcPr>
            <w:tcW w:type="dxa" w:w="1722"/>
            <w:vAlign w:val="center"/>
            <w:shd w:fill="F2F2F2"/>
          </w:tcPr>
          <w:p>
            <w:pPr>
              <w:keepNext/>
              <w:spacing w:after="0" w:before="0" w:line="240" w:lineRule="auto"/>
            </w:pPr>
            <w:r>
              <w:rPr>
                <w:rFonts w:ascii="Calibri" w:hAnsi="Calibri"/>
                <w:b/>
                <w:sz w:val="19"/>
              </w:rPr>
              <w:t>MSE all</w:t>
            </w:r>
          </w:p>
        </w:tc>
        <w:tc>
          <w:tcPr>
            <w:tcW w:type="dxa" w:w="1722"/>
            <w:vAlign w:val="center"/>
            <w:shd w:fill="F2F2F2"/>
          </w:tcPr>
          <w:p>
            <w:pPr>
              <w:keepNext/>
              <w:spacing w:after="0" w:before="0" w:line="240" w:lineRule="auto"/>
            </w:pPr>
            <w:r>
              <w:rPr>
                <w:rFonts w:ascii="Calibri" w:hAnsi="Calibri"/>
                <w:b/>
                <w:sz w:val="19"/>
              </w:rPr>
              <w:t>Lifecycle MSE</w:t>
            </w:r>
          </w:p>
        </w:tc>
        <w:tc>
          <w:tcPr>
            <w:tcW w:type="dxa" w:w="1722"/>
            <w:vAlign w:val="center"/>
            <w:shd w:fill="F2F2F2"/>
          </w:tcPr>
          <w:p>
            <w:pPr>
              <w:keepNext/>
              <w:spacing w:after="0" w:before="0" w:line="240" w:lineRule="auto"/>
            </w:pPr>
            <w:r>
              <w:rPr>
                <w:rFonts w:ascii="Calibri" w:hAnsi="Calibri"/>
                <w:b/>
                <w:sz w:val="19"/>
              </w:rPr>
              <w:t>No-lifecycle MSE</w:t>
            </w:r>
          </w:p>
        </w:tc>
        <w:tc>
          <w:tcPr>
            <w:tcW w:type="dxa" w:w="1722"/>
            <w:vAlign w:val="center"/>
            <w:shd w:fill="F2F2F2"/>
          </w:tcPr>
          <w:p>
            <w:pPr>
              <w:keepNext/>
              <w:spacing w:after="0" w:before="0" w:line="240" w:lineRule="auto"/>
            </w:pPr>
            <w:r>
              <w:rPr>
                <w:rFonts w:ascii="Calibri" w:hAnsi="Calibri"/>
                <w:b/>
                <w:sz w:val="19"/>
              </w:rPr>
              <w:t>Latent R²</w:t>
            </w:r>
          </w:p>
        </w:tc>
      </w:tr>
      <w:tr>
        <w:trPr>
          <w:cantSplit/>
        </w:trPr>
        <w:tc>
          <w:tcPr>
            <w:tcW w:type="dxa" w:w="1613"/>
            <w:vAlign w:val="center"/>
          </w:tcPr>
          <w:p>
            <w:pPr>
              <w:keepNext w:val="0"/>
              <w:spacing w:after="0" w:before="0" w:line="240" w:lineRule="auto"/>
            </w:pPr>
            <w:r>
              <w:rPr>
                <w:rFonts w:ascii="Calibri" w:hAnsi="Calibri"/>
                <w:b w:val="0"/>
                <w:sz w:val="19"/>
              </w:rPr>
              <w:t>Moderate</w:t>
            </w:r>
          </w:p>
        </w:tc>
        <w:tc>
          <w:tcPr>
            <w:tcW w:type="dxa" w:w="1722"/>
            <w:vAlign w:val="center"/>
          </w:tcPr>
          <w:p>
            <w:pPr>
              <w:keepNext w:val="0"/>
              <w:spacing w:after="0" w:before="0" w:line="240" w:lineRule="auto"/>
            </w:pPr>
            <w:r>
              <w:rPr>
                <w:rFonts w:ascii="Calibri" w:hAnsi="Calibri"/>
                <w:b w:val="0"/>
                <w:sz w:val="19"/>
              </w:rPr>
              <w:t>BucketGRU</w:t>
            </w:r>
          </w:p>
        </w:tc>
        <w:tc>
          <w:tcPr>
            <w:tcW w:type="dxa" w:w="1722"/>
            <w:vAlign w:val="center"/>
          </w:tcPr>
          <w:p>
            <w:pPr>
              <w:keepNext w:val="0"/>
              <w:spacing w:after="0" w:before="0" w:line="240" w:lineRule="auto"/>
              <w:jc w:val="right"/>
            </w:pPr>
            <w:r>
              <w:rPr>
                <w:rFonts w:ascii="Calibri" w:hAnsi="Calibri"/>
                <w:b w:val="0"/>
                <w:sz w:val="19"/>
              </w:rPr>
              <w:t>0.2800</w:t>
            </w:r>
          </w:p>
        </w:tc>
        <w:tc>
          <w:tcPr>
            <w:tcW w:type="dxa" w:w="1722"/>
            <w:vAlign w:val="center"/>
          </w:tcPr>
          <w:p>
            <w:pPr>
              <w:keepNext w:val="0"/>
              <w:spacing w:after="0" w:before="0" w:line="240" w:lineRule="auto"/>
              <w:jc w:val="right"/>
            </w:pPr>
            <w:r>
              <w:rPr>
                <w:rFonts w:ascii="Calibri" w:hAnsi="Calibri"/>
                <w:b w:val="0"/>
                <w:sz w:val="19"/>
              </w:rPr>
              <w:t>0.2783</w:t>
            </w:r>
          </w:p>
        </w:tc>
        <w:tc>
          <w:tcPr>
            <w:tcW w:type="dxa" w:w="1722"/>
            <w:vAlign w:val="center"/>
          </w:tcPr>
          <w:p>
            <w:pPr>
              <w:keepNext w:val="0"/>
              <w:spacing w:after="0" w:before="0" w:line="240" w:lineRule="auto"/>
              <w:jc w:val="right"/>
            </w:pPr>
            <w:r>
              <w:rPr>
                <w:rFonts w:ascii="Calibri" w:hAnsi="Calibri"/>
                <w:b w:val="0"/>
                <w:sz w:val="19"/>
              </w:rPr>
              <w:t>0.2807</w:t>
            </w:r>
          </w:p>
        </w:tc>
        <w:tc>
          <w:tcPr>
            <w:tcW w:type="dxa" w:w="1722"/>
            <w:vAlign w:val="center"/>
          </w:tcPr>
          <w:p>
            <w:pPr>
              <w:keepNext w:val="0"/>
              <w:spacing w:after="0" w:before="0" w:line="240" w:lineRule="auto"/>
              <w:jc w:val="right"/>
            </w:pPr>
            <w:r>
              <w:rPr>
                <w:rFonts w:ascii="Calibri" w:hAnsi="Calibri"/>
                <w:b w:val="0"/>
                <w:sz w:val="19"/>
              </w:rPr>
              <w:t>0.5394</w:t>
            </w:r>
          </w:p>
        </w:tc>
      </w:tr>
      <w:tr>
        <w:trPr>
          <w:cantSplit/>
        </w:trPr>
        <w:tc>
          <w:tcPr>
            <w:tcW w:type="dxa" w:w="1613"/>
            <w:vAlign w:val="center"/>
          </w:tcPr>
          <w:p>
            <w:pPr>
              <w:keepNext w:val="0"/>
              <w:spacing w:after="0" w:before="0" w:line="240" w:lineRule="auto"/>
            </w:pPr>
            <w:r>
              <w:rPr>
                <w:rFonts w:ascii="Calibri" w:hAnsi="Calibri"/>
                <w:b w:val="0"/>
                <w:sz w:val="19"/>
              </w:rPr>
              <w:t>Moderate</w:t>
            </w:r>
          </w:p>
        </w:tc>
        <w:tc>
          <w:tcPr>
            <w:tcW w:type="dxa" w:w="1722"/>
            <w:vAlign w:val="center"/>
          </w:tcPr>
          <w:p>
            <w:pPr>
              <w:keepNext w:val="0"/>
              <w:spacing w:after="0" w:before="0" w:line="240" w:lineRule="auto"/>
            </w:pPr>
            <w:r>
              <w:rPr>
                <w:rFonts w:ascii="Calibri" w:hAnsi="Calibri"/>
                <w:b w:val="0"/>
                <w:sz w:val="19"/>
              </w:rPr>
              <w:t>NoTime EventGRU</w:t>
            </w:r>
          </w:p>
        </w:tc>
        <w:tc>
          <w:tcPr>
            <w:tcW w:type="dxa" w:w="1722"/>
            <w:vAlign w:val="center"/>
          </w:tcPr>
          <w:p>
            <w:pPr>
              <w:keepNext w:val="0"/>
              <w:spacing w:after="0" w:before="0" w:line="240" w:lineRule="auto"/>
              <w:jc w:val="right"/>
            </w:pPr>
            <w:r>
              <w:rPr>
                <w:rFonts w:ascii="Calibri" w:hAnsi="Calibri"/>
                <w:b w:val="0"/>
                <w:sz w:val="19"/>
              </w:rPr>
              <w:t>0.3648</w:t>
            </w:r>
          </w:p>
        </w:tc>
        <w:tc>
          <w:tcPr>
            <w:tcW w:type="dxa" w:w="1722"/>
            <w:vAlign w:val="center"/>
          </w:tcPr>
          <w:p>
            <w:pPr>
              <w:keepNext w:val="0"/>
              <w:spacing w:after="0" w:before="0" w:line="240" w:lineRule="auto"/>
              <w:jc w:val="right"/>
            </w:pPr>
            <w:r>
              <w:rPr>
                <w:rFonts w:ascii="Calibri" w:hAnsi="Calibri"/>
                <w:b w:val="0"/>
                <w:sz w:val="19"/>
              </w:rPr>
              <w:t>0.3525</w:t>
            </w:r>
          </w:p>
        </w:tc>
        <w:tc>
          <w:tcPr>
            <w:tcW w:type="dxa" w:w="1722"/>
            <w:vAlign w:val="center"/>
          </w:tcPr>
          <w:p>
            <w:pPr>
              <w:keepNext w:val="0"/>
              <w:spacing w:after="0" w:before="0" w:line="240" w:lineRule="auto"/>
              <w:jc w:val="right"/>
            </w:pPr>
            <w:r>
              <w:rPr>
                <w:rFonts w:ascii="Calibri" w:hAnsi="Calibri"/>
                <w:b w:val="0"/>
                <w:sz w:val="19"/>
              </w:rPr>
              <w:t>0.3703</w:t>
            </w:r>
          </w:p>
        </w:tc>
        <w:tc>
          <w:tcPr>
            <w:tcW w:type="dxa" w:w="1722"/>
            <w:vAlign w:val="center"/>
          </w:tcPr>
          <w:p>
            <w:pPr>
              <w:keepNext w:val="0"/>
              <w:spacing w:after="0" w:before="0" w:line="240" w:lineRule="auto"/>
              <w:jc w:val="right"/>
            </w:pPr>
            <w:r>
              <w:rPr>
                <w:rFonts w:ascii="Calibri" w:hAnsi="Calibri"/>
                <w:b w:val="0"/>
                <w:sz w:val="19"/>
              </w:rPr>
              <w:t>0.5024</w:t>
            </w:r>
          </w:p>
        </w:tc>
      </w:tr>
      <w:tr>
        <w:trPr>
          <w:cantSplit/>
        </w:trPr>
        <w:tc>
          <w:tcPr>
            <w:tcW w:type="dxa" w:w="1613"/>
            <w:vAlign w:val="center"/>
          </w:tcPr>
          <w:p>
            <w:pPr>
              <w:keepNext w:val="0"/>
              <w:spacing w:after="0" w:before="0" w:line="240" w:lineRule="auto"/>
            </w:pPr>
            <w:r>
              <w:rPr>
                <w:rFonts w:ascii="Calibri" w:hAnsi="Calibri"/>
                <w:b w:val="0"/>
                <w:sz w:val="19"/>
              </w:rPr>
              <w:t>Moderate</w:t>
            </w:r>
          </w:p>
        </w:tc>
        <w:tc>
          <w:tcPr>
            <w:tcW w:type="dxa" w:w="1722"/>
            <w:vAlign w:val="center"/>
          </w:tcPr>
          <w:p>
            <w:pPr>
              <w:keepNext w:val="0"/>
              <w:spacing w:after="0" w:before="0" w:line="240" w:lineRule="auto"/>
            </w:pPr>
            <w:r>
              <w:rPr>
                <w:rFonts w:ascii="Calibri" w:hAnsi="Calibri"/>
                <w:b w:val="0"/>
                <w:sz w:val="19"/>
              </w:rPr>
              <w:t>Timed EventGRU</w:t>
            </w:r>
          </w:p>
        </w:tc>
        <w:tc>
          <w:tcPr>
            <w:tcW w:type="dxa" w:w="1722"/>
            <w:vAlign w:val="center"/>
          </w:tcPr>
          <w:p>
            <w:pPr>
              <w:keepNext w:val="0"/>
              <w:spacing w:after="0" w:before="0" w:line="240" w:lineRule="auto"/>
              <w:jc w:val="right"/>
            </w:pPr>
            <w:r>
              <w:rPr>
                <w:rFonts w:ascii="Calibri" w:hAnsi="Calibri"/>
                <w:b w:val="0"/>
                <w:sz w:val="19"/>
              </w:rPr>
              <w:t>0.3177</w:t>
            </w:r>
          </w:p>
        </w:tc>
        <w:tc>
          <w:tcPr>
            <w:tcW w:type="dxa" w:w="1722"/>
            <w:vAlign w:val="center"/>
          </w:tcPr>
          <w:p>
            <w:pPr>
              <w:keepNext w:val="0"/>
              <w:spacing w:after="0" w:before="0" w:line="240" w:lineRule="auto"/>
              <w:jc w:val="right"/>
            </w:pPr>
            <w:r>
              <w:rPr>
                <w:rFonts w:ascii="Calibri" w:hAnsi="Calibri"/>
                <w:b w:val="0"/>
                <w:sz w:val="19"/>
              </w:rPr>
              <w:t>0.3132</w:t>
            </w:r>
          </w:p>
        </w:tc>
        <w:tc>
          <w:tcPr>
            <w:tcW w:type="dxa" w:w="1722"/>
            <w:vAlign w:val="center"/>
          </w:tcPr>
          <w:p>
            <w:pPr>
              <w:keepNext w:val="0"/>
              <w:spacing w:after="0" w:before="0" w:line="240" w:lineRule="auto"/>
              <w:jc w:val="right"/>
            </w:pPr>
            <w:r>
              <w:rPr>
                <w:rFonts w:ascii="Calibri" w:hAnsi="Calibri"/>
                <w:b w:val="0"/>
                <w:sz w:val="19"/>
              </w:rPr>
              <w:t>0.3197</w:t>
            </w:r>
          </w:p>
        </w:tc>
        <w:tc>
          <w:tcPr>
            <w:tcW w:type="dxa" w:w="1722"/>
            <w:vAlign w:val="center"/>
          </w:tcPr>
          <w:p>
            <w:pPr>
              <w:keepNext w:val="0"/>
              <w:spacing w:after="0" w:before="0" w:line="240" w:lineRule="auto"/>
              <w:jc w:val="right"/>
            </w:pPr>
            <w:r>
              <w:rPr>
                <w:rFonts w:ascii="Calibri" w:hAnsi="Calibri"/>
                <w:b w:val="0"/>
                <w:sz w:val="19"/>
              </w:rPr>
              <w:t>0.4844</w:t>
            </w:r>
          </w:p>
        </w:tc>
      </w:tr>
      <w:tr>
        <w:trPr>
          <w:cantSplit/>
        </w:trPr>
        <w:tc>
          <w:tcPr>
            <w:tcW w:type="dxa" w:w="1613"/>
            <w:vAlign w:val="center"/>
          </w:tcPr>
          <w:p>
            <w:pPr>
              <w:keepNext w:val="0"/>
              <w:spacing w:after="0" w:before="0" w:line="240" w:lineRule="auto"/>
            </w:pPr>
            <w:r>
              <w:rPr>
                <w:rFonts w:ascii="Calibri" w:hAnsi="Calibri"/>
                <w:b w:val="0"/>
                <w:sz w:val="19"/>
              </w:rPr>
              <w:t>Moderate</w:t>
            </w:r>
          </w:p>
        </w:tc>
        <w:tc>
          <w:tcPr>
            <w:tcW w:type="dxa" w:w="1722"/>
            <w:vAlign w:val="center"/>
          </w:tcPr>
          <w:p>
            <w:pPr>
              <w:keepNext w:val="0"/>
              <w:spacing w:after="0" w:before="0" w:line="240" w:lineRule="auto"/>
            </w:pPr>
            <w:r>
              <w:rPr>
                <w:rFonts w:ascii="Calibri" w:hAnsi="Calibri"/>
                <w:b w:val="0"/>
                <w:sz w:val="19"/>
              </w:rPr>
              <w:t>CTGraph</w:t>
            </w:r>
          </w:p>
        </w:tc>
        <w:tc>
          <w:tcPr>
            <w:tcW w:type="dxa" w:w="1722"/>
            <w:vAlign w:val="center"/>
          </w:tcPr>
          <w:p>
            <w:pPr>
              <w:keepNext w:val="0"/>
              <w:spacing w:after="0" w:before="0" w:line="240" w:lineRule="auto"/>
              <w:jc w:val="right"/>
            </w:pPr>
            <w:r>
              <w:rPr>
                <w:rFonts w:ascii="Calibri" w:hAnsi="Calibri"/>
                <w:b w:val="0"/>
                <w:sz w:val="19"/>
              </w:rPr>
              <w:t>0.4067</w:t>
            </w:r>
          </w:p>
        </w:tc>
        <w:tc>
          <w:tcPr>
            <w:tcW w:type="dxa" w:w="1722"/>
            <w:vAlign w:val="center"/>
          </w:tcPr>
          <w:p>
            <w:pPr>
              <w:keepNext w:val="0"/>
              <w:spacing w:after="0" w:before="0" w:line="240" w:lineRule="auto"/>
              <w:jc w:val="right"/>
            </w:pPr>
            <w:r>
              <w:rPr>
                <w:rFonts w:ascii="Calibri" w:hAnsi="Calibri"/>
                <w:b w:val="0"/>
                <w:sz w:val="19"/>
              </w:rPr>
              <w:t>0.4001</w:t>
            </w:r>
          </w:p>
        </w:tc>
        <w:tc>
          <w:tcPr>
            <w:tcW w:type="dxa" w:w="1722"/>
            <w:vAlign w:val="center"/>
          </w:tcPr>
          <w:p>
            <w:pPr>
              <w:keepNext w:val="0"/>
              <w:spacing w:after="0" w:before="0" w:line="240" w:lineRule="auto"/>
              <w:jc w:val="right"/>
            </w:pPr>
            <w:r>
              <w:rPr>
                <w:rFonts w:ascii="Calibri" w:hAnsi="Calibri"/>
                <w:b w:val="0"/>
                <w:sz w:val="19"/>
              </w:rPr>
              <w:t>0.4096</w:t>
            </w:r>
          </w:p>
        </w:tc>
        <w:tc>
          <w:tcPr>
            <w:tcW w:type="dxa" w:w="1722"/>
            <w:vAlign w:val="center"/>
          </w:tcPr>
          <w:p>
            <w:pPr>
              <w:keepNext w:val="0"/>
              <w:spacing w:after="0" w:before="0" w:line="240" w:lineRule="auto"/>
              <w:jc w:val="right"/>
            </w:pPr>
            <w:r>
              <w:rPr>
                <w:rFonts w:ascii="Calibri" w:hAnsi="Calibri"/>
                <w:b w:val="0"/>
                <w:sz w:val="19"/>
              </w:rPr>
              <w:t>0.4885</w:t>
            </w:r>
          </w:p>
        </w:tc>
      </w:tr>
      <w:tr>
        <w:trPr>
          <w:cantSplit/>
        </w:trPr>
        <w:tc>
          <w:tcPr>
            <w:tcW w:type="dxa" w:w="1613"/>
            <w:vAlign w:val="center"/>
          </w:tcPr>
          <w:p>
            <w:pPr>
              <w:keepNext w:val="0"/>
              <w:spacing w:after="0" w:before="0" w:line="240" w:lineRule="auto"/>
            </w:pPr>
            <w:r>
              <w:rPr>
                <w:rFonts w:ascii="Calibri" w:hAnsi="Calibri"/>
                <w:b w:val="0"/>
                <w:sz w:val="19"/>
              </w:rPr>
              <w:t>Severe</w:t>
            </w:r>
          </w:p>
        </w:tc>
        <w:tc>
          <w:tcPr>
            <w:tcW w:type="dxa" w:w="1722"/>
            <w:vAlign w:val="center"/>
          </w:tcPr>
          <w:p>
            <w:pPr>
              <w:keepNext w:val="0"/>
              <w:spacing w:after="0" w:before="0" w:line="240" w:lineRule="auto"/>
            </w:pPr>
            <w:r>
              <w:rPr>
                <w:rFonts w:ascii="Calibri" w:hAnsi="Calibri"/>
                <w:b w:val="0"/>
                <w:sz w:val="19"/>
              </w:rPr>
              <w:t>BucketGRU</w:t>
            </w:r>
          </w:p>
        </w:tc>
        <w:tc>
          <w:tcPr>
            <w:tcW w:type="dxa" w:w="1722"/>
            <w:vAlign w:val="center"/>
          </w:tcPr>
          <w:p>
            <w:pPr>
              <w:keepNext w:val="0"/>
              <w:spacing w:after="0" w:before="0" w:line="240" w:lineRule="auto"/>
              <w:jc w:val="right"/>
            </w:pPr>
            <w:r>
              <w:rPr>
                <w:rFonts w:ascii="Calibri" w:hAnsi="Calibri"/>
                <w:b w:val="0"/>
                <w:sz w:val="19"/>
              </w:rPr>
              <w:t>0.3838</w:t>
            </w:r>
          </w:p>
        </w:tc>
        <w:tc>
          <w:tcPr>
            <w:tcW w:type="dxa" w:w="1722"/>
            <w:vAlign w:val="center"/>
          </w:tcPr>
          <w:p>
            <w:pPr>
              <w:keepNext w:val="0"/>
              <w:spacing w:after="0" w:before="0" w:line="240" w:lineRule="auto"/>
              <w:jc w:val="right"/>
            </w:pPr>
            <w:r>
              <w:rPr>
                <w:rFonts w:ascii="Calibri" w:hAnsi="Calibri"/>
                <w:b w:val="0"/>
                <w:sz w:val="19"/>
              </w:rPr>
              <w:t>0.3973</w:t>
            </w:r>
          </w:p>
        </w:tc>
        <w:tc>
          <w:tcPr>
            <w:tcW w:type="dxa" w:w="1722"/>
            <w:vAlign w:val="center"/>
          </w:tcPr>
          <w:p>
            <w:pPr>
              <w:keepNext w:val="0"/>
              <w:spacing w:after="0" w:before="0" w:line="240" w:lineRule="auto"/>
              <w:jc w:val="right"/>
            </w:pPr>
            <w:r>
              <w:rPr>
                <w:rFonts w:ascii="Calibri" w:hAnsi="Calibri"/>
                <w:b w:val="0"/>
                <w:sz w:val="19"/>
              </w:rPr>
              <w:t>0.3786</w:t>
            </w:r>
          </w:p>
        </w:tc>
        <w:tc>
          <w:tcPr>
            <w:tcW w:type="dxa" w:w="1722"/>
            <w:vAlign w:val="center"/>
          </w:tcPr>
          <w:p>
            <w:pPr>
              <w:keepNext w:val="0"/>
              <w:spacing w:after="0" w:before="0" w:line="240" w:lineRule="auto"/>
              <w:jc w:val="right"/>
            </w:pPr>
            <w:r>
              <w:rPr>
                <w:rFonts w:ascii="Calibri" w:hAnsi="Calibri"/>
                <w:b w:val="0"/>
                <w:sz w:val="19"/>
              </w:rPr>
              <w:t>0.4348</w:t>
            </w:r>
          </w:p>
        </w:tc>
      </w:tr>
      <w:tr>
        <w:trPr>
          <w:cantSplit/>
        </w:trPr>
        <w:tc>
          <w:tcPr>
            <w:tcW w:type="dxa" w:w="1613"/>
            <w:vAlign w:val="center"/>
          </w:tcPr>
          <w:p>
            <w:pPr>
              <w:keepNext w:val="0"/>
              <w:spacing w:after="0" w:before="0" w:line="240" w:lineRule="auto"/>
            </w:pPr>
            <w:r>
              <w:rPr>
                <w:rFonts w:ascii="Calibri" w:hAnsi="Calibri"/>
                <w:b w:val="0"/>
                <w:sz w:val="19"/>
              </w:rPr>
              <w:t>Severe</w:t>
            </w:r>
          </w:p>
        </w:tc>
        <w:tc>
          <w:tcPr>
            <w:tcW w:type="dxa" w:w="1722"/>
            <w:vAlign w:val="center"/>
          </w:tcPr>
          <w:p>
            <w:pPr>
              <w:keepNext w:val="0"/>
              <w:spacing w:after="0" w:before="0" w:line="240" w:lineRule="auto"/>
            </w:pPr>
            <w:r>
              <w:rPr>
                <w:rFonts w:ascii="Calibri" w:hAnsi="Calibri"/>
                <w:b w:val="0"/>
                <w:sz w:val="19"/>
              </w:rPr>
              <w:t>NoTime EventGRU</w:t>
            </w:r>
          </w:p>
        </w:tc>
        <w:tc>
          <w:tcPr>
            <w:tcW w:type="dxa" w:w="1722"/>
            <w:vAlign w:val="center"/>
          </w:tcPr>
          <w:p>
            <w:pPr>
              <w:keepNext w:val="0"/>
              <w:spacing w:after="0" w:before="0" w:line="240" w:lineRule="auto"/>
              <w:jc w:val="right"/>
            </w:pPr>
            <w:r>
              <w:rPr>
                <w:rFonts w:ascii="Calibri" w:hAnsi="Calibri"/>
                <w:b w:val="0"/>
                <w:sz w:val="19"/>
              </w:rPr>
              <w:t>0.4494</w:t>
            </w:r>
          </w:p>
        </w:tc>
        <w:tc>
          <w:tcPr>
            <w:tcW w:type="dxa" w:w="1722"/>
            <w:vAlign w:val="center"/>
          </w:tcPr>
          <w:p>
            <w:pPr>
              <w:keepNext w:val="0"/>
              <w:spacing w:after="0" w:before="0" w:line="240" w:lineRule="auto"/>
              <w:jc w:val="right"/>
            </w:pPr>
            <w:r>
              <w:rPr>
                <w:rFonts w:ascii="Calibri" w:hAnsi="Calibri"/>
                <w:b w:val="0"/>
                <w:sz w:val="19"/>
              </w:rPr>
              <w:t>0.4804</w:t>
            </w:r>
          </w:p>
        </w:tc>
        <w:tc>
          <w:tcPr>
            <w:tcW w:type="dxa" w:w="1722"/>
            <w:vAlign w:val="center"/>
          </w:tcPr>
          <w:p>
            <w:pPr>
              <w:keepNext w:val="0"/>
              <w:spacing w:after="0" w:before="0" w:line="240" w:lineRule="auto"/>
              <w:jc w:val="right"/>
            </w:pPr>
            <w:r>
              <w:rPr>
                <w:rFonts w:ascii="Calibri" w:hAnsi="Calibri"/>
                <w:b w:val="0"/>
                <w:sz w:val="19"/>
              </w:rPr>
              <w:t>0.4374</w:t>
            </w:r>
          </w:p>
        </w:tc>
        <w:tc>
          <w:tcPr>
            <w:tcW w:type="dxa" w:w="1722"/>
            <w:vAlign w:val="center"/>
          </w:tcPr>
          <w:p>
            <w:pPr>
              <w:keepNext w:val="0"/>
              <w:spacing w:after="0" w:before="0" w:line="240" w:lineRule="auto"/>
              <w:jc w:val="right"/>
            </w:pPr>
            <w:r>
              <w:rPr>
                <w:rFonts w:ascii="Calibri" w:hAnsi="Calibri"/>
                <w:b w:val="0"/>
                <w:sz w:val="19"/>
              </w:rPr>
              <w:t>0.4342</w:t>
            </w:r>
          </w:p>
        </w:tc>
      </w:tr>
      <w:tr>
        <w:trPr>
          <w:cantSplit/>
        </w:trPr>
        <w:tc>
          <w:tcPr>
            <w:tcW w:type="dxa" w:w="1613"/>
            <w:vAlign w:val="center"/>
          </w:tcPr>
          <w:p>
            <w:pPr>
              <w:keepNext w:val="0"/>
              <w:spacing w:after="0" w:before="0" w:line="240" w:lineRule="auto"/>
            </w:pPr>
            <w:r>
              <w:rPr>
                <w:rFonts w:ascii="Calibri" w:hAnsi="Calibri"/>
                <w:b w:val="0"/>
                <w:sz w:val="19"/>
              </w:rPr>
              <w:t>Severe</w:t>
            </w:r>
          </w:p>
        </w:tc>
        <w:tc>
          <w:tcPr>
            <w:tcW w:type="dxa" w:w="1722"/>
            <w:vAlign w:val="center"/>
          </w:tcPr>
          <w:p>
            <w:pPr>
              <w:keepNext w:val="0"/>
              <w:spacing w:after="0" w:before="0" w:line="240" w:lineRule="auto"/>
            </w:pPr>
            <w:r>
              <w:rPr>
                <w:rFonts w:ascii="Calibri" w:hAnsi="Calibri"/>
                <w:b w:val="0"/>
                <w:sz w:val="19"/>
              </w:rPr>
              <w:t>Timed EventGRU</w:t>
            </w:r>
          </w:p>
        </w:tc>
        <w:tc>
          <w:tcPr>
            <w:tcW w:type="dxa" w:w="1722"/>
            <w:vAlign w:val="center"/>
          </w:tcPr>
          <w:p>
            <w:pPr>
              <w:keepNext w:val="0"/>
              <w:spacing w:after="0" w:before="0" w:line="240" w:lineRule="auto"/>
              <w:jc w:val="right"/>
            </w:pPr>
            <w:r>
              <w:rPr>
                <w:rFonts w:ascii="Calibri" w:hAnsi="Calibri"/>
                <w:b w:val="0"/>
                <w:sz w:val="19"/>
              </w:rPr>
              <w:t>0.3700</w:t>
            </w:r>
          </w:p>
        </w:tc>
        <w:tc>
          <w:tcPr>
            <w:tcW w:type="dxa" w:w="1722"/>
            <w:vAlign w:val="center"/>
          </w:tcPr>
          <w:p>
            <w:pPr>
              <w:keepNext w:val="0"/>
              <w:spacing w:after="0" w:before="0" w:line="240" w:lineRule="auto"/>
              <w:jc w:val="right"/>
            </w:pPr>
            <w:r>
              <w:rPr>
                <w:rFonts w:ascii="Calibri" w:hAnsi="Calibri"/>
                <w:b w:val="0"/>
                <w:sz w:val="19"/>
              </w:rPr>
              <w:t>0.3683</w:t>
            </w:r>
          </w:p>
        </w:tc>
        <w:tc>
          <w:tcPr>
            <w:tcW w:type="dxa" w:w="1722"/>
            <w:vAlign w:val="center"/>
          </w:tcPr>
          <w:p>
            <w:pPr>
              <w:keepNext w:val="0"/>
              <w:spacing w:after="0" w:before="0" w:line="240" w:lineRule="auto"/>
              <w:jc w:val="right"/>
            </w:pPr>
            <w:r>
              <w:rPr>
                <w:rFonts w:ascii="Calibri" w:hAnsi="Calibri"/>
                <w:b w:val="0"/>
                <w:sz w:val="19"/>
              </w:rPr>
              <w:t>0.3707</w:t>
            </w:r>
          </w:p>
        </w:tc>
        <w:tc>
          <w:tcPr>
            <w:tcW w:type="dxa" w:w="1722"/>
            <w:vAlign w:val="center"/>
          </w:tcPr>
          <w:p>
            <w:pPr>
              <w:keepNext w:val="0"/>
              <w:spacing w:after="0" w:before="0" w:line="240" w:lineRule="auto"/>
              <w:jc w:val="right"/>
            </w:pPr>
            <w:r>
              <w:rPr>
                <w:rFonts w:ascii="Calibri" w:hAnsi="Calibri"/>
                <w:b w:val="0"/>
                <w:sz w:val="19"/>
              </w:rPr>
              <w:t>0.4420</w:t>
            </w:r>
          </w:p>
        </w:tc>
      </w:tr>
      <w:tr>
        <w:trPr>
          <w:cantSplit/>
        </w:trPr>
        <w:tc>
          <w:tcPr>
            <w:tcW w:type="dxa" w:w="1613"/>
            <w:vAlign w:val="center"/>
          </w:tcPr>
          <w:p>
            <w:pPr>
              <w:keepNext/>
              <w:spacing w:after="0" w:before="0" w:line="240" w:lineRule="auto"/>
            </w:pPr>
            <w:r>
              <w:rPr>
                <w:rFonts w:ascii="Calibri" w:hAnsi="Calibri"/>
                <w:b w:val="0"/>
                <w:sz w:val="19"/>
              </w:rPr>
              <w:t>Severe</w:t>
            </w:r>
          </w:p>
        </w:tc>
        <w:tc>
          <w:tcPr>
            <w:tcW w:type="dxa" w:w="1722"/>
            <w:vAlign w:val="center"/>
          </w:tcPr>
          <w:p>
            <w:pPr>
              <w:keepNext/>
              <w:spacing w:after="0" w:before="0" w:line="240" w:lineRule="auto"/>
            </w:pPr>
            <w:r>
              <w:rPr>
                <w:rFonts w:ascii="Calibri" w:hAnsi="Calibri"/>
                <w:b w:val="0"/>
                <w:sz w:val="19"/>
              </w:rPr>
              <w:t>CTGraph</w:t>
            </w:r>
          </w:p>
        </w:tc>
        <w:tc>
          <w:tcPr>
            <w:tcW w:type="dxa" w:w="1722"/>
            <w:vAlign w:val="center"/>
          </w:tcPr>
          <w:p>
            <w:pPr>
              <w:keepNext/>
              <w:spacing w:after="0" w:before="0" w:line="240" w:lineRule="auto"/>
              <w:jc w:val="right"/>
            </w:pPr>
            <w:r>
              <w:rPr>
                <w:rFonts w:ascii="Calibri" w:hAnsi="Calibri"/>
                <w:b w:val="0"/>
                <w:sz w:val="19"/>
              </w:rPr>
              <w:t>0.4952</w:t>
            </w:r>
          </w:p>
        </w:tc>
        <w:tc>
          <w:tcPr>
            <w:tcW w:type="dxa" w:w="1722"/>
            <w:vAlign w:val="center"/>
          </w:tcPr>
          <w:p>
            <w:pPr>
              <w:keepNext/>
              <w:spacing w:after="0" w:before="0" w:line="240" w:lineRule="auto"/>
              <w:jc w:val="right"/>
            </w:pPr>
            <w:r>
              <w:rPr>
                <w:rFonts w:ascii="Calibri" w:hAnsi="Calibri"/>
                <w:b w:val="0"/>
                <w:sz w:val="19"/>
              </w:rPr>
              <w:t>0.5491</w:t>
            </w:r>
          </w:p>
        </w:tc>
        <w:tc>
          <w:tcPr>
            <w:tcW w:type="dxa" w:w="1722"/>
            <w:vAlign w:val="center"/>
          </w:tcPr>
          <w:p>
            <w:pPr>
              <w:keepNext/>
              <w:spacing w:after="0" w:before="0" w:line="240" w:lineRule="auto"/>
              <w:jc w:val="right"/>
            </w:pPr>
            <w:r>
              <w:rPr>
                <w:rFonts w:ascii="Calibri" w:hAnsi="Calibri"/>
                <w:b w:val="0"/>
                <w:sz w:val="19"/>
              </w:rPr>
              <w:t>0.4743</w:t>
            </w:r>
          </w:p>
        </w:tc>
        <w:tc>
          <w:tcPr>
            <w:tcW w:type="dxa" w:w="1722"/>
            <w:vAlign w:val="center"/>
          </w:tcPr>
          <w:p>
            <w:pPr>
              <w:keepNext/>
              <w:spacing w:after="0" w:before="0" w:line="240" w:lineRule="auto"/>
              <w:jc w:val="right"/>
            </w:pPr>
            <w:r>
              <w:rPr>
                <w:rFonts w:ascii="Calibri" w:hAnsi="Calibri"/>
                <w:b w:val="0"/>
                <w:sz w:val="19"/>
              </w:rPr>
              <w:t>0.4268</w:t>
            </w:r>
          </w:p>
        </w:tc>
      </w:tr>
    </w:tbl>
    <w:p>
      <w:pPr>
        <w:keepLines/>
        <w:spacing w:before="60" w:after="120"/>
      </w:pPr>
      <w:r>
        <w:rPr>
          <w:sz w:val="18"/>
        </w:rPr>
        <w:t>Controlled simulation. Lower MSE indicates lower prediction error within the same task and target scaling. Higher probe R² indicates more decodable target-state information.</w:t>
      </w:r>
    </w:p>
    <w:p>
      <w:r>
        <w:t>Under moderate irregularity, BucketGRU has the lowest MSE, 0.2800. Under severe irregularity, EventGRU_Time reaches 0.3700 versus 0.3838 for BucketGRU, an improvement of approximately 3.6%. For lifecycle-crossing windows, the corresponding errors are 0.3683 and 0.3973, a reduction of approximately 7.3%.</w:t>
      </w:r>
    </w:p>
    <w:p>
      <w:r>
        <w:t>Irregular observation alone does not determine which temporal representation performs best.</w:t>
      </w:r>
    </w:p>
    <w:p>
      <w:r>
        <w:t>Buckets that retain masks and staleness can efficiently preserve relevant observation information. In the severe condition, retaining original event times improves prediction. CTGraphResidual has higher error than the simpler baselines in both conditions.</w:t>
      </w:r>
    </w:p>
    <w:p>
      <w:pPr>
        <w:keepNext/>
        <w:spacing w:after="60"/>
        <w:jc w:val="center"/>
      </w:pPr>
      <w:r>
        <w:drawing>
          <wp:inline xmlns:a="http://schemas.openxmlformats.org/drawingml/2006/main" xmlns:pic="http://schemas.openxmlformats.org/drawingml/2006/picture">
            <wp:extent cx="6309360" cy="3623500"/>
            <wp:docPr id="33" name="Picture 33"/>
            <wp:cNvGraphicFramePr>
              <a:graphicFrameLocks noChangeAspect="1"/>
            </wp:cNvGraphicFramePr>
            <a:graphic>
              <a:graphicData uri="http://schemas.openxmlformats.org/drawingml/2006/picture">
                <pic:pic>
                  <pic:nvPicPr>
                    <pic:cNvPr id="0" name="33_image33.png"/>
                    <pic:cNvPicPr/>
                  </pic:nvPicPr>
                  <pic:blipFill>
                    <a:blip r:embed="rId46"/>
                    <a:stretch>
                      <a:fillRect/>
                    </a:stretch>
                  </pic:blipFill>
                  <pic:spPr>
                    <a:xfrm>
                      <a:off x="0" y="0"/>
                      <a:ext cx="6309360" cy="3623500"/>
                    </a:xfrm>
                    <a:prstGeom prst="rect"/>
                  </pic:spPr>
                </pic:pic>
              </a:graphicData>
            </a:graphic>
          </wp:inline>
        </w:drawing>
      </w:r>
    </w:p>
    <w:p>
      <w:pPr>
        <w:pStyle w:val="Caption"/>
      </w:pPr>
      <w:r>
        <w:t>Figure 33. Fixed-bucket and event-time prediction under two levels of irregular sampling in the synthetic carrier world. Every model predicts the same +1.0 physical-time horizon.</w:t>
      </w:r>
    </w:p>
    <w:p>
      <w:pPr>
        <w:pStyle w:val="Heading3"/>
      </w:pPr>
      <w:r>
        <w:t>6.4.5 Sampling-density scan</w:t>
      </w:r>
    </w:p>
    <w:p>
      <w:pPr>
        <w:pStyle w:val="Caption"/>
        <w:keepNext/>
      </w:pPr>
      <w:r>
        <w:t>Table 49. Sampling-density scan.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435"/>
        <w:gridCol w:w="1435"/>
        <w:gridCol w:w="1435"/>
        <w:gridCol w:w="1435"/>
        <w:gridCol w:w="1435"/>
        <w:gridCol w:w="1435"/>
      </w:tblGrid>
      <w:tr>
        <w:trPr>
          <w:cantSplit/>
          <w:tblHeader/>
        </w:trPr>
        <w:tc>
          <w:tcPr>
            <w:tcW w:type="dxa" w:w="1613"/>
            <w:vAlign w:val="center"/>
            <w:shd w:fill="F2F2F2"/>
          </w:tcPr>
          <w:p>
            <w:pPr>
              <w:keepNext/>
              <w:spacing w:after="0" w:before="0" w:line="240" w:lineRule="auto"/>
            </w:pPr>
            <w:r>
              <w:rPr>
                <w:rFonts w:ascii="Calibri" w:hAnsi="Calibri"/>
                <w:b/>
                <w:sz w:val="18"/>
              </w:rPr>
              <w:t>Sampling</w:t>
            </w:r>
          </w:p>
        </w:tc>
        <w:tc>
          <w:tcPr>
            <w:tcW w:type="dxa" w:w="1435"/>
            <w:vAlign w:val="center"/>
            <w:shd w:fill="F2F2F2"/>
          </w:tcPr>
          <w:p>
            <w:pPr>
              <w:keepNext/>
              <w:spacing w:after="0" w:before="0" w:line="240" w:lineRule="auto"/>
            </w:pPr>
            <w:r>
              <w:rPr>
                <w:rFonts w:ascii="Calibri" w:hAnsi="Calibri"/>
                <w:b/>
                <w:sz w:val="18"/>
              </w:rPr>
              <w:t>Obs frac</w:t>
            </w:r>
          </w:p>
        </w:tc>
        <w:tc>
          <w:tcPr>
            <w:tcW w:type="dxa" w:w="1435"/>
            <w:vAlign w:val="center"/>
            <w:shd w:fill="F2F2F2"/>
          </w:tcPr>
          <w:p>
            <w:pPr>
              <w:keepNext/>
              <w:spacing w:after="0" w:before="0" w:line="240" w:lineRule="auto"/>
            </w:pPr>
            <w:r>
              <w:rPr>
                <w:rFonts w:ascii="Calibri" w:hAnsi="Calibri"/>
                <w:b/>
                <w:sz w:val="18"/>
              </w:rPr>
              <w:t>Bucket</w:t>
            </w:r>
          </w:p>
        </w:tc>
        <w:tc>
          <w:tcPr>
            <w:tcW w:type="dxa" w:w="1435"/>
            <w:vAlign w:val="center"/>
            <w:shd w:fill="F2F2F2"/>
          </w:tcPr>
          <w:p>
            <w:pPr>
              <w:keepNext/>
              <w:spacing w:after="0" w:before="0" w:line="240" w:lineRule="auto"/>
            </w:pPr>
            <w:r>
              <w:rPr>
                <w:rFonts w:ascii="Calibri" w:hAnsi="Calibri"/>
                <w:b/>
                <w:sz w:val="18"/>
              </w:rPr>
              <w:t>NoTime event</w:t>
            </w:r>
          </w:p>
        </w:tc>
        <w:tc>
          <w:tcPr>
            <w:tcW w:type="dxa" w:w="1435"/>
            <w:vAlign w:val="center"/>
            <w:shd w:fill="F2F2F2"/>
          </w:tcPr>
          <w:p>
            <w:pPr>
              <w:keepNext/>
              <w:spacing w:after="0" w:before="0" w:line="240" w:lineRule="auto"/>
            </w:pPr>
            <w:r>
              <w:rPr>
                <w:rFonts w:ascii="Calibri" w:hAnsi="Calibri"/>
                <w:b/>
                <w:sz w:val="18"/>
              </w:rPr>
              <w:t>Timed event</w:t>
            </w:r>
          </w:p>
        </w:tc>
        <w:tc>
          <w:tcPr>
            <w:tcW w:type="dxa" w:w="1435"/>
            <w:vAlign w:val="center"/>
            <w:shd w:fill="F2F2F2"/>
          </w:tcPr>
          <w:p>
            <w:pPr>
              <w:keepNext/>
              <w:spacing w:after="0" w:before="0" w:line="240" w:lineRule="auto"/>
            </w:pPr>
            <w:r>
              <w:rPr>
                <w:rFonts w:ascii="Calibri" w:hAnsi="Calibri"/>
                <w:b/>
                <w:sz w:val="18"/>
              </w:rPr>
              <w:t>Timed vs Bucket</w:t>
            </w:r>
          </w:p>
        </w:tc>
        <w:tc>
          <w:tcPr>
            <w:tcW w:type="dxa" w:w="1435"/>
            <w:vAlign w:val="center"/>
            <w:shd w:fill="F2F2F2"/>
          </w:tcPr>
          <w:p>
            <w:pPr>
              <w:keepNext/>
              <w:spacing w:after="0" w:before="0" w:line="240" w:lineRule="auto"/>
            </w:pPr>
            <w:r>
              <w:rPr>
                <w:rFonts w:ascii="Calibri" w:hAnsi="Calibri"/>
                <w:b/>
                <w:sz w:val="18"/>
              </w:rPr>
              <w:t>Lifecycle gain</w:t>
            </w:r>
          </w:p>
        </w:tc>
      </w:tr>
      <w:tr>
        <w:trPr>
          <w:cantSplit/>
        </w:trPr>
        <w:tc>
          <w:tcPr>
            <w:tcW w:type="dxa" w:w="1613"/>
            <w:vAlign w:val="center"/>
          </w:tcPr>
          <w:p>
            <w:pPr>
              <w:keepNext w:val="0"/>
              <w:spacing w:after="0" w:before="0" w:line="240" w:lineRule="auto"/>
            </w:pPr>
            <w:r>
              <w:rPr>
                <w:rFonts w:ascii="Calibri" w:hAnsi="Calibri"/>
                <w:b w:val="0"/>
                <w:sz w:val="18"/>
              </w:rPr>
              <w:t>dense</w:t>
            </w:r>
          </w:p>
        </w:tc>
        <w:tc>
          <w:tcPr>
            <w:tcW w:type="dxa" w:w="1435"/>
            <w:vAlign w:val="center"/>
          </w:tcPr>
          <w:p>
            <w:pPr>
              <w:keepNext w:val="0"/>
              <w:spacing w:after="0" w:before="0" w:line="240" w:lineRule="auto"/>
              <w:jc w:val="right"/>
            </w:pPr>
            <w:r>
              <w:rPr>
                <w:rFonts w:ascii="Calibri" w:hAnsi="Calibri"/>
                <w:b w:val="0"/>
                <w:sz w:val="18"/>
              </w:rPr>
              <w:t>0.2367</w:t>
            </w:r>
          </w:p>
        </w:tc>
        <w:tc>
          <w:tcPr>
            <w:tcW w:type="dxa" w:w="1435"/>
            <w:vAlign w:val="center"/>
          </w:tcPr>
          <w:p>
            <w:pPr>
              <w:keepNext w:val="0"/>
              <w:spacing w:after="0" w:before="0" w:line="240" w:lineRule="auto"/>
              <w:jc w:val="right"/>
            </w:pPr>
            <w:r>
              <w:rPr>
                <w:rFonts w:ascii="Calibri" w:hAnsi="Calibri"/>
                <w:b w:val="0"/>
                <w:sz w:val="18"/>
              </w:rPr>
              <w:t>0.3357</w:t>
            </w:r>
          </w:p>
        </w:tc>
        <w:tc>
          <w:tcPr>
            <w:tcW w:type="dxa" w:w="1435"/>
            <w:vAlign w:val="center"/>
          </w:tcPr>
          <w:p>
            <w:pPr>
              <w:keepNext w:val="0"/>
              <w:spacing w:after="0" w:before="0" w:line="240" w:lineRule="auto"/>
              <w:jc w:val="right"/>
            </w:pPr>
            <w:r>
              <w:rPr>
                <w:rFonts w:ascii="Calibri" w:hAnsi="Calibri"/>
                <w:b w:val="0"/>
                <w:sz w:val="18"/>
              </w:rPr>
              <w:t>0.3754</w:t>
            </w:r>
          </w:p>
        </w:tc>
        <w:tc>
          <w:tcPr>
            <w:tcW w:type="dxa" w:w="1435"/>
            <w:vAlign w:val="center"/>
          </w:tcPr>
          <w:p>
            <w:pPr>
              <w:keepNext w:val="0"/>
              <w:spacing w:after="0" w:before="0" w:line="240" w:lineRule="auto"/>
              <w:jc w:val="right"/>
            </w:pPr>
            <w:r>
              <w:rPr>
                <w:rFonts w:ascii="Calibri" w:hAnsi="Calibri"/>
                <w:b w:val="0"/>
                <w:sz w:val="18"/>
              </w:rPr>
              <w:t>0.4596</w:t>
            </w:r>
          </w:p>
        </w:tc>
        <w:tc>
          <w:tcPr>
            <w:tcW w:type="dxa" w:w="1435"/>
            <w:vAlign w:val="center"/>
          </w:tcPr>
          <w:p>
            <w:pPr>
              <w:keepNext w:val="0"/>
              <w:spacing w:after="0" w:before="0" w:line="240" w:lineRule="auto"/>
              <w:jc w:val="right"/>
            </w:pPr>
            <w:r>
              <w:rPr>
                <w:rFonts w:ascii="Calibri" w:hAnsi="Calibri"/>
                <w:b w:val="0"/>
                <w:sz w:val="18"/>
              </w:rPr>
              <w:t>-36.9%</w:t>
            </w:r>
          </w:p>
        </w:tc>
        <w:tc>
          <w:tcPr>
            <w:tcW w:type="dxa" w:w="1435"/>
            <w:vAlign w:val="center"/>
          </w:tcPr>
          <w:p>
            <w:pPr>
              <w:keepNext w:val="0"/>
              <w:spacing w:after="0" w:before="0" w:line="240" w:lineRule="auto"/>
              <w:jc w:val="right"/>
            </w:pPr>
            <w:r>
              <w:rPr>
                <w:rFonts w:ascii="Calibri" w:hAnsi="Calibri"/>
                <w:b w:val="0"/>
                <w:sz w:val="18"/>
              </w:rPr>
              <w:t>-37.0%</w:t>
            </w:r>
          </w:p>
        </w:tc>
      </w:tr>
      <w:tr>
        <w:trPr>
          <w:cantSplit/>
        </w:trPr>
        <w:tc>
          <w:tcPr>
            <w:tcW w:type="dxa" w:w="1613"/>
            <w:vAlign w:val="center"/>
          </w:tcPr>
          <w:p>
            <w:pPr>
              <w:keepNext w:val="0"/>
              <w:spacing w:after="0" w:before="0" w:line="240" w:lineRule="auto"/>
            </w:pPr>
            <w:r>
              <w:rPr>
                <w:rFonts w:ascii="Calibri" w:hAnsi="Calibri"/>
                <w:b w:val="0"/>
                <w:sz w:val="18"/>
              </w:rPr>
              <w:t>mid</w:t>
            </w:r>
          </w:p>
        </w:tc>
        <w:tc>
          <w:tcPr>
            <w:tcW w:type="dxa" w:w="1435"/>
            <w:vAlign w:val="center"/>
          </w:tcPr>
          <w:p>
            <w:pPr>
              <w:keepNext w:val="0"/>
              <w:spacing w:after="0" w:before="0" w:line="240" w:lineRule="auto"/>
              <w:jc w:val="right"/>
            </w:pPr>
            <w:r>
              <w:rPr>
                <w:rFonts w:ascii="Calibri" w:hAnsi="Calibri"/>
                <w:b w:val="0"/>
                <w:sz w:val="18"/>
              </w:rPr>
              <w:t>0.1279</w:t>
            </w:r>
          </w:p>
        </w:tc>
        <w:tc>
          <w:tcPr>
            <w:tcW w:type="dxa" w:w="1435"/>
            <w:vAlign w:val="center"/>
          </w:tcPr>
          <w:p>
            <w:pPr>
              <w:keepNext w:val="0"/>
              <w:spacing w:after="0" w:before="0" w:line="240" w:lineRule="auto"/>
              <w:jc w:val="right"/>
            </w:pPr>
            <w:r>
              <w:rPr>
                <w:rFonts w:ascii="Calibri" w:hAnsi="Calibri"/>
                <w:b w:val="0"/>
                <w:sz w:val="18"/>
              </w:rPr>
              <w:t>0.3560</w:t>
            </w:r>
          </w:p>
        </w:tc>
        <w:tc>
          <w:tcPr>
            <w:tcW w:type="dxa" w:w="1435"/>
            <w:vAlign w:val="center"/>
          </w:tcPr>
          <w:p>
            <w:pPr>
              <w:keepNext w:val="0"/>
              <w:spacing w:after="0" w:before="0" w:line="240" w:lineRule="auto"/>
              <w:jc w:val="right"/>
            </w:pPr>
            <w:r>
              <w:rPr>
                <w:rFonts w:ascii="Calibri" w:hAnsi="Calibri"/>
                <w:b w:val="0"/>
                <w:sz w:val="18"/>
              </w:rPr>
              <w:t>0.3730</w:t>
            </w:r>
          </w:p>
        </w:tc>
        <w:tc>
          <w:tcPr>
            <w:tcW w:type="dxa" w:w="1435"/>
            <w:vAlign w:val="center"/>
          </w:tcPr>
          <w:p>
            <w:pPr>
              <w:keepNext w:val="0"/>
              <w:spacing w:after="0" w:before="0" w:line="240" w:lineRule="auto"/>
              <w:jc w:val="right"/>
            </w:pPr>
            <w:r>
              <w:rPr>
                <w:rFonts w:ascii="Calibri" w:hAnsi="Calibri"/>
                <w:b w:val="0"/>
                <w:sz w:val="18"/>
              </w:rPr>
              <w:t>0.4400</w:t>
            </w:r>
          </w:p>
        </w:tc>
        <w:tc>
          <w:tcPr>
            <w:tcW w:type="dxa" w:w="1435"/>
            <w:vAlign w:val="center"/>
          </w:tcPr>
          <w:p>
            <w:pPr>
              <w:keepNext w:val="0"/>
              <w:spacing w:after="0" w:before="0" w:line="240" w:lineRule="auto"/>
              <w:jc w:val="right"/>
            </w:pPr>
            <w:r>
              <w:rPr>
                <w:rFonts w:ascii="Calibri" w:hAnsi="Calibri"/>
                <w:b w:val="0"/>
                <w:sz w:val="18"/>
              </w:rPr>
              <w:t>-23.6%</w:t>
            </w:r>
          </w:p>
        </w:tc>
        <w:tc>
          <w:tcPr>
            <w:tcW w:type="dxa" w:w="1435"/>
            <w:vAlign w:val="center"/>
          </w:tcPr>
          <w:p>
            <w:pPr>
              <w:keepNext w:val="0"/>
              <w:spacing w:after="0" w:before="0" w:line="240" w:lineRule="auto"/>
              <w:jc w:val="right"/>
            </w:pPr>
            <w:r>
              <w:rPr>
                <w:rFonts w:ascii="Calibri" w:hAnsi="Calibri"/>
                <w:b w:val="0"/>
                <w:sz w:val="18"/>
              </w:rPr>
              <w:t>-17.6%</w:t>
            </w:r>
          </w:p>
        </w:tc>
      </w:tr>
      <w:tr>
        <w:trPr>
          <w:cantSplit/>
        </w:trPr>
        <w:tc>
          <w:tcPr>
            <w:tcW w:type="dxa" w:w="1613"/>
            <w:vAlign w:val="center"/>
          </w:tcPr>
          <w:p>
            <w:pPr>
              <w:keepNext w:val="0"/>
              <w:spacing w:after="0" w:before="0" w:line="240" w:lineRule="auto"/>
            </w:pPr>
            <w:r>
              <w:rPr>
                <w:rFonts w:ascii="Calibri" w:hAnsi="Calibri"/>
                <w:b w:val="0"/>
                <w:sz w:val="18"/>
              </w:rPr>
              <w:t>mid_dense</w:t>
            </w:r>
          </w:p>
        </w:tc>
        <w:tc>
          <w:tcPr>
            <w:tcW w:type="dxa" w:w="1435"/>
            <w:vAlign w:val="center"/>
          </w:tcPr>
          <w:p>
            <w:pPr>
              <w:keepNext w:val="0"/>
              <w:spacing w:after="0" w:before="0" w:line="240" w:lineRule="auto"/>
              <w:jc w:val="right"/>
            </w:pPr>
            <w:r>
              <w:rPr>
                <w:rFonts w:ascii="Calibri" w:hAnsi="Calibri"/>
                <w:b w:val="0"/>
                <w:sz w:val="18"/>
              </w:rPr>
              <w:t>0.1648</w:t>
            </w:r>
          </w:p>
        </w:tc>
        <w:tc>
          <w:tcPr>
            <w:tcW w:type="dxa" w:w="1435"/>
            <w:vAlign w:val="center"/>
          </w:tcPr>
          <w:p>
            <w:pPr>
              <w:keepNext w:val="0"/>
              <w:spacing w:after="0" w:before="0" w:line="240" w:lineRule="auto"/>
              <w:jc w:val="right"/>
            </w:pPr>
            <w:r>
              <w:rPr>
                <w:rFonts w:ascii="Calibri" w:hAnsi="Calibri"/>
                <w:b w:val="0"/>
                <w:sz w:val="18"/>
              </w:rPr>
              <w:t>0.3060</w:t>
            </w:r>
          </w:p>
        </w:tc>
        <w:tc>
          <w:tcPr>
            <w:tcW w:type="dxa" w:w="1435"/>
            <w:vAlign w:val="center"/>
          </w:tcPr>
          <w:p>
            <w:pPr>
              <w:keepNext w:val="0"/>
              <w:spacing w:after="0" w:before="0" w:line="240" w:lineRule="auto"/>
              <w:jc w:val="right"/>
            </w:pPr>
            <w:r>
              <w:rPr>
                <w:rFonts w:ascii="Calibri" w:hAnsi="Calibri"/>
                <w:b w:val="0"/>
                <w:sz w:val="18"/>
              </w:rPr>
              <w:t>0.3213</w:t>
            </w:r>
          </w:p>
        </w:tc>
        <w:tc>
          <w:tcPr>
            <w:tcW w:type="dxa" w:w="1435"/>
            <w:vAlign w:val="center"/>
          </w:tcPr>
          <w:p>
            <w:pPr>
              <w:keepNext w:val="0"/>
              <w:spacing w:after="0" w:before="0" w:line="240" w:lineRule="auto"/>
              <w:jc w:val="right"/>
            </w:pPr>
            <w:r>
              <w:rPr>
                <w:rFonts w:ascii="Calibri" w:hAnsi="Calibri"/>
                <w:b w:val="0"/>
                <w:sz w:val="18"/>
              </w:rPr>
              <w:t>0.3974</w:t>
            </w:r>
          </w:p>
        </w:tc>
        <w:tc>
          <w:tcPr>
            <w:tcW w:type="dxa" w:w="1435"/>
            <w:vAlign w:val="center"/>
          </w:tcPr>
          <w:p>
            <w:pPr>
              <w:keepNext w:val="0"/>
              <w:spacing w:after="0" w:before="0" w:line="240" w:lineRule="auto"/>
              <w:jc w:val="right"/>
            </w:pPr>
            <w:r>
              <w:rPr>
                <w:rFonts w:ascii="Calibri" w:hAnsi="Calibri"/>
                <w:b w:val="0"/>
                <w:sz w:val="18"/>
              </w:rPr>
              <w:t>-29.9%</w:t>
            </w:r>
          </w:p>
        </w:tc>
        <w:tc>
          <w:tcPr>
            <w:tcW w:type="dxa" w:w="1435"/>
            <w:vAlign w:val="center"/>
          </w:tcPr>
          <w:p>
            <w:pPr>
              <w:keepNext w:val="0"/>
              <w:spacing w:after="0" w:before="0" w:line="240" w:lineRule="auto"/>
              <w:jc w:val="right"/>
            </w:pPr>
            <w:r>
              <w:rPr>
                <w:rFonts w:ascii="Calibri" w:hAnsi="Calibri"/>
                <w:b w:val="0"/>
                <w:sz w:val="18"/>
              </w:rPr>
              <w:t>-38.0%</w:t>
            </w:r>
          </w:p>
        </w:tc>
      </w:tr>
      <w:tr>
        <w:trPr>
          <w:cantSplit/>
        </w:trPr>
        <w:tc>
          <w:tcPr>
            <w:tcW w:type="dxa" w:w="1613"/>
            <w:vAlign w:val="center"/>
          </w:tcPr>
          <w:p>
            <w:pPr>
              <w:keepNext w:val="0"/>
              <w:spacing w:after="0" w:before="0" w:line="240" w:lineRule="auto"/>
            </w:pPr>
            <w:r>
              <w:rPr>
                <w:rFonts w:ascii="Calibri" w:hAnsi="Calibri"/>
                <w:b w:val="0"/>
                <w:sz w:val="18"/>
              </w:rPr>
              <w:t>sparse</w:t>
            </w:r>
          </w:p>
        </w:tc>
        <w:tc>
          <w:tcPr>
            <w:tcW w:type="dxa" w:w="1435"/>
            <w:vAlign w:val="center"/>
          </w:tcPr>
          <w:p>
            <w:pPr>
              <w:keepNext w:val="0"/>
              <w:spacing w:after="0" w:before="0" w:line="240" w:lineRule="auto"/>
              <w:jc w:val="right"/>
            </w:pPr>
            <w:r>
              <w:rPr>
                <w:rFonts w:ascii="Calibri" w:hAnsi="Calibri"/>
                <w:b w:val="0"/>
                <w:sz w:val="18"/>
              </w:rPr>
              <w:t>0.0847</w:t>
            </w:r>
          </w:p>
        </w:tc>
        <w:tc>
          <w:tcPr>
            <w:tcW w:type="dxa" w:w="1435"/>
            <w:vAlign w:val="center"/>
          </w:tcPr>
          <w:p>
            <w:pPr>
              <w:keepNext w:val="0"/>
              <w:spacing w:after="0" w:before="0" w:line="240" w:lineRule="auto"/>
              <w:jc w:val="right"/>
            </w:pPr>
            <w:r>
              <w:rPr>
                <w:rFonts w:ascii="Calibri" w:hAnsi="Calibri"/>
                <w:b w:val="0"/>
                <w:sz w:val="18"/>
              </w:rPr>
              <w:t>0.6642</w:t>
            </w:r>
          </w:p>
        </w:tc>
        <w:tc>
          <w:tcPr>
            <w:tcW w:type="dxa" w:w="1435"/>
            <w:vAlign w:val="center"/>
          </w:tcPr>
          <w:p>
            <w:pPr>
              <w:keepNext w:val="0"/>
              <w:spacing w:after="0" w:before="0" w:line="240" w:lineRule="auto"/>
              <w:jc w:val="right"/>
            </w:pPr>
            <w:r>
              <w:rPr>
                <w:rFonts w:ascii="Calibri" w:hAnsi="Calibri"/>
                <w:b w:val="0"/>
                <w:sz w:val="18"/>
              </w:rPr>
              <w:t>0.5703</w:t>
            </w:r>
          </w:p>
        </w:tc>
        <w:tc>
          <w:tcPr>
            <w:tcW w:type="dxa" w:w="1435"/>
            <w:vAlign w:val="center"/>
          </w:tcPr>
          <w:p>
            <w:pPr>
              <w:keepNext w:val="0"/>
              <w:spacing w:after="0" w:before="0" w:line="240" w:lineRule="auto"/>
              <w:jc w:val="right"/>
            </w:pPr>
            <w:r>
              <w:rPr>
                <w:rFonts w:ascii="Calibri" w:hAnsi="Calibri"/>
                <w:b w:val="0"/>
                <w:sz w:val="18"/>
              </w:rPr>
              <w:t>0.6877</w:t>
            </w:r>
          </w:p>
        </w:tc>
        <w:tc>
          <w:tcPr>
            <w:tcW w:type="dxa" w:w="1435"/>
            <w:vAlign w:val="center"/>
          </w:tcPr>
          <w:p>
            <w:pPr>
              <w:keepNext w:val="0"/>
              <w:spacing w:after="0" w:before="0" w:line="240" w:lineRule="auto"/>
              <w:jc w:val="right"/>
            </w:pPr>
            <w:r>
              <w:rPr>
                <w:rFonts w:ascii="Calibri" w:hAnsi="Calibri"/>
                <w:b w:val="0"/>
                <w:sz w:val="18"/>
              </w:rPr>
              <w:t>-3.5%</w:t>
            </w:r>
          </w:p>
        </w:tc>
        <w:tc>
          <w:tcPr>
            <w:tcW w:type="dxa" w:w="1435"/>
            <w:vAlign w:val="center"/>
          </w:tcPr>
          <w:p>
            <w:pPr>
              <w:keepNext w:val="0"/>
              <w:spacing w:after="0" w:before="0" w:line="240" w:lineRule="auto"/>
              <w:jc w:val="right"/>
            </w:pPr>
            <w:r>
              <w:rPr>
                <w:rFonts w:ascii="Calibri" w:hAnsi="Calibri"/>
                <w:b w:val="0"/>
                <w:sz w:val="18"/>
              </w:rPr>
              <w:t>-0.4%</w:t>
            </w:r>
          </w:p>
        </w:tc>
      </w:tr>
      <w:tr>
        <w:trPr>
          <w:cantSplit/>
        </w:trPr>
        <w:tc>
          <w:tcPr>
            <w:tcW w:type="dxa" w:w="1613"/>
            <w:vAlign w:val="center"/>
          </w:tcPr>
          <w:p>
            <w:pPr>
              <w:keepNext/>
              <w:spacing w:after="0" w:before="0" w:line="240" w:lineRule="auto"/>
            </w:pPr>
            <w:r>
              <w:rPr>
                <w:rFonts w:ascii="Calibri" w:hAnsi="Calibri"/>
                <w:b w:val="0"/>
                <w:sz w:val="18"/>
              </w:rPr>
              <w:t>very_sparse</w:t>
            </w:r>
          </w:p>
        </w:tc>
        <w:tc>
          <w:tcPr>
            <w:tcW w:type="dxa" w:w="1435"/>
            <w:vAlign w:val="center"/>
          </w:tcPr>
          <w:p>
            <w:pPr>
              <w:keepNext/>
              <w:spacing w:after="0" w:before="0" w:line="240" w:lineRule="auto"/>
              <w:jc w:val="right"/>
            </w:pPr>
            <w:r>
              <w:rPr>
                <w:rFonts w:ascii="Calibri" w:hAnsi="Calibri"/>
                <w:b w:val="0"/>
                <w:sz w:val="18"/>
              </w:rPr>
              <w:t>0.0577</w:t>
            </w:r>
          </w:p>
        </w:tc>
        <w:tc>
          <w:tcPr>
            <w:tcW w:type="dxa" w:w="1435"/>
            <w:vAlign w:val="center"/>
          </w:tcPr>
          <w:p>
            <w:pPr>
              <w:keepNext/>
              <w:spacing w:after="0" w:before="0" w:line="240" w:lineRule="auto"/>
              <w:jc w:val="right"/>
            </w:pPr>
            <w:r>
              <w:rPr>
                <w:rFonts w:ascii="Calibri" w:hAnsi="Calibri"/>
                <w:b w:val="0"/>
                <w:sz w:val="18"/>
              </w:rPr>
              <w:t>0.5400</w:t>
            </w:r>
          </w:p>
        </w:tc>
        <w:tc>
          <w:tcPr>
            <w:tcW w:type="dxa" w:w="1435"/>
            <w:vAlign w:val="center"/>
          </w:tcPr>
          <w:p>
            <w:pPr>
              <w:keepNext/>
              <w:spacing w:after="0" w:before="0" w:line="240" w:lineRule="auto"/>
              <w:jc w:val="right"/>
            </w:pPr>
            <w:r>
              <w:rPr>
                <w:rFonts w:ascii="Calibri" w:hAnsi="Calibri"/>
                <w:b w:val="0"/>
                <w:sz w:val="18"/>
              </w:rPr>
              <w:t>0.3958</w:t>
            </w:r>
          </w:p>
        </w:tc>
        <w:tc>
          <w:tcPr>
            <w:tcW w:type="dxa" w:w="1435"/>
            <w:vAlign w:val="center"/>
          </w:tcPr>
          <w:p>
            <w:pPr>
              <w:keepNext/>
              <w:spacing w:after="0" w:before="0" w:line="240" w:lineRule="auto"/>
              <w:jc w:val="right"/>
            </w:pPr>
            <w:r>
              <w:rPr>
                <w:rFonts w:ascii="Calibri" w:hAnsi="Calibri"/>
                <w:b w:val="0"/>
                <w:sz w:val="18"/>
              </w:rPr>
              <w:t>0.5144</w:t>
            </w:r>
          </w:p>
        </w:tc>
        <w:tc>
          <w:tcPr>
            <w:tcW w:type="dxa" w:w="1435"/>
            <w:vAlign w:val="center"/>
          </w:tcPr>
          <w:p>
            <w:pPr>
              <w:keepNext/>
              <w:spacing w:after="0" w:before="0" w:line="240" w:lineRule="auto"/>
              <w:jc w:val="right"/>
            </w:pPr>
            <w:r>
              <w:rPr>
                <w:rFonts w:ascii="Calibri" w:hAnsi="Calibri"/>
                <w:b w:val="0"/>
                <w:sz w:val="18"/>
              </w:rPr>
              <w:t>4.8%</w:t>
            </w:r>
          </w:p>
        </w:tc>
        <w:tc>
          <w:tcPr>
            <w:tcW w:type="dxa" w:w="1435"/>
            <w:vAlign w:val="center"/>
          </w:tcPr>
          <w:p>
            <w:pPr>
              <w:keepNext/>
              <w:spacing w:after="0" w:before="0" w:line="240" w:lineRule="auto"/>
              <w:jc w:val="right"/>
            </w:pPr>
            <w:r>
              <w:rPr>
                <w:rFonts w:ascii="Calibri" w:hAnsi="Calibri"/>
                <w:b w:val="0"/>
                <w:sz w:val="18"/>
              </w:rPr>
              <w:t>5.9%</w:t>
            </w:r>
          </w:p>
        </w:tc>
      </w:tr>
    </w:tbl>
    <w:p>
      <w:pPr>
        <w:keepLines/>
        <w:spacing w:before="60" w:after="120"/>
      </w:pPr>
      <w:r>
        <w:rPr>
          <w:sz w:val="18"/>
        </w:rPr>
        <w:t>Controlled simulation.</w:t>
      </w:r>
    </w:p>
    <w:p>
      <w:r>
        <w:t>At the very sparse observed fraction of approximately 0.058, Timed EventGRU improves over Bucket by approximately 4.8% overall and 5.9% in lifecycle windows. At denser settings, bucket compression generally performs better. NoTime EventGRU also performs strongly in some sparse settings, motivating the separate timing-identification control.</w:t>
      </w:r>
    </w:p>
    <w:p>
      <w:pPr>
        <w:keepNext/>
        <w:spacing w:after="60"/>
        <w:jc w:val="center"/>
      </w:pPr>
      <w:r>
        <w:drawing>
          <wp:inline xmlns:a="http://schemas.openxmlformats.org/drawingml/2006/main" xmlns:pic="http://schemas.openxmlformats.org/drawingml/2006/picture">
            <wp:extent cx="6309360" cy="3865067"/>
            <wp:docPr id="34" name="Picture 34"/>
            <wp:cNvGraphicFramePr>
              <a:graphicFrameLocks noChangeAspect="1"/>
            </wp:cNvGraphicFramePr>
            <a:graphic>
              <a:graphicData uri="http://schemas.openxmlformats.org/drawingml/2006/picture">
                <pic:pic>
                  <pic:nvPicPr>
                    <pic:cNvPr id="0" name="34_image34.png"/>
                    <pic:cNvPicPr/>
                  </pic:nvPicPr>
                  <pic:blipFill>
                    <a:blip r:embed="rId47"/>
                    <a:stretch>
                      <a:fillRect/>
                    </a:stretch>
                  </pic:blipFill>
                  <pic:spPr>
                    <a:xfrm>
                      <a:off x="0" y="0"/>
                      <a:ext cx="6309360" cy="3865067"/>
                    </a:xfrm>
                    <a:prstGeom prst="rect"/>
                  </pic:spPr>
                </pic:pic>
              </a:graphicData>
            </a:graphic>
          </wp:inline>
        </w:drawing>
      </w:r>
    </w:p>
    <w:p>
      <w:pPr>
        <w:pStyle w:val="Caption"/>
      </w:pPr>
      <w:r>
        <w:t>Figure 34. Prediction error across observed channel-time fractions. The synthetic scan compares fixed buckets, event order alone and events with true intervals; architecture rankings depend on the sampling condition.</w:t>
      </w:r>
    </w:p>
    <w:p>
      <w:pPr>
        <w:pStyle w:val="Heading3"/>
      </w:pPr>
      <w:r>
        <w:t>6.4.6 Identifying the information in timestamps</w:t>
      </w:r>
    </w:p>
    <w:p>
      <w:r>
        <w:t>Event count, order and marker trajectories can act as surrogate clocks. A separate control fixes event count and the distribution of event values but randomizes inter-event gaps. The final burden is generated by exponential decay in physical time.</w:t>
      </w:r>
    </w:p>
    <w:p>
      <w:pPr>
        <w:pStyle w:val="Caption"/>
        <w:keepNext/>
      </w:pPr>
      <w:r>
        <w:t>Table 50. Timing-identification control.</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NoTime MSE</w:t>
            </w:r>
          </w:p>
        </w:tc>
        <w:tc>
          <w:tcPr>
            <w:tcW w:type="dxa" w:w="3240"/>
            <w:vAlign w:val="center"/>
            <w:shd w:fill="F2F2F2"/>
          </w:tcPr>
          <w:p>
            <w:pPr>
              <w:keepNext/>
              <w:spacing w:after="0" w:before="0" w:line="240" w:lineRule="auto"/>
            </w:pPr>
            <w:r>
              <w:rPr>
                <w:rFonts w:ascii="Calibri" w:hAnsi="Calibri"/>
                <w:b/>
                <w:sz w:val="19"/>
              </w:rPr>
              <w:t>Timed MSE</w:t>
            </w:r>
          </w:p>
        </w:tc>
        <w:tc>
          <w:tcPr>
            <w:tcW w:type="dxa" w:w="3240"/>
            <w:vAlign w:val="center"/>
            <w:shd w:fill="F2F2F2"/>
          </w:tcPr>
          <w:p>
            <w:pPr>
              <w:keepNext/>
              <w:spacing w:after="0" w:before="0" w:line="240" w:lineRule="auto"/>
            </w:pPr>
            <w:r>
              <w:rPr>
                <w:rFonts w:ascii="Calibri" w:hAnsi="Calibri"/>
                <w:b/>
                <w:sz w:val="19"/>
              </w:rPr>
              <w:t>Timed gain</w:t>
            </w:r>
          </w:p>
        </w:tc>
      </w:tr>
      <w:tr>
        <w:trPr>
          <w:cantSplit/>
        </w:trPr>
        <w:tc>
          <w:tcPr>
            <w:tcW w:type="dxa" w:w="3744"/>
            <w:vAlign w:val="center"/>
          </w:tcPr>
          <w:p>
            <w:pPr>
              <w:keepNext/>
              <w:spacing w:after="0" w:before="0" w:line="240" w:lineRule="auto"/>
              <w:jc w:val="right"/>
            </w:pPr>
            <w:r>
              <w:rPr>
                <w:rFonts w:ascii="Calibri" w:hAnsi="Calibri"/>
                <w:b w:val="0"/>
                <w:sz w:val="19"/>
              </w:rPr>
              <w:t>0.0197</w:t>
            </w:r>
          </w:p>
        </w:tc>
        <w:tc>
          <w:tcPr>
            <w:tcW w:type="dxa" w:w="3240"/>
            <w:vAlign w:val="center"/>
          </w:tcPr>
          <w:p>
            <w:pPr>
              <w:keepNext/>
              <w:spacing w:after="0" w:before="0" w:line="240" w:lineRule="auto"/>
              <w:jc w:val="right"/>
            </w:pPr>
            <w:r>
              <w:rPr>
                <w:rFonts w:ascii="Calibri" w:hAnsi="Calibri"/>
                <w:b w:val="0"/>
                <w:sz w:val="19"/>
              </w:rPr>
              <w:t>0.0095</w:t>
            </w:r>
          </w:p>
        </w:tc>
        <w:tc>
          <w:tcPr>
            <w:tcW w:type="dxa" w:w="3240"/>
            <w:vAlign w:val="center"/>
          </w:tcPr>
          <w:p>
            <w:pPr>
              <w:keepNext/>
              <w:spacing w:after="0" w:before="0" w:line="240" w:lineRule="auto"/>
              <w:jc w:val="right"/>
            </w:pPr>
            <w:r>
              <w:rPr>
                <w:rFonts w:ascii="Calibri" w:hAnsi="Calibri"/>
                <w:b w:val="0"/>
                <w:sz w:val="19"/>
              </w:rPr>
              <w:t>51.9%</w:t>
            </w:r>
          </w:p>
        </w:tc>
      </w:tr>
    </w:tbl>
    <w:p>
      <w:pPr>
        <w:keepLines/>
        <w:spacing w:before="60" w:after="120"/>
      </w:pPr>
      <w:r>
        <w:rPr>
          <w:sz w:val="18"/>
        </w:rPr>
        <w:t>Controlled simulation. Lower MSE indicates lower prediction error within the same task and target scaling.</w:t>
      </w:r>
    </w:p>
    <w:p>
      <w:r>
        <w:t>Across three initializations, mean MSE decreases from 0.0197 without true time to 0.0095 with it, a reduction of approximately 51.9%.</w:t>
      </w:r>
    </w:p>
    <w:p>
      <w:r>
        <w:t>When identical event values and order can lead to different futures because their intervals differ, elapsed time is part of the information required for prediction.</w:t>
      </w:r>
    </w:p>
    <w:p>
      <w:pPr>
        <w:pStyle w:val="Heading3"/>
      </w:pPr>
      <w:r>
        <w:t>6.4.7 Continuous-time relational computation</w:t>
      </w:r>
    </w:p>
    <w:p>
      <w:r>
        <w:t>Adding continuous decay, relational messages and fixed-horizon propagation does not make CTGraphResidual outperform the simpler models. The regular-sampling advantage of GraphResidual in experiment 012 therefore does not transfer automatically to this asynchronous construction.</w:t>
      </w:r>
    </w:p>
    <w:p>
      <w:r>
        <w:t>The comparisons motivate a layered design that estimates the observation process and predictive state before adding carrier-related residual computation.</w:t>
      </w:r>
    </w:p>
    <w:p>
      <w:pPr>
        <w:pStyle w:val="Heading3"/>
      </w:pPr>
      <w:r>
        <w:t>6.4.8 Temporal identifiability</w:t>
      </w:r>
    </w:p>
    <w:p>
      <w:r>
        <w:t>Timing identifiability T_id describes whether physical time can be inferred sufficiently from event content, count, trajectory state or the sampling process, or whether explicit intervals add essential information.</w:t>
      </w:r>
    </w:p>
    <w:p>
      <w:r>
        <w:t>The tracking profile includes persistence, kinetic kernels, source overlap, finite-history observability, anchor value, assay stability, objective horizon, sampling density and timing identifiability.</w:t>
      </w:r>
    </w:p>
    <w:p>
      <w:pPr>
        <w:pStyle w:val="Heading3"/>
      </w:pPr>
      <w:r>
        <w:t>6.4.9 Training implications</w:t>
      </w:r>
    </w:p>
    <w:p>
      <w:r>
        <w:t>1. Select the training representation from the observation process. At higher density, fixed buckets with masks and staleness provide an effective compression in this experiment.</w:t>
      </w:r>
    </w:p>
    <w:p>
      <w:r>
        <w:t>2. Test whether event intervals add information beyond content and count. In the controlled timing comparison, explicit Δt reduces MSE by approximately 51.9%.</w:t>
      </w:r>
    </w:p>
    <w:p>
      <w:r>
        <w:t>3. Define forecasting targets at meaningful physical horizons. In irregular data, the next row can represent very different durations; horizons such as +24 h or +7 d should be specified according to the application.</w:t>
      </w:r>
    </w:p>
    <w:p>
      <w:r>
        <w:t>4. Retain values, masks and elapsed time as distinct variables. Carrying a value forward should preserve the fact that no new measurement was made.</w:t>
      </w:r>
    </w:p>
    <w:p>
      <w:r>
        <w:t>5. Check how observation frequency affects training weights. Subject-level weighting, event-count balancing or information-based sampling can prevent frequently measured individuals from dominating the objective unintentionally.</w:t>
      </w:r>
    </w:p>
    <w:p>
      <w:r>
        <w:t>6. Evaluate lifecycle-crossing windows separately. Oversampling or a separate loss may be appropriate when rare transitions are central to the scientific objective; report the resulting weighting scheme.</w:t>
      </w:r>
    </w:p>
    <w:p>
      <w:r>
        <w:t>7. Retain modality-specific clocks when measurement families have different sampling rates and kinetic half-lives.</w:t>
      </w:r>
    </w:p>
    <w:p>
      <w:r>
        <w:t>8. Justify continuous-time graph complexity through measured improvement in forecasting, carrier-state fidelity or generalization across observation regimes. The CTGraphResidual comparison here favours simpler alternatives.</w:t>
      </w:r>
    </w:p>
    <w:p>
      <w:r>
        <w:t>9. Specify mechanism objectives separately from next-value prediction. Source-resolved anchors, future-assay prediction, identity consistency or independent probes can assess attribution and lineage-related information.</w:t>
      </w:r>
    </w:p>
    <w:p>
      <w:pPr>
        <w:pStyle w:val="Heading3"/>
      </w:pPr>
      <w:r>
        <w:t>6.4.10 Application to data organization</w:t>
      </w:r>
    </w:p>
    <w:p>
      <w:r>
        <w:t>For exposure research, assess each marker's kinetics and timing information before resampling all measurements to one frequency. Dense environmental observations can be represented in buckets, with sparse assays treated as state-correction events when appropriate. Define targets in physical time.</w:t>
      </w:r>
    </w:p>
    <w:p>
      <w:r>
        <w:t>For infectious-disease research, assay clocks and identity resolution can differ across PCR, antigen, culture and sequencing. A lineage-resolved event may carry information distinct from a routine burden measurement. Intervals belong in the state transition when they affect the future process.</w:t>
      </w:r>
    </w:p>
    <w:p>
      <w:pPr>
        <w:pStyle w:val="Heading3"/>
      </w:pPr>
      <w:r>
        <w:t>6.4.11 Results synthesis</w:t>
      </w:r>
    </w:p>
    <w:p>
      <w:r>
        <w:t>The modelling issue in asynchronous data is the predictive information carried by observation timing.</w:t>
      </w:r>
    </w:p>
    <w:p>
      <w:r>
        <w:t>Buckets, event sequences and continuous-time states provide different information compressions. Their adequacy is tested against the observation process and prediction horizon.</w:t>
      </w:r>
    </w:p>
    <w:p>
      <w:r>
        <w:t>Training representation and architecture should be evaluated together against the generating process.</w:t>
      </w:r>
    </w:p>
    <w:p>
      <w:pPr>
        <w:pStyle w:val="Heading3"/>
      </w:pPr>
      <w:r>
        <w:t>6.4.12 Evidence records</w:t>
      </w:r>
    </w:p>
    <w:p>
      <w:pPr>
        <w:spacing w:after="40"/>
      </w:pPr>
      <w:r>
        <w:rPr>
          <w:sz w:val="18"/>
        </w:rPr>
        <w:t>CONTINUOUS_​EVENT_​TRACKING_​013_​bundle.zip</w:t>
      </w:r>
    </w:p>
    <w:p>
      <w:pPr>
        <w:spacing w:after="40"/>
      </w:pPr>
      <w:r>
        <w:rPr>
          <w:sz w:val="18"/>
        </w:rPr>
        <w:t>CONTINUOUS_​EVENT_​TRACKING_​013/​model_​summary.csv</w:t>
      </w:r>
    </w:p>
    <w:p>
      <w:pPr>
        <w:spacing w:after="40"/>
      </w:pPr>
      <w:r>
        <w:rPr>
          <w:sz w:val="18"/>
        </w:rPr>
        <w:t>CONTINUOUS_​EVENT_​TRACKING_​013/​architecture_​comparison.csv</w:t>
      </w:r>
    </w:p>
    <w:p>
      <w:pPr>
        <w:spacing w:after="40"/>
      </w:pPr>
      <w:r>
        <w:rPr>
          <w:sz w:val="18"/>
        </w:rPr>
        <w:t>CONTINUOUS_​EVENT_​TRACKING_​013/​sampling_​density_​scan_​summary.csv</w:t>
      </w:r>
    </w:p>
    <w:p>
      <w:pPr>
        <w:spacing w:after="40"/>
      </w:pPr>
      <w:r>
        <w:rPr>
          <w:sz w:val="18"/>
        </w:rPr>
        <w:t>CONTINUOUS_​EVENT_​TRACKING_​013/​timing_​identifiability_​summary.csv</w:t>
      </w:r>
    </w:p>
    <w:p>
      <w:pPr>
        <w:spacing w:after="40"/>
      </w:pPr>
      <w:r>
        <w:rPr>
          <w:sz w:val="18"/>
        </w:rPr>
        <w:t>CONTINUOUS_​EVENT_​TRACKING_​013/​event_​vs_​bucket.png</w:t>
      </w:r>
    </w:p>
    <w:p>
      <w:pPr>
        <w:spacing w:after="40"/>
      </w:pPr>
      <w:r>
        <w:rPr>
          <w:sz w:val="18"/>
        </w:rPr>
        <w:t>CONTINUOUS_​EVENT_​TRACKING_​013/​sampling_​density_​threshold.png</w:t>
      </w:r>
    </w:p>
    <w:p>
      <w:pPr>
        <w:spacing w:after="40"/>
      </w:pPr>
      <w:r>
        <w:rPr>
          <w:sz w:val="18"/>
        </w:rPr>
        <w:t>CONTINUOUS_​EVENT_​TRACKING_​013/​latent_​probe.png</w:t>
      </w:r>
    </w:p>
    <w:p>
      <w:pPr>
        <w:pStyle w:val="Heading2"/>
      </w:pPr>
      <w:r>
        <w:t>6.5 INFORMATIVE-SAMPLING-POLICY-014 When Missingness Is Generated by the World</w:t>
      </w:r>
    </w:p>
    <w:p>
      <w:r>
        <w:t>Core question. When measurement timing is informative — abnormal exposure, disease burden, or pathogen state triggers additional testing — should the observation process itself enter the predictive state? And if it does, how do we stop a model from learning a hospital or cohort measurement policy as though it were biological law?</w:t>
      </w:r>
    </w:p>
    <w:p>
      <w:r>
        <w:t>latent world state  →  measurement policy  →  observed data stream</w:t>
      </w:r>
    </w:p>
    <w:p>
      <w:pPr>
        <w:pStyle w:val="Heading3"/>
      </w:pPr>
      <w:r>
        <w:t>6.5.1 Experimental construction</w:t>
      </w:r>
    </w:p>
    <w:p>
      <w:pPr>
        <w:pStyle w:val="ListBullet"/>
      </w:pPr>
      <w:r>
        <w:t>The latent world dynamics are held fixed across all conditions. Only the measurement policy changes.</w:t>
      </w:r>
    </w:p>
    <w:p>
      <w:pPr>
        <w:pStyle w:val="ListBullet"/>
      </w:pPr>
      <w:r>
        <w:t>Policy A (“informative”) measures much more often when latent severity is high and after recent abnormal results.</w:t>
      </w:r>
    </w:p>
    <w:p>
      <w:pPr>
        <w:pStyle w:val="ListBullet"/>
      </w:pPr>
      <w:r>
        <w:t>Policy B uses similarly sparse monitoring but much weaker state dependence.</w:t>
      </w:r>
    </w:p>
    <w:p>
      <w:pPr>
        <w:pStyle w:val="ListBullet"/>
      </w:pPr>
      <w:r>
        <w:t>Policy C is a denser, more scheduled monitoring regime with little severity dependence.</w:t>
      </w:r>
    </w:p>
    <w:p>
      <w:pPr>
        <w:pStyle w:val="ListBullet"/>
      </w:pPr>
      <w:r>
        <w:t>The same held-out latent trajectories are re-observed under all three policies. Therefore policy-shift effects cannot be attributed to a different biological test population.</w:t>
      </w:r>
    </w:p>
    <w:p>
      <w:pPr>
        <w:pStyle w:val="Caption"/>
        <w:keepNext/>
      </w:pPr>
      <w:r>
        <w:t>Table 51. Observation policies.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Measurement policy</w:t>
            </w:r>
          </w:p>
        </w:tc>
        <w:tc>
          <w:tcPr>
            <w:tcW w:type="dxa" w:w="3240"/>
            <w:vAlign w:val="center"/>
            <w:shd w:fill="F2F2F2"/>
          </w:tcPr>
          <w:p>
            <w:pPr>
              <w:keepNext/>
              <w:spacing w:after="0" w:before="0" w:line="240" w:lineRule="auto"/>
            </w:pPr>
            <w:r>
              <w:rPr>
                <w:rFonts w:ascii="Calibri" w:hAnsi="Calibri"/>
                <w:b/>
                <w:sz w:val="19"/>
              </w:rPr>
              <w:t>Observed fraction</w:t>
            </w:r>
          </w:p>
        </w:tc>
        <w:tc>
          <w:tcPr>
            <w:tcW w:type="dxa" w:w="3240"/>
            <w:vAlign w:val="center"/>
            <w:shd w:fill="F2F2F2"/>
          </w:tcPr>
          <w:p>
            <w:pPr>
              <w:keepNext/>
              <w:spacing w:after="0" w:before="0" w:line="240" w:lineRule="auto"/>
            </w:pPr>
            <w:r>
              <w:rPr>
                <w:rFonts w:ascii="Calibri" w:hAnsi="Calibri"/>
                <w:b/>
                <w:sz w:val="19"/>
              </w:rPr>
              <w:t>corr(observation rate, latent severity)</w:t>
            </w:r>
          </w:p>
        </w:tc>
      </w:tr>
      <w:tr>
        <w:trPr>
          <w:cantSplit/>
        </w:trPr>
        <w:tc>
          <w:tcPr>
            <w:tcW w:type="dxa" w:w="3744"/>
            <w:vAlign w:val="center"/>
          </w:tcPr>
          <w:p>
            <w:pPr>
              <w:keepNext w:val="0"/>
              <w:spacing w:after="0" w:before="0" w:line="240" w:lineRule="auto"/>
            </w:pPr>
            <w:r>
              <w:rPr>
                <w:rFonts w:ascii="Calibri" w:hAnsi="Calibri"/>
                <w:b w:val="0"/>
                <w:sz w:val="19"/>
              </w:rPr>
              <w:t>A_informative</w:t>
            </w:r>
          </w:p>
        </w:tc>
        <w:tc>
          <w:tcPr>
            <w:tcW w:type="dxa" w:w="3240"/>
            <w:vAlign w:val="center"/>
          </w:tcPr>
          <w:p>
            <w:pPr>
              <w:keepNext w:val="0"/>
              <w:spacing w:after="0" w:before="0" w:line="240" w:lineRule="auto"/>
              <w:jc w:val="right"/>
            </w:pPr>
            <w:r>
              <w:rPr>
                <w:rFonts w:ascii="Calibri" w:hAnsi="Calibri"/>
                <w:b w:val="0"/>
                <w:sz w:val="19"/>
              </w:rPr>
              <w:t>0.333</w:t>
            </w:r>
          </w:p>
        </w:tc>
        <w:tc>
          <w:tcPr>
            <w:tcW w:type="dxa" w:w="3240"/>
            <w:vAlign w:val="center"/>
          </w:tcPr>
          <w:p>
            <w:pPr>
              <w:keepNext w:val="0"/>
              <w:spacing w:after="0" w:before="0" w:line="240" w:lineRule="auto"/>
              <w:jc w:val="right"/>
            </w:pPr>
            <w:r>
              <w:rPr>
                <w:rFonts w:ascii="Calibri" w:hAnsi="Calibri"/>
                <w:b w:val="0"/>
                <w:sz w:val="19"/>
              </w:rPr>
              <w:t>0.973</w:t>
            </w:r>
          </w:p>
        </w:tc>
      </w:tr>
      <w:tr>
        <w:trPr>
          <w:cantSplit/>
        </w:trPr>
        <w:tc>
          <w:tcPr>
            <w:tcW w:type="dxa" w:w="3744"/>
            <w:vAlign w:val="center"/>
          </w:tcPr>
          <w:p>
            <w:pPr>
              <w:keepNext w:val="0"/>
              <w:spacing w:after="0" w:before="0" w:line="240" w:lineRule="auto"/>
            </w:pPr>
            <w:r>
              <w:rPr>
                <w:rFonts w:ascii="Calibri" w:hAnsi="Calibri"/>
                <w:b w:val="0"/>
                <w:sz w:val="19"/>
              </w:rPr>
              <w:t>B_weak</w:t>
            </w:r>
          </w:p>
        </w:tc>
        <w:tc>
          <w:tcPr>
            <w:tcW w:type="dxa" w:w="3240"/>
            <w:vAlign w:val="center"/>
          </w:tcPr>
          <w:p>
            <w:pPr>
              <w:keepNext w:val="0"/>
              <w:spacing w:after="0" w:before="0" w:line="240" w:lineRule="auto"/>
              <w:jc w:val="right"/>
            </w:pPr>
            <w:r>
              <w:rPr>
                <w:rFonts w:ascii="Calibri" w:hAnsi="Calibri"/>
                <w:b w:val="0"/>
                <w:sz w:val="19"/>
              </w:rPr>
              <w:t>0.219</w:t>
            </w:r>
          </w:p>
        </w:tc>
        <w:tc>
          <w:tcPr>
            <w:tcW w:type="dxa" w:w="3240"/>
            <w:vAlign w:val="center"/>
          </w:tcPr>
          <w:p>
            <w:pPr>
              <w:keepNext w:val="0"/>
              <w:spacing w:after="0" w:before="0" w:line="240" w:lineRule="auto"/>
              <w:jc w:val="right"/>
            </w:pPr>
            <w:r>
              <w:rPr>
                <w:rFonts w:ascii="Calibri" w:hAnsi="Calibri"/>
                <w:b w:val="0"/>
                <w:sz w:val="19"/>
              </w:rPr>
              <w:t>0.658</w:t>
            </w:r>
          </w:p>
        </w:tc>
      </w:tr>
      <w:tr>
        <w:trPr>
          <w:cantSplit/>
        </w:trPr>
        <w:tc>
          <w:tcPr>
            <w:tcW w:type="dxa" w:w="3744"/>
            <w:vAlign w:val="center"/>
          </w:tcPr>
          <w:p>
            <w:pPr>
              <w:keepNext/>
              <w:spacing w:after="0" w:before="0" w:line="240" w:lineRule="auto"/>
            </w:pPr>
            <w:r>
              <w:rPr>
                <w:rFonts w:ascii="Calibri" w:hAnsi="Calibri"/>
                <w:b w:val="0"/>
                <w:sz w:val="19"/>
              </w:rPr>
              <w:t>C_dense</w:t>
            </w:r>
          </w:p>
        </w:tc>
        <w:tc>
          <w:tcPr>
            <w:tcW w:type="dxa" w:w="3240"/>
            <w:vAlign w:val="center"/>
          </w:tcPr>
          <w:p>
            <w:pPr>
              <w:keepNext/>
              <w:spacing w:after="0" w:before="0" w:line="240" w:lineRule="auto"/>
              <w:jc w:val="right"/>
            </w:pPr>
            <w:r>
              <w:rPr>
                <w:rFonts w:ascii="Calibri" w:hAnsi="Calibri"/>
                <w:b w:val="0"/>
                <w:sz w:val="19"/>
              </w:rPr>
              <w:t>0.365</w:t>
            </w:r>
          </w:p>
        </w:tc>
        <w:tc>
          <w:tcPr>
            <w:tcW w:type="dxa" w:w="3240"/>
            <w:vAlign w:val="center"/>
          </w:tcPr>
          <w:p>
            <w:pPr>
              <w:keepNext/>
              <w:spacing w:after="0" w:before="0" w:line="240" w:lineRule="auto"/>
              <w:jc w:val="right"/>
            </w:pPr>
            <w:r>
              <w:rPr>
                <w:rFonts w:ascii="Calibri" w:hAnsi="Calibri"/>
                <w:b w:val="0"/>
                <w:sz w:val="19"/>
              </w:rPr>
              <w:t>0.415</w:t>
            </w:r>
          </w:p>
        </w:tc>
      </w:tr>
    </w:tbl>
    <w:p>
      <w:pPr>
        <w:keepLines/>
        <w:spacing w:before="60" w:after="120"/>
      </w:pPr>
      <w:r>
        <w:rPr>
          <w:sz w:val="18"/>
        </w:rPr>
        <w:t>Controlled simulation.</w:t>
      </w:r>
    </w:p>
    <w:p>
      <w:r>
        <w:t>Interpretation. Under Policy A, the fact of being measured is itself highly informative about the hidden state. Missingness is therefore not merely absent information; it is partially generated by the state being inferred.</w:t>
      </w:r>
    </w:p>
    <w:p>
      <w:pPr>
        <w:pStyle w:val="Heading3"/>
      </w:pPr>
      <w:r>
        <w:t>6.5.2 Training strategies</w:t>
      </w:r>
    </w:p>
    <w:p>
      <w:pPr>
        <w:pStyle w:val="ListBullet"/>
      </w:pPr>
      <w:r>
        <w:t>ValueOnly_A — zero-imputed values only; trained under Policy A.</w:t>
      </w:r>
    </w:p>
    <w:p>
      <w:pPr>
        <w:pStyle w:val="ListBullet"/>
      </w:pPr>
      <w:r>
        <w:t>MaskDelta_A — values + measurement mask + time-since-last-measurement; trained under A.</w:t>
      </w:r>
    </w:p>
    <w:p>
      <w:pPr>
        <w:pStyle w:val="ListBullet"/>
      </w:pPr>
      <w:r>
        <w:t>JointPolicy_A — the same predictive state plus an auxiliary head that predicts the next measurement mask.</w:t>
      </w:r>
    </w:p>
    <w:p>
      <w:pPr>
        <w:pStyle w:val="ListBullet"/>
      </w:pPr>
      <w:r>
        <w:t>RepeatedA_MaskDelta — exact A-policy training set repeated three times; controls for extra optimization exposure.</w:t>
      </w:r>
    </w:p>
    <w:p>
      <w:pPr>
        <w:pStyle w:val="ListBullet"/>
      </w:pPr>
      <w:r>
        <w:t>PermutedMaskAug_MaskDelta reassigns A-like mask sequences across individuals. This preserves the observation-pattern statistics and breaks the individual-level association between state and measurement policy.</w:t>
      </w:r>
    </w:p>
    <w:p>
      <w:pPr>
        <w:pStyle w:val="ListBullet"/>
      </w:pPr>
      <w:r>
        <w:t>MultiPolicy_MaskDelta — one model trained across A, B and C policies, using the same underlying biological dynamics seen through multiple observation policies.</w:t>
      </w:r>
    </w:p>
    <w:p>
      <w:pPr>
        <w:pStyle w:val="Caption"/>
        <w:keepNext/>
      </w:pPr>
      <w:r>
        <w:t>Table 52. Prediction under policy shift.</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Training strategy</w:t>
            </w:r>
          </w:p>
        </w:tc>
        <w:tc>
          <w:tcPr>
            <w:tcW w:type="dxa" w:w="2664"/>
            <w:vAlign w:val="center"/>
            <w:shd w:fill="F2F2F2"/>
          </w:tcPr>
          <w:p>
            <w:pPr>
              <w:keepNext/>
              <w:spacing w:after="0" w:before="0" w:line="240" w:lineRule="auto"/>
            </w:pPr>
            <w:r>
              <w:rPr>
                <w:rFonts w:ascii="Calibri" w:hAnsi="Calibri"/>
                <w:b/>
                <w:sz w:val="19"/>
              </w:rPr>
              <w:t>Test A</w:t>
            </w:r>
          </w:p>
        </w:tc>
        <w:tc>
          <w:tcPr>
            <w:tcW w:type="dxa" w:w="2664"/>
            <w:vAlign w:val="center"/>
            <w:shd w:fill="F2F2F2"/>
          </w:tcPr>
          <w:p>
            <w:pPr>
              <w:keepNext/>
              <w:spacing w:after="0" w:before="0" w:line="240" w:lineRule="auto"/>
            </w:pPr>
            <w:r>
              <w:rPr>
                <w:rFonts w:ascii="Calibri" w:hAnsi="Calibri"/>
                <w:b/>
                <w:sz w:val="19"/>
              </w:rPr>
              <w:t>Test B</w:t>
            </w:r>
          </w:p>
        </w:tc>
        <w:tc>
          <w:tcPr>
            <w:tcW w:type="dxa" w:w="2664"/>
            <w:vAlign w:val="center"/>
            <w:shd w:fill="F2F2F2"/>
          </w:tcPr>
          <w:p>
            <w:pPr>
              <w:keepNext/>
              <w:spacing w:after="0" w:before="0" w:line="240" w:lineRule="auto"/>
            </w:pPr>
            <w:r>
              <w:rPr>
                <w:rFonts w:ascii="Calibri" w:hAnsi="Calibri"/>
                <w:b/>
                <w:sz w:val="19"/>
              </w:rPr>
              <w:t>Test C</w:t>
            </w:r>
          </w:p>
        </w:tc>
      </w:tr>
      <w:tr>
        <w:trPr>
          <w:cantSplit/>
        </w:trPr>
        <w:tc>
          <w:tcPr>
            <w:tcW w:type="dxa" w:w="2232"/>
            <w:vAlign w:val="center"/>
          </w:tcPr>
          <w:p>
            <w:pPr>
              <w:keepNext w:val="0"/>
              <w:spacing w:after="0" w:before="0" w:line="240" w:lineRule="auto"/>
            </w:pPr>
            <w:r>
              <w:rPr>
                <w:rFonts w:ascii="Calibri" w:hAnsi="Calibri"/>
                <w:b w:val="0"/>
                <w:sz w:val="19"/>
              </w:rPr>
              <w:t>ValueOnly_A</w:t>
            </w:r>
          </w:p>
        </w:tc>
        <w:tc>
          <w:tcPr>
            <w:tcW w:type="dxa" w:w="2664"/>
            <w:vAlign w:val="center"/>
          </w:tcPr>
          <w:p>
            <w:pPr>
              <w:keepNext w:val="0"/>
              <w:spacing w:after="0" w:before="0" w:line="240" w:lineRule="auto"/>
              <w:jc w:val="right"/>
            </w:pPr>
            <w:r>
              <w:rPr>
                <w:rFonts w:ascii="Calibri" w:hAnsi="Calibri"/>
                <w:b w:val="0"/>
                <w:sz w:val="19"/>
              </w:rPr>
              <w:t>0.514</w:t>
            </w:r>
          </w:p>
        </w:tc>
        <w:tc>
          <w:tcPr>
            <w:tcW w:type="dxa" w:w="2664"/>
            <w:vAlign w:val="center"/>
          </w:tcPr>
          <w:p>
            <w:pPr>
              <w:keepNext w:val="0"/>
              <w:spacing w:after="0" w:before="0" w:line="240" w:lineRule="auto"/>
              <w:jc w:val="right"/>
            </w:pPr>
            <w:r>
              <w:rPr>
                <w:rFonts w:ascii="Calibri" w:hAnsi="Calibri"/>
                <w:b w:val="0"/>
                <w:sz w:val="19"/>
              </w:rPr>
              <w:t>0.626</w:t>
            </w:r>
          </w:p>
        </w:tc>
        <w:tc>
          <w:tcPr>
            <w:tcW w:type="dxa" w:w="2664"/>
            <w:vAlign w:val="center"/>
          </w:tcPr>
          <w:p>
            <w:pPr>
              <w:keepNext w:val="0"/>
              <w:spacing w:after="0" w:before="0" w:line="240" w:lineRule="auto"/>
              <w:jc w:val="right"/>
            </w:pPr>
            <w:r>
              <w:rPr>
                <w:rFonts w:ascii="Calibri" w:hAnsi="Calibri"/>
                <w:b w:val="0"/>
                <w:sz w:val="19"/>
              </w:rPr>
              <w:t>0.514</w:t>
            </w:r>
          </w:p>
        </w:tc>
      </w:tr>
      <w:tr>
        <w:trPr>
          <w:cantSplit/>
        </w:trPr>
        <w:tc>
          <w:tcPr>
            <w:tcW w:type="dxa" w:w="2232"/>
            <w:vAlign w:val="center"/>
          </w:tcPr>
          <w:p>
            <w:pPr>
              <w:keepNext w:val="0"/>
              <w:spacing w:after="0" w:before="0" w:line="240" w:lineRule="auto"/>
            </w:pPr>
            <w:r>
              <w:rPr>
                <w:rFonts w:ascii="Calibri" w:hAnsi="Calibri"/>
                <w:b w:val="0"/>
                <w:sz w:val="19"/>
              </w:rPr>
              <w:t>MaskDelta_A</w:t>
            </w:r>
          </w:p>
        </w:tc>
        <w:tc>
          <w:tcPr>
            <w:tcW w:type="dxa" w:w="2664"/>
            <w:vAlign w:val="center"/>
          </w:tcPr>
          <w:p>
            <w:pPr>
              <w:keepNext w:val="0"/>
              <w:spacing w:after="0" w:before="0" w:line="240" w:lineRule="auto"/>
              <w:jc w:val="right"/>
            </w:pPr>
            <w:r>
              <w:rPr>
                <w:rFonts w:ascii="Calibri" w:hAnsi="Calibri"/>
                <w:b w:val="0"/>
                <w:sz w:val="19"/>
              </w:rPr>
              <w:t>0.505</w:t>
            </w:r>
          </w:p>
        </w:tc>
        <w:tc>
          <w:tcPr>
            <w:tcW w:type="dxa" w:w="2664"/>
            <w:vAlign w:val="center"/>
          </w:tcPr>
          <w:p>
            <w:pPr>
              <w:keepNext w:val="0"/>
              <w:spacing w:after="0" w:before="0" w:line="240" w:lineRule="auto"/>
              <w:jc w:val="right"/>
            </w:pPr>
            <w:r>
              <w:rPr>
                <w:rFonts w:ascii="Calibri" w:hAnsi="Calibri"/>
                <w:b w:val="0"/>
                <w:sz w:val="19"/>
              </w:rPr>
              <w:t>0.678</w:t>
            </w:r>
          </w:p>
        </w:tc>
        <w:tc>
          <w:tcPr>
            <w:tcW w:type="dxa" w:w="2664"/>
            <w:vAlign w:val="center"/>
          </w:tcPr>
          <w:p>
            <w:pPr>
              <w:keepNext w:val="0"/>
              <w:spacing w:after="0" w:before="0" w:line="240" w:lineRule="auto"/>
              <w:jc w:val="right"/>
            </w:pPr>
            <w:r>
              <w:rPr>
                <w:rFonts w:ascii="Calibri" w:hAnsi="Calibri"/>
                <w:b w:val="0"/>
                <w:sz w:val="19"/>
              </w:rPr>
              <w:t>0.578</w:t>
            </w:r>
          </w:p>
        </w:tc>
      </w:tr>
      <w:tr>
        <w:trPr>
          <w:cantSplit/>
        </w:trPr>
        <w:tc>
          <w:tcPr>
            <w:tcW w:type="dxa" w:w="2232"/>
            <w:vAlign w:val="center"/>
          </w:tcPr>
          <w:p>
            <w:pPr>
              <w:keepNext w:val="0"/>
              <w:spacing w:after="0" w:before="0" w:line="240" w:lineRule="auto"/>
            </w:pPr>
            <w:r>
              <w:rPr>
                <w:rFonts w:ascii="Calibri" w:hAnsi="Calibri"/>
                <w:b w:val="0"/>
                <w:sz w:val="19"/>
              </w:rPr>
              <w:t>JointPolicy_A</w:t>
            </w:r>
          </w:p>
        </w:tc>
        <w:tc>
          <w:tcPr>
            <w:tcW w:type="dxa" w:w="2664"/>
            <w:vAlign w:val="center"/>
          </w:tcPr>
          <w:p>
            <w:pPr>
              <w:keepNext w:val="0"/>
              <w:spacing w:after="0" w:before="0" w:line="240" w:lineRule="auto"/>
              <w:jc w:val="right"/>
            </w:pPr>
            <w:r>
              <w:rPr>
                <w:rFonts w:ascii="Calibri" w:hAnsi="Calibri"/>
                <w:b w:val="0"/>
                <w:sz w:val="19"/>
              </w:rPr>
              <w:t>0.521</w:t>
            </w:r>
          </w:p>
        </w:tc>
        <w:tc>
          <w:tcPr>
            <w:tcW w:type="dxa" w:w="2664"/>
            <w:vAlign w:val="center"/>
          </w:tcPr>
          <w:p>
            <w:pPr>
              <w:keepNext w:val="0"/>
              <w:spacing w:after="0" w:before="0" w:line="240" w:lineRule="auto"/>
              <w:jc w:val="right"/>
            </w:pPr>
            <w:r>
              <w:rPr>
                <w:rFonts w:ascii="Calibri" w:hAnsi="Calibri"/>
                <w:b w:val="0"/>
                <w:sz w:val="19"/>
              </w:rPr>
              <w:t>0.698</w:t>
            </w:r>
          </w:p>
        </w:tc>
        <w:tc>
          <w:tcPr>
            <w:tcW w:type="dxa" w:w="2664"/>
            <w:vAlign w:val="center"/>
          </w:tcPr>
          <w:p>
            <w:pPr>
              <w:keepNext w:val="0"/>
              <w:spacing w:after="0" w:before="0" w:line="240" w:lineRule="auto"/>
              <w:jc w:val="right"/>
            </w:pPr>
            <w:r>
              <w:rPr>
                <w:rFonts w:ascii="Calibri" w:hAnsi="Calibri"/>
                <w:b w:val="0"/>
                <w:sz w:val="19"/>
              </w:rPr>
              <w:t>0.595</w:t>
            </w:r>
          </w:p>
        </w:tc>
      </w:tr>
      <w:tr>
        <w:trPr>
          <w:cantSplit/>
        </w:trPr>
        <w:tc>
          <w:tcPr>
            <w:tcW w:type="dxa" w:w="2232"/>
            <w:vAlign w:val="center"/>
          </w:tcPr>
          <w:p>
            <w:pPr>
              <w:keepNext w:val="0"/>
              <w:spacing w:after="0" w:before="0" w:line="240" w:lineRule="auto"/>
            </w:pPr>
            <w:r>
              <w:rPr>
                <w:rFonts w:ascii="Calibri" w:hAnsi="Calibri"/>
                <w:b w:val="0"/>
                <w:sz w:val="19"/>
              </w:rPr>
              <w:t>RepeatedA</w:t>
            </w:r>
          </w:p>
        </w:tc>
        <w:tc>
          <w:tcPr>
            <w:tcW w:type="dxa" w:w="2664"/>
            <w:vAlign w:val="center"/>
          </w:tcPr>
          <w:p>
            <w:pPr>
              <w:keepNext w:val="0"/>
              <w:spacing w:after="0" w:before="0" w:line="240" w:lineRule="auto"/>
              <w:jc w:val="right"/>
            </w:pPr>
            <w:r>
              <w:rPr>
                <w:rFonts w:ascii="Calibri" w:hAnsi="Calibri"/>
                <w:b w:val="0"/>
                <w:sz w:val="19"/>
              </w:rPr>
              <w:t>0.293</w:t>
            </w:r>
          </w:p>
        </w:tc>
        <w:tc>
          <w:tcPr>
            <w:tcW w:type="dxa" w:w="2664"/>
            <w:vAlign w:val="center"/>
          </w:tcPr>
          <w:p>
            <w:pPr>
              <w:keepNext w:val="0"/>
              <w:spacing w:after="0" w:before="0" w:line="240" w:lineRule="auto"/>
              <w:jc w:val="right"/>
            </w:pPr>
            <w:r>
              <w:rPr>
                <w:rFonts w:ascii="Calibri" w:hAnsi="Calibri"/>
                <w:b w:val="0"/>
                <w:sz w:val="19"/>
              </w:rPr>
              <w:t>0.425</w:t>
            </w:r>
          </w:p>
        </w:tc>
        <w:tc>
          <w:tcPr>
            <w:tcW w:type="dxa" w:w="2664"/>
            <w:vAlign w:val="center"/>
          </w:tcPr>
          <w:p>
            <w:pPr>
              <w:keepNext w:val="0"/>
              <w:spacing w:after="0" w:before="0" w:line="240" w:lineRule="auto"/>
              <w:jc w:val="right"/>
            </w:pPr>
            <w:r>
              <w:rPr>
                <w:rFonts w:ascii="Calibri" w:hAnsi="Calibri"/>
                <w:b w:val="0"/>
                <w:sz w:val="19"/>
              </w:rPr>
              <w:t>0.351</w:t>
            </w:r>
          </w:p>
        </w:tc>
      </w:tr>
      <w:tr>
        <w:trPr>
          <w:cantSplit/>
        </w:trPr>
        <w:tc>
          <w:tcPr>
            <w:tcW w:type="dxa" w:w="2232"/>
            <w:vAlign w:val="center"/>
          </w:tcPr>
          <w:p>
            <w:pPr>
              <w:keepNext w:val="0"/>
              <w:spacing w:after="0" w:before="0" w:line="240" w:lineRule="auto"/>
            </w:pPr>
            <w:r>
              <w:rPr>
                <w:rFonts w:ascii="Calibri" w:hAnsi="Calibri"/>
                <w:b w:val="0"/>
                <w:sz w:val="19"/>
              </w:rPr>
              <w:t>PermutedMaskAug</w:t>
            </w:r>
          </w:p>
        </w:tc>
        <w:tc>
          <w:tcPr>
            <w:tcW w:type="dxa" w:w="2664"/>
            <w:vAlign w:val="center"/>
          </w:tcPr>
          <w:p>
            <w:pPr>
              <w:keepNext w:val="0"/>
              <w:spacing w:after="0" w:before="0" w:line="240" w:lineRule="auto"/>
              <w:jc w:val="right"/>
            </w:pPr>
            <w:r>
              <w:rPr>
                <w:rFonts w:ascii="Calibri" w:hAnsi="Calibri"/>
                <w:b w:val="0"/>
                <w:sz w:val="19"/>
              </w:rPr>
              <w:t>0.254</w:t>
            </w:r>
          </w:p>
        </w:tc>
        <w:tc>
          <w:tcPr>
            <w:tcW w:type="dxa" w:w="2664"/>
            <w:vAlign w:val="center"/>
          </w:tcPr>
          <w:p>
            <w:pPr>
              <w:keepNext w:val="0"/>
              <w:spacing w:after="0" w:before="0" w:line="240" w:lineRule="auto"/>
              <w:jc w:val="right"/>
            </w:pPr>
            <w:r>
              <w:rPr>
                <w:rFonts w:ascii="Calibri" w:hAnsi="Calibri"/>
                <w:b w:val="0"/>
                <w:sz w:val="19"/>
              </w:rPr>
              <w:t>0.326</w:t>
            </w:r>
          </w:p>
        </w:tc>
        <w:tc>
          <w:tcPr>
            <w:tcW w:type="dxa" w:w="2664"/>
            <w:vAlign w:val="center"/>
          </w:tcPr>
          <w:p>
            <w:pPr>
              <w:keepNext w:val="0"/>
              <w:spacing w:after="0" w:before="0" w:line="240" w:lineRule="auto"/>
              <w:jc w:val="right"/>
            </w:pPr>
            <w:r>
              <w:rPr>
                <w:rFonts w:ascii="Calibri" w:hAnsi="Calibri"/>
                <w:b w:val="0"/>
                <w:sz w:val="19"/>
              </w:rPr>
              <w:t>0.268</w:t>
            </w:r>
          </w:p>
        </w:tc>
      </w:tr>
      <w:tr>
        <w:trPr>
          <w:cantSplit/>
        </w:trPr>
        <w:tc>
          <w:tcPr>
            <w:tcW w:type="dxa" w:w="2232"/>
            <w:vAlign w:val="center"/>
          </w:tcPr>
          <w:p>
            <w:pPr>
              <w:keepNext/>
              <w:spacing w:after="0" w:before="0" w:line="240" w:lineRule="auto"/>
            </w:pPr>
            <w:r>
              <w:rPr>
                <w:rFonts w:ascii="Calibri" w:hAnsi="Calibri"/>
                <w:b w:val="0"/>
                <w:sz w:val="19"/>
              </w:rPr>
              <w:t>MultiPolicy</w:t>
            </w:r>
          </w:p>
        </w:tc>
        <w:tc>
          <w:tcPr>
            <w:tcW w:type="dxa" w:w="2664"/>
            <w:vAlign w:val="center"/>
          </w:tcPr>
          <w:p>
            <w:pPr>
              <w:keepNext/>
              <w:spacing w:after="0" w:before="0" w:line="240" w:lineRule="auto"/>
              <w:jc w:val="right"/>
            </w:pPr>
            <w:r>
              <w:rPr>
                <w:rFonts w:ascii="Calibri" w:hAnsi="Calibri"/>
                <w:b w:val="0"/>
                <w:sz w:val="19"/>
              </w:rPr>
              <w:t>0.255</w:t>
            </w:r>
          </w:p>
        </w:tc>
        <w:tc>
          <w:tcPr>
            <w:tcW w:type="dxa" w:w="2664"/>
            <w:vAlign w:val="center"/>
          </w:tcPr>
          <w:p>
            <w:pPr>
              <w:keepNext/>
              <w:spacing w:after="0" w:before="0" w:line="240" w:lineRule="auto"/>
              <w:jc w:val="right"/>
            </w:pPr>
            <w:r>
              <w:rPr>
                <w:rFonts w:ascii="Calibri" w:hAnsi="Calibri"/>
                <w:b w:val="0"/>
                <w:sz w:val="19"/>
              </w:rPr>
              <w:t>0.307</w:t>
            </w:r>
          </w:p>
        </w:tc>
        <w:tc>
          <w:tcPr>
            <w:tcW w:type="dxa" w:w="2664"/>
            <w:vAlign w:val="center"/>
          </w:tcPr>
          <w:p>
            <w:pPr>
              <w:keepNext/>
              <w:spacing w:after="0" w:before="0" w:line="240" w:lineRule="auto"/>
              <w:jc w:val="right"/>
            </w:pPr>
            <w:r>
              <w:rPr>
                <w:rFonts w:ascii="Calibri" w:hAnsi="Calibri"/>
                <w:b w:val="0"/>
                <w:sz w:val="19"/>
              </w:rPr>
              <w:t>0.251</w:t>
            </w:r>
          </w:p>
        </w:tc>
      </w:tr>
    </w:tbl>
    <w:p>
      <w:pPr>
        <w:keepLines/>
        <w:spacing w:before="60" w:after="120"/>
      </w:pPr>
      <w:r>
        <w:rPr>
          <w:sz w:val="18"/>
        </w:rPr>
        <w:t>Controlled simulation.</w:t>
      </w:r>
    </w:p>
    <w:p>
      <w:r>
        <w:t>Policy diversity produces the strongest portable predictor in this constructed world. Repeating Policy A three times improves optimization but has higher shifted-policy error than multi-policy training. Counterfactual mask augmentation approaches multi-policy performance, particularly under A and C.</w:t>
      </w:r>
    </w:p>
    <w:p>
      <w:pPr>
        <w:keepNext/>
        <w:spacing w:after="60"/>
        <w:jc w:val="center"/>
      </w:pPr>
      <w:r>
        <w:drawing>
          <wp:inline xmlns:a="http://schemas.openxmlformats.org/drawingml/2006/main" xmlns:pic="http://schemas.openxmlformats.org/drawingml/2006/picture">
            <wp:extent cx="6309360" cy="3562933"/>
            <wp:docPr id="35" name="Picture 35"/>
            <wp:cNvGraphicFramePr>
              <a:graphicFrameLocks noChangeAspect="1"/>
            </wp:cNvGraphicFramePr>
            <a:graphic>
              <a:graphicData uri="http://schemas.openxmlformats.org/drawingml/2006/picture">
                <pic:pic>
                  <pic:nvPicPr>
                    <pic:cNvPr id="0" name="35_image35.png"/>
                    <pic:cNvPicPr/>
                  </pic:nvPicPr>
                  <pic:blipFill>
                    <a:blip r:embed="rId48"/>
                    <a:stretch>
                      <a:fillRect/>
                    </a:stretch>
                  </pic:blipFill>
                  <pic:spPr>
                    <a:xfrm>
                      <a:off x="0" y="0"/>
                      <a:ext cx="6309360" cy="3562933"/>
                    </a:xfrm>
                    <a:prstGeom prst="rect"/>
                  </pic:spPr>
                </pic:pic>
              </a:graphicData>
            </a:graphic>
          </wp:inline>
        </w:drawing>
      </w:r>
    </w:p>
    <w:p>
      <w:pPr>
        <w:pStyle w:val="Caption"/>
      </w:pPr>
      <w:r>
        <w:t>Figure 35. Measurement-policy shift changes the value and risk of missingness features.</w:t>
      </w:r>
    </w:p>
    <w:p>
      <w:pPr>
        <w:keepNext/>
        <w:spacing w:after="60"/>
        <w:jc w:val="center"/>
      </w:pPr>
      <w:r>
        <w:drawing>
          <wp:inline xmlns:a="http://schemas.openxmlformats.org/drawingml/2006/main" xmlns:pic="http://schemas.openxmlformats.org/drawingml/2006/picture">
            <wp:extent cx="6309360" cy="3441469"/>
            <wp:docPr id="36" name="Picture 36"/>
            <wp:cNvGraphicFramePr>
              <a:graphicFrameLocks noChangeAspect="1"/>
            </wp:cNvGraphicFramePr>
            <a:graphic>
              <a:graphicData uri="http://schemas.openxmlformats.org/drawingml/2006/picture">
                <pic:pic>
                  <pic:nvPicPr>
                    <pic:cNvPr id="0" name="36_image36.png"/>
                    <pic:cNvPicPr/>
                  </pic:nvPicPr>
                  <pic:blipFill>
                    <a:blip r:embed="rId49"/>
                    <a:stretch>
                      <a:fillRect/>
                    </a:stretch>
                  </pic:blipFill>
                  <pic:spPr>
                    <a:xfrm>
                      <a:off x="0" y="0"/>
                      <a:ext cx="6309360" cy="3441469"/>
                    </a:xfrm>
                    <a:prstGeom prst="rect"/>
                  </pic:spPr>
                </pic:pic>
              </a:graphicData>
            </a:graphic>
          </wp:inline>
        </w:drawing>
      </w:r>
    </w:p>
    <w:p>
      <w:pPr>
        <w:pStyle w:val="Caption"/>
      </w:pPr>
      <w:r>
        <w:t>Figure 36. Policy diversity is not equivalent to repeating one measurement regime.</w:t>
      </w:r>
    </w:p>
    <w:p>
      <w:pPr>
        <w:pStyle w:val="Heading3"/>
      </w:pPr>
      <w:r>
        <w:t>6.5.3 Measurement policy is predictive evidence and a transportability hazard</w:t>
      </w:r>
    </w:p>
    <w:p>
      <w:r>
        <w:t>A-only MaskDelta achieved MSE 0.505 under its own informative policy, but deteriorated to 0.678 under the weaker Policy B and 0.578 under dense Policy C even though the latent world trajectories were held fixed.</w:t>
      </w:r>
    </w:p>
    <w:p>
      <w:r>
        <w:t>Jointly predicting the measurement policy did not rescue the world model. JointPolicy_A reached 0.521 / 0.698 / 0.595 under A/B/C and showed nearly the same policy-shift sensitivity as MaskDelta_A. The auxiliary policy head therefore learned the observation process without making the biological state model more portable.</w:t>
      </w:r>
    </w:p>
    <w:p>
      <w:r>
        <w:t>Multi-policy training reduced MSE to 0.255 / 0.307 / 0.251 under A/B/C. Its latent-state probe was also highest or near-highest across policies (R² ≈ 0.891 / 0.784 / 0.834), indicating that robustness was accompanied by a stronger predictive representation of the latent world rather than merely flatter predictions.</w:t>
      </w:r>
    </w:p>
    <w:p>
      <w:pPr>
        <w:pStyle w:val="Heading3"/>
      </w:pPr>
      <w:r>
        <w:t>6.5.4 Matched-exposure controls: what caused the gain?</w:t>
      </w:r>
    </w:p>
    <w:p>
      <w:pPr>
        <w:pStyle w:val="Caption"/>
        <w:keepNext/>
      </w:pPr>
      <w:r>
        <w:t>Table 53. Matched training-exposure controls.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Model</w:t>
            </w:r>
          </w:p>
        </w:tc>
        <w:tc>
          <w:tcPr>
            <w:tcW w:type="dxa" w:w="2153"/>
            <w:vAlign w:val="center"/>
            <w:shd w:fill="F2F2F2"/>
          </w:tcPr>
          <w:p>
            <w:pPr>
              <w:keepNext/>
              <w:spacing w:after="0" w:before="0" w:line="240" w:lineRule="auto"/>
            </w:pPr>
            <w:r>
              <w:rPr>
                <w:rFonts w:ascii="Calibri" w:hAnsi="Calibri"/>
                <w:b/>
                <w:sz w:val="19"/>
              </w:rPr>
              <w:t>A MSE</w:t>
            </w:r>
          </w:p>
        </w:tc>
        <w:tc>
          <w:tcPr>
            <w:tcW w:type="dxa" w:w="2153"/>
            <w:vAlign w:val="center"/>
            <w:shd w:fill="F2F2F2"/>
          </w:tcPr>
          <w:p>
            <w:pPr>
              <w:keepNext/>
              <w:spacing w:after="0" w:before="0" w:line="240" w:lineRule="auto"/>
            </w:pPr>
            <w:r>
              <w:rPr>
                <w:rFonts w:ascii="Calibri" w:hAnsi="Calibri"/>
                <w:b/>
                <w:sz w:val="19"/>
              </w:rPr>
              <w:t>B MSE</w:t>
            </w:r>
          </w:p>
        </w:tc>
        <w:tc>
          <w:tcPr>
            <w:tcW w:type="dxa" w:w="2153"/>
            <w:vAlign w:val="center"/>
            <w:shd w:fill="F2F2F2"/>
          </w:tcPr>
          <w:p>
            <w:pPr>
              <w:keepNext/>
              <w:spacing w:after="0" w:before="0" w:line="240" w:lineRule="auto"/>
            </w:pPr>
            <w:r>
              <w:rPr>
                <w:rFonts w:ascii="Calibri" w:hAnsi="Calibri"/>
                <w:b/>
                <w:sz w:val="19"/>
              </w:rPr>
              <w:t>C MSE</w:t>
            </w:r>
          </w:p>
        </w:tc>
        <w:tc>
          <w:tcPr>
            <w:tcW w:type="dxa" w:w="2153"/>
            <w:vAlign w:val="center"/>
            <w:shd w:fill="F2F2F2"/>
          </w:tcPr>
          <w:p>
            <w:pPr>
              <w:keepNext/>
              <w:spacing w:after="0" w:before="0" w:line="240" w:lineRule="auto"/>
            </w:pPr>
            <w:r>
              <w:rPr>
                <w:rFonts w:ascii="Calibri" w:hAnsi="Calibri"/>
                <w:b/>
                <w:sz w:val="19"/>
              </w:rPr>
              <w:t>Mean shifted MSE</w:t>
            </w:r>
          </w:p>
        </w:tc>
      </w:tr>
      <w:tr>
        <w:trPr>
          <w:cantSplit/>
        </w:trPr>
        <w:tc>
          <w:tcPr>
            <w:tcW w:type="dxa" w:w="1613"/>
            <w:vAlign w:val="center"/>
          </w:tcPr>
          <w:p>
            <w:pPr>
              <w:keepNext w:val="0"/>
              <w:spacing w:after="0" w:before="0" w:line="240" w:lineRule="auto"/>
            </w:pPr>
            <w:r>
              <w:rPr>
                <w:rFonts w:ascii="Calibri" w:hAnsi="Calibri"/>
                <w:b w:val="0"/>
                <w:sz w:val="19"/>
              </w:rPr>
              <w:t>MultiPolicy</w:t>
            </w:r>
          </w:p>
        </w:tc>
        <w:tc>
          <w:tcPr>
            <w:tcW w:type="dxa" w:w="2153"/>
            <w:vAlign w:val="center"/>
          </w:tcPr>
          <w:p>
            <w:pPr>
              <w:keepNext w:val="0"/>
              <w:spacing w:after="0" w:before="0" w:line="240" w:lineRule="auto"/>
              <w:jc w:val="right"/>
            </w:pPr>
            <w:r>
              <w:rPr>
                <w:rFonts w:ascii="Calibri" w:hAnsi="Calibri"/>
                <w:b w:val="0"/>
                <w:sz w:val="19"/>
              </w:rPr>
              <w:t>0.255</w:t>
            </w:r>
          </w:p>
        </w:tc>
        <w:tc>
          <w:tcPr>
            <w:tcW w:type="dxa" w:w="2153"/>
            <w:vAlign w:val="center"/>
          </w:tcPr>
          <w:p>
            <w:pPr>
              <w:keepNext w:val="0"/>
              <w:spacing w:after="0" w:before="0" w:line="240" w:lineRule="auto"/>
              <w:jc w:val="right"/>
            </w:pPr>
            <w:r>
              <w:rPr>
                <w:rFonts w:ascii="Calibri" w:hAnsi="Calibri"/>
                <w:b w:val="0"/>
                <w:sz w:val="19"/>
              </w:rPr>
              <w:t>0.307</w:t>
            </w:r>
          </w:p>
        </w:tc>
        <w:tc>
          <w:tcPr>
            <w:tcW w:type="dxa" w:w="2153"/>
            <w:vAlign w:val="center"/>
          </w:tcPr>
          <w:p>
            <w:pPr>
              <w:keepNext w:val="0"/>
              <w:spacing w:after="0" w:before="0" w:line="240" w:lineRule="auto"/>
              <w:jc w:val="right"/>
            </w:pPr>
            <w:r>
              <w:rPr>
                <w:rFonts w:ascii="Calibri" w:hAnsi="Calibri"/>
                <w:b w:val="0"/>
                <w:sz w:val="19"/>
              </w:rPr>
              <w:t>0.251</w:t>
            </w:r>
          </w:p>
        </w:tc>
        <w:tc>
          <w:tcPr>
            <w:tcW w:type="dxa" w:w="2153"/>
            <w:vAlign w:val="center"/>
          </w:tcPr>
          <w:p>
            <w:pPr>
              <w:keepNext w:val="0"/>
              <w:spacing w:after="0" w:before="0" w:line="240" w:lineRule="auto"/>
              <w:jc w:val="right"/>
            </w:pPr>
            <w:r>
              <w:rPr>
                <w:rFonts w:ascii="Calibri" w:hAnsi="Calibri"/>
                <w:b w:val="0"/>
                <w:sz w:val="19"/>
              </w:rPr>
              <w:t>0.279</w:t>
            </w:r>
          </w:p>
        </w:tc>
      </w:tr>
      <w:tr>
        <w:trPr>
          <w:cantSplit/>
        </w:trPr>
        <w:tc>
          <w:tcPr>
            <w:tcW w:type="dxa" w:w="1613"/>
            <w:vAlign w:val="center"/>
          </w:tcPr>
          <w:p>
            <w:pPr>
              <w:keepNext w:val="0"/>
              <w:spacing w:after="0" w:before="0" w:line="240" w:lineRule="auto"/>
            </w:pPr>
            <w:r>
              <w:rPr>
                <w:rFonts w:ascii="Calibri" w:hAnsi="Calibri"/>
                <w:b w:val="0"/>
                <w:sz w:val="19"/>
              </w:rPr>
              <w:t>PermutedMaskAug</w:t>
            </w:r>
          </w:p>
        </w:tc>
        <w:tc>
          <w:tcPr>
            <w:tcW w:type="dxa" w:w="2153"/>
            <w:vAlign w:val="center"/>
          </w:tcPr>
          <w:p>
            <w:pPr>
              <w:keepNext w:val="0"/>
              <w:spacing w:after="0" w:before="0" w:line="240" w:lineRule="auto"/>
              <w:jc w:val="right"/>
            </w:pPr>
            <w:r>
              <w:rPr>
                <w:rFonts w:ascii="Calibri" w:hAnsi="Calibri"/>
                <w:b w:val="0"/>
                <w:sz w:val="19"/>
              </w:rPr>
              <w:t>0.254</w:t>
            </w:r>
          </w:p>
        </w:tc>
        <w:tc>
          <w:tcPr>
            <w:tcW w:type="dxa" w:w="2153"/>
            <w:vAlign w:val="center"/>
          </w:tcPr>
          <w:p>
            <w:pPr>
              <w:keepNext w:val="0"/>
              <w:spacing w:after="0" w:before="0" w:line="240" w:lineRule="auto"/>
              <w:jc w:val="right"/>
            </w:pPr>
            <w:r>
              <w:rPr>
                <w:rFonts w:ascii="Calibri" w:hAnsi="Calibri"/>
                <w:b w:val="0"/>
                <w:sz w:val="19"/>
              </w:rPr>
              <w:t>0.326</w:t>
            </w:r>
          </w:p>
        </w:tc>
        <w:tc>
          <w:tcPr>
            <w:tcW w:type="dxa" w:w="2153"/>
            <w:vAlign w:val="center"/>
          </w:tcPr>
          <w:p>
            <w:pPr>
              <w:keepNext w:val="0"/>
              <w:spacing w:after="0" w:before="0" w:line="240" w:lineRule="auto"/>
              <w:jc w:val="right"/>
            </w:pPr>
            <w:r>
              <w:rPr>
                <w:rFonts w:ascii="Calibri" w:hAnsi="Calibri"/>
                <w:b w:val="0"/>
                <w:sz w:val="19"/>
              </w:rPr>
              <w:t>0.268</w:t>
            </w:r>
          </w:p>
        </w:tc>
        <w:tc>
          <w:tcPr>
            <w:tcW w:type="dxa" w:w="2153"/>
            <w:vAlign w:val="center"/>
          </w:tcPr>
          <w:p>
            <w:pPr>
              <w:keepNext w:val="0"/>
              <w:spacing w:after="0" w:before="0" w:line="240" w:lineRule="auto"/>
              <w:jc w:val="right"/>
            </w:pPr>
            <w:r>
              <w:rPr>
                <w:rFonts w:ascii="Calibri" w:hAnsi="Calibri"/>
                <w:b w:val="0"/>
                <w:sz w:val="19"/>
              </w:rPr>
              <w:t>0.297</w:t>
            </w:r>
          </w:p>
        </w:tc>
      </w:tr>
      <w:tr>
        <w:trPr>
          <w:cantSplit/>
        </w:trPr>
        <w:tc>
          <w:tcPr>
            <w:tcW w:type="dxa" w:w="1613"/>
            <w:vAlign w:val="center"/>
          </w:tcPr>
          <w:p>
            <w:pPr>
              <w:keepNext w:val="0"/>
              <w:spacing w:after="0" w:before="0" w:line="240" w:lineRule="auto"/>
            </w:pPr>
            <w:r>
              <w:rPr>
                <w:rFonts w:ascii="Calibri" w:hAnsi="Calibri"/>
                <w:b w:val="0"/>
                <w:sz w:val="19"/>
              </w:rPr>
              <w:t>RepeatedA</w:t>
            </w:r>
          </w:p>
        </w:tc>
        <w:tc>
          <w:tcPr>
            <w:tcW w:type="dxa" w:w="2153"/>
            <w:vAlign w:val="center"/>
          </w:tcPr>
          <w:p>
            <w:pPr>
              <w:keepNext w:val="0"/>
              <w:spacing w:after="0" w:before="0" w:line="240" w:lineRule="auto"/>
              <w:jc w:val="right"/>
            </w:pPr>
            <w:r>
              <w:rPr>
                <w:rFonts w:ascii="Calibri" w:hAnsi="Calibri"/>
                <w:b w:val="0"/>
                <w:sz w:val="19"/>
              </w:rPr>
              <w:t>0.293</w:t>
            </w:r>
          </w:p>
        </w:tc>
        <w:tc>
          <w:tcPr>
            <w:tcW w:type="dxa" w:w="2153"/>
            <w:vAlign w:val="center"/>
          </w:tcPr>
          <w:p>
            <w:pPr>
              <w:keepNext w:val="0"/>
              <w:spacing w:after="0" w:before="0" w:line="240" w:lineRule="auto"/>
              <w:jc w:val="right"/>
            </w:pPr>
            <w:r>
              <w:rPr>
                <w:rFonts w:ascii="Calibri" w:hAnsi="Calibri"/>
                <w:b w:val="0"/>
                <w:sz w:val="19"/>
              </w:rPr>
              <w:t>0.425</w:t>
            </w:r>
          </w:p>
        </w:tc>
        <w:tc>
          <w:tcPr>
            <w:tcW w:type="dxa" w:w="2153"/>
            <w:vAlign w:val="center"/>
          </w:tcPr>
          <w:p>
            <w:pPr>
              <w:keepNext w:val="0"/>
              <w:spacing w:after="0" w:before="0" w:line="240" w:lineRule="auto"/>
              <w:jc w:val="right"/>
            </w:pPr>
            <w:r>
              <w:rPr>
                <w:rFonts w:ascii="Calibri" w:hAnsi="Calibri"/>
                <w:b w:val="0"/>
                <w:sz w:val="19"/>
              </w:rPr>
              <w:t>0.351</w:t>
            </w:r>
          </w:p>
        </w:tc>
        <w:tc>
          <w:tcPr>
            <w:tcW w:type="dxa" w:w="2153"/>
            <w:vAlign w:val="center"/>
          </w:tcPr>
          <w:p>
            <w:pPr>
              <w:keepNext w:val="0"/>
              <w:spacing w:after="0" w:before="0" w:line="240" w:lineRule="auto"/>
              <w:jc w:val="right"/>
            </w:pPr>
            <w:r>
              <w:rPr>
                <w:rFonts w:ascii="Calibri" w:hAnsi="Calibri"/>
                <w:b w:val="0"/>
                <w:sz w:val="19"/>
              </w:rPr>
              <w:t>0.388</w:t>
            </w:r>
          </w:p>
        </w:tc>
      </w:tr>
      <w:tr>
        <w:trPr>
          <w:cantSplit/>
        </w:trPr>
        <w:tc>
          <w:tcPr>
            <w:tcW w:type="dxa" w:w="1613"/>
            <w:vAlign w:val="center"/>
          </w:tcPr>
          <w:p>
            <w:pPr>
              <w:keepNext w:val="0"/>
              <w:spacing w:after="0" w:before="0" w:line="240" w:lineRule="auto"/>
            </w:pPr>
            <w:r>
              <w:rPr>
                <w:rFonts w:ascii="Calibri" w:hAnsi="Calibri"/>
                <w:b w:val="0"/>
                <w:sz w:val="19"/>
              </w:rPr>
              <w:t>ValueOnly_A</w:t>
            </w:r>
          </w:p>
        </w:tc>
        <w:tc>
          <w:tcPr>
            <w:tcW w:type="dxa" w:w="2153"/>
            <w:vAlign w:val="center"/>
          </w:tcPr>
          <w:p>
            <w:pPr>
              <w:keepNext w:val="0"/>
              <w:spacing w:after="0" w:before="0" w:line="240" w:lineRule="auto"/>
              <w:jc w:val="right"/>
            </w:pPr>
            <w:r>
              <w:rPr>
                <w:rFonts w:ascii="Calibri" w:hAnsi="Calibri"/>
                <w:b w:val="0"/>
                <w:sz w:val="19"/>
              </w:rPr>
              <w:t>0.514</w:t>
            </w:r>
          </w:p>
        </w:tc>
        <w:tc>
          <w:tcPr>
            <w:tcW w:type="dxa" w:w="2153"/>
            <w:vAlign w:val="center"/>
          </w:tcPr>
          <w:p>
            <w:pPr>
              <w:keepNext w:val="0"/>
              <w:spacing w:after="0" w:before="0" w:line="240" w:lineRule="auto"/>
              <w:jc w:val="right"/>
            </w:pPr>
            <w:r>
              <w:rPr>
                <w:rFonts w:ascii="Calibri" w:hAnsi="Calibri"/>
                <w:b w:val="0"/>
                <w:sz w:val="19"/>
              </w:rPr>
              <w:t>0.626</w:t>
            </w:r>
          </w:p>
        </w:tc>
        <w:tc>
          <w:tcPr>
            <w:tcW w:type="dxa" w:w="2153"/>
            <w:vAlign w:val="center"/>
          </w:tcPr>
          <w:p>
            <w:pPr>
              <w:keepNext w:val="0"/>
              <w:spacing w:after="0" w:before="0" w:line="240" w:lineRule="auto"/>
              <w:jc w:val="right"/>
            </w:pPr>
            <w:r>
              <w:rPr>
                <w:rFonts w:ascii="Calibri" w:hAnsi="Calibri"/>
                <w:b w:val="0"/>
                <w:sz w:val="19"/>
              </w:rPr>
              <w:t>0.514</w:t>
            </w:r>
          </w:p>
        </w:tc>
        <w:tc>
          <w:tcPr>
            <w:tcW w:type="dxa" w:w="2153"/>
            <w:vAlign w:val="center"/>
          </w:tcPr>
          <w:p>
            <w:pPr>
              <w:keepNext w:val="0"/>
              <w:spacing w:after="0" w:before="0" w:line="240" w:lineRule="auto"/>
              <w:jc w:val="right"/>
            </w:pPr>
            <w:r>
              <w:rPr>
                <w:rFonts w:ascii="Calibri" w:hAnsi="Calibri"/>
                <w:b w:val="0"/>
                <w:sz w:val="19"/>
              </w:rPr>
              <w:t>0.570</w:t>
            </w:r>
          </w:p>
        </w:tc>
      </w:tr>
      <w:tr>
        <w:trPr>
          <w:cantSplit/>
        </w:trPr>
        <w:tc>
          <w:tcPr>
            <w:tcW w:type="dxa" w:w="1613"/>
            <w:vAlign w:val="center"/>
          </w:tcPr>
          <w:p>
            <w:pPr>
              <w:keepNext w:val="0"/>
              <w:spacing w:after="0" w:before="0" w:line="240" w:lineRule="auto"/>
            </w:pPr>
            <w:r>
              <w:rPr>
                <w:rFonts w:ascii="Calibri" w:hAnsi="Calibri"/>
                <w:b w:val="0"/>
                <w:sz w:val="19"/>
              </w:rPr>
              <w:t>MaskDelta_A</w:t>
            </w:r>
          </w:p>
        </w:tc>
        <w:tc>
          <w:tcPr>
            <w:tcW w:type="dxa" w:w="2153"/>
            <w:vAlign w:val="center"/>
          </w:tcPr>
          <w:p>
            <w:pPr>
              <w:keepNext w:val="0"/>
              <w:spacing w:after="0" w:before="0" w:line="240" w:lineRule="auto"/>
              <w:jc w:val="right"/>
            </w:pPr>
            <w:r>
              <w:rPr>
                <w:rFonts w:ascii="Calibri" w:hAnsi="Calibri"/>
                <w:b w:val="0"/>
                <w:sz w:val="19"/>
              </w:rPr>
              <w:t>0.505</w:t>
            </w:r>
          </w:p>
        </w:tc>
        <w:tc>
          <w:tcPr>
            <w:tcW w:type="dxa" w:w="2153"/>
            <w:vAlign w:val="center"/>
          </w:tcPr>
          <w:p>
            <w:pPr>
              <w:keepNext w:val="0"/>
              <w:spacing w:after="0" w:before="0" w:line="240" w:lineRule="auto"/>
              <w:jc w:val="right"/>
            </w:pPr>
            <w:r>
              <w:rPr>
                <w:rFonts w:ascii="Calibri" w:hAnsi="Calibri"/>
                <w:b w:val="0"/>
                <w:sz w:val="19"/>
              </w:rPr>
              <w:t>0.678</w:t>
            </w:r>
          </w:p>
        </w:tc>
        <w:tc>
          <w:tcPr>
            <w:tcW w:type="dxa" w:w="2153"/>
            <w:vAlign w:val="center"/>
          </w:tcPr>
          <w:p>
            <w:pPr>
              <w:keepNext w:val="0"/>
              <w:spacing w:after="0" w:before="0" w:line="240" w:lineRule="auto"/>
              <w:jc w:val="right"/>
            </w:pPr>
            <w:r>
              <w:rPr>
                <w:rFonts w:ascii="Calibri" w:hAnsi="Calibri"/>
                <w:b w:val="0"/>
                <w:sz w:val="19"/>
              </w:rPr>
              <w:t>0.578</w:t>
            </w:r>
          </w:p>
        </w:tc>
        <w:tc>
          <w:tcPr>
            <w:tcW w:type="dxa" w:w="2153"/>
            <w:vAlign w:val="center"/>
          </w:tcPr>
          <w:p>
            <w:pPr>
              <w:keepNext w:val="0"/>
              <w:spacing w:after="0" w:before="0" w:line="240" w:lineRule="auto"/>
              <w:jc w:val="right"/>
            </w:pPr>
            <w:r>
              <w:rPr>
                <w:rFonts w:ascii="Calibri" w:hAnsi="Calibri"/>
                <w:b w:val="0"/>
                <w:sz w:val="19"/>
              </w:rPr>
              <w:t>0.628</w:t>
            </w:r>
          </w:p>
        </w:tc>
      </w:tr>
      <w:tr>
        <w:trPr>
          <w:cantSplit/>
        </w:trPr>
        <w:tc>
          <w:tcPr>
            <w:tcW w:type="dxa" w:w="1613"/>
            <w:vAlign w:val="center"/>
          </w:tcPr>
          <w:p>
            <w:pPr>
              <w:keepNext/>
              <w:spacing w:after="0" w:before="0" w:line="240" w:lineRule="auto"/>
            </w:pPr>
            <w:r>
              <w:rPr>
                <w:rFonts w:ascii="Calibri" w:hAnsi="Calibri"/>
                <w:b w:val="0"/>
                <w:sz w:val="19"/>
              </w:rPr>
              <w:t>JointPolicy_A</w:t>
            </w:r>
          </w:p>
        </w:tc>
        <w:tc>
          <w:tcPr>
            <w:tcW w:type="dxa" w:w="2153"/>
            <w:vAlign w:val="center"/>
          </w:tcPr>
          <w:p>
            <w:pPr>
              <w:keepNext/>
              <w:spacing w:after="0" w:before="0" w:line="240" w:lineRule="auto"/>
              <w:jc w:val="right"/>
            </w:pPr>
            <w:r>
              <w:rPr>
                <w:rFonts w:ascii="Calibri" w:hAnsi="Calibri"/>
                <w:b w:val="0"/>
                <w:sz w:val="19"/>
              </w:rPr>
              <w:t>0.521</w:t>
            </w:r>
          </w:p>
        </w:tc>
        <w:tc>
          <w:tcPr>
            <w:tcW w:type="dxa" w:w="2153"/>
            <w:vAlign w:val="center"/>
          </w:tcPr>
          <w:p>
            <w:pPr>
              <w:keepNext/>
              <w:spacing w:after="0" w:before="0" w:line="240" w:lineRule="auto"/>
              <w:jc w:val="right"/>
            </w:pPr>
            <w:r>
              <w:rPr>
                <w:rFonts w:ascii="Calibri" w:hAnsi="Calibri"/>
                <w:b w:val="0"/>
                <w:sz w:val="19"/>
              </w:rPr>
              <w:t>0.698</w:t>
            </w:r>
          </w:p>
        </w:tc>
        <w:tc>
          <w:tcPr>
            <w:tcW w:type="dxa" w:w="2153"/>
            <w:vAlign w:val="center"/>
          </w:tcPr>
          <w:p>
            <w:pPr>
              <w:keepNext/>
              <w:spacing w:after="0" w:before="0" w:line="240" w:lineRule="auto"/>
              <w:jc w:val="right"/>
            </w:pPr>
            <w:r>
              <w:rPr>
                <w:rFonts w:ascii="Calibri" w:hAnsi="Calibri"/>
                <w:b w:val="0"/>
                <w:sz w:val="19"/>
              </w:rPr>
              <w:t>0.595</w:t>
            </w:r>
          </w:p>
        </w:tc>
        <w:tc>
          <w:tcPr>
            <w:tcW w:type="dxa" w:w="2153"/>
            <w:vAlign w:val="center"/>
          </w:tcPr>
          <w:p>
            <w:pPr>
              <w:keepNext/>
              <w:spacing w:after="0" w:before="0" w:line="240" w:lineRule="auto"/>
              <w:jc w:val="right"/>
            </w:pPr>
            <w:r>
              <w:rPr>
                <w:rFonts w:ascii="Calibri" w:hAnsi="Calibri"/>
                <w:b w:val="0"/>
                <w:sz w:val="19"/>
              </w:rPr>
              <w:t>0.647</w:t>
            </w:r>
          </w:p>
        </w:tc>
      </w:tr>
    </w:tbl>
    <w:p>
      <w:pPr>
        <w:keepLines/>
        <w:spacing w:before="60" w:after="120"/>
      </w:pPr>
      <w:r>
        <w:rPr>
          <w:sz w:val="18"/>
        </w:rPr>
        <w:t>Controlled simulation. Lower MSE indicates lower prediction error within the same task and target scaling.</w:t>
      </w:r>
    </w:p>
    <w:p>
      <w:r>
        <w:t>Exact repetition control. RepeatedA_MaskDelta saw the same threefold number of training examples as MultiPolicy_MaskDelta but only one observation policy. It improved over A-only training, yet shifted-policy MSE remained 0.425 (B) and 0.351 (C), much worse than 0.307 and 0.251 for true multi-policy training.</w:t>
      </w:r>
    </w:p>
    <w:p>
      <w:r>
        <w:t>Counterfactual mask augmentation reassigns realistic A-policy masks across individuals, preserving their temporal and marginal structure but breaking the person-specific state–policy relationship. MSE is 0.254 / 0.326 / 0.268 under A/B/C, close to the multi-policy model and lower than exact repetition.</w:t>
      </w:r>
    </w:p>
    <w:p>
      <w:pPr>
        <w:pStyle w:val="Heading3"/>
      </w:pPr>
      <w:r>
        <w:t>6.5.5 Counterfactual measurement-policy sensitivity</w:t>
      </w:r>
    </w:p>
    <w:p>
      <w:pPr>
        <w:pStyle w:val="Caption"/>
        <w:keepNext/>
      </w:pPr>
      <w:r>
        <w:t>Table 54. Counterfactual policy sensitivity.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Model</w:t>
            </w:r>
          </w:p>
        </w:tc>
        <w:tc>
          <w:tcPr>
            <w:tcW w:type="dxa" w:w="3240"/>
            <w:vAlign w:val="center"/>
            <w:shd w:fill="F2F2F2"/>
          </w:tcPr>
          <w:p>
            <w:pPr>
              <w:keepNext/>
              <w:spacing w:after="0" w:before="0" w:line="240" w:lineRule="auto"/>
            </w:pPr>
            <w:r>
              <w:rPr>
                <w:rFonts w:ascii="Calibri" w:hAnsi="Calibri"/>
                <w:b/>
                <w:sz w:val="19"/>
              </w:rPr>
              <w:t>Same latent world, policy swap</w:t>
            </w:r>
          </w:p>
        </w:tc>
        <w:tc>
          <w:tcPr>
            <w:tcW w:type="dxa" w:w="3240"/>
            <w:vAlign w:val="center"/>
            <w:shd w:fill="F2F2F2"/>
          </w:tcPr>
          <w:p>
            <w:pPr>
              <w:keepNext/>
              <w:spacing w:after="0" w:before="0" w:line="240" w:lineRule="auto"/>
            </w:pPr>
            <w:r>
              <w:rPr>
                <w:rFonts w:ascii="Calibri" w:hAnsi="Calibri"/>
                <w:b/>
                <w:sz w:val="19"/>
              </w:rPr>
              <w:t>Prediction disagreement</w:t>
            </w:r>
          </w:p>
        </w:tc>
      </w:tr>
      <w:tr>
        <w:trPr>
          <w:cantSplit/>
        </w:trPr>
        <w:tc>
          <w:tcPr>
            <w:tcW w:type="dxa" w:w="3744"/>
            <w:vAlign w:val="center"/>
          </w:tcPr>
          <w:p>
            <w:pPr>
              <w:keepNext w:val="0"/>
              <w:spacing w:after="0" w:before="0" w:line="240" w:lineRule="auto"/>
            </w:pPr>
            <w:r>
              <w:rPr>
                <w:rFonts w:ascii="Calibri" w:hAnsi="Calibri"/>
                <w:b w:val="0"/>
                <w:sz w:val="19"/>
              </w:rPr>
              <w:t>JointPolicy_A</w:t>
            </w:r>
          </w:p>
        </w:tc>
        <w:tc>
          <w:tcPr>
            <w:tcW w:type="dxa" w:w="3240"/>
            <w:vAlign w:val="center"/>
          </w:tcPr>
          <w:p>
            <w:pPr>
              <w:keepNext w:val="0"/>
              <w:spacing w:after="0" w:before="0" w:line="240" w:lineRule="auto"/>
            </w:pPr>
            <w:r>
              <w:rPr>
                <w:rFonts w:ascii="Calibri" w:hAnsi="Calibri"/>
                <w:b w:val="0"/>
                <w:sz w:val="19"/>
              </w:rPr>
              <w:t>A_vs_B_weak</w:t>
            </w:r>
          </w:p>
        </w:tc>
        <w:tc>
          <w:tcPr>
            <w:tcW w:type="dxa" w:w="3240"/>
            <w:vAlign w:val="center"/>
          </w:tcPr>
          <w:p>
            <w:pPr>
              <w:keepNext w:val="0"/>
              <w:spacing w:after="0" w:before="0" w:line="240" w:lineRule="auto"/>
              <w:jc w:val="right"/>
            </w:pPr>
            <w:r>
              <w:rPr>
                <w:rFonts w:ascii="Calibri" w:hAnsi="Calibri"/>
                <w:b w:val="0"/>
                <w:sz w:val="19"/>
              </w:rPr>
              <w:t>0.1869</w:t>
            </w:r>
          </w:p>
        </w:tc>
      </w:tr>
      <w:tr>
        <w:trPr>
          <w:cantSplit/>
        </w:trPr>
        <w:tc>
          <w:tcPr>
            <w:tcW w:type="dxa" w:w="3744"/>
            <w:vAlign w:val="center"/>
          </w:tcPr>
          <w:p>
            <w:pPr>
              <w:keepNext w:val="0"/>
              <w:spacing w:after="0" w:before="0" w:line="240" w:lineRule="auto"/>
            </w:pPr>
            <w:r>
              <w:rPr>
                <w:rFonts w:ascii="Calibri" w:hAnsi="Calibri"/>
                <w:b w:val="0"/>
                <w:sz w:val="19"/>
              </w:rPr>
              <w:t>JointPolicy_A</w:t>
            </w:r>
          </w:p>
        </w:tc>
        <w:tc>
          <w:tcPr>
            <w:tcW w:type="dxa" w:w="3240"/>
            <w:vAlign w:val="center"/>
          </w:tcPr>
          <w:p>
            <w:pPr>
              <w:keepNext w:val="0"/>
              <w:spacing w:after="0" w:before="0" w:line="240" w:lineRule="auto"/>
            </w:pPr>
            <w:r>
              <w:rPr>
                <w:rFonts w:ascii="Calibri" w:hAnsi="Calibri"/>
                <w:b w:val="0"/>
                <w:sz w:val="19"/>
              </w:rPr>
              <w:t>A_vs_C_dense</w:t>
            </w:r>
          </w:p>
        </w:tc>
        <w:tc>
          <w:tcPr>
            <w:tcW w:type="dxa" w:w="3240"/>
            <w:vAlign w:val="center"/>
          </w:tcPr>
          <w:p>
            <w:pPr>
              <w:keepNext w:val="0"/>
              <w:spacing w:after="0" w:before="0" w:line="240" w:lineRule="auto"/>
              <w:jc w:val="right"/>
            </w:pPr>
            <w:r>
              <w:rPr>
                <w:rFonts w:ascii="Calibri" w:hAnsi="Calibri"/>
                <w:b w:val="0"/>
                <w:sz w:val="19"/>
              </w:rPr>
              <w:t>0.1147</w:t>
            </w:r>
          </w:p>
        </w:tc>
      </w:tr>
      <w:tr>
        <w:trPr>
          <w:cantSplit/>
        </w:trPr>
        <w:tc>
          <w:tcPr>
            <w:tcW w:type="dxa" w:w="3744"/>
            <w:vAlign w:val="center"/>
          </w:tcPr>
          <w:p>
            <w:pPr>
              <w:keepNext w:val="0"/>
              <w:spacing w:after="0" w:before="0" w:line="240" w:lineRule="auto"/>
            </w:pPr>
            <w:r>
              <w:rPr>
                <w:rFonts w:ascii="Calibri" w:hAnsi="Calibri"/>
                <w:b w:val="0"/>
                <w:sz w:val="19"/>
              </w:rPr>
              <w:t>MaskDelta_A</w:t>
            </w:r>
          </w:p>
        </w:tc>
        <w:tc>
          <w:tcPr>
            <w:tcW w:type="dxa" w:w="3240"/>
            <w:vAlign w:val="center"/>
          </w:tcPr>
          <w:p>
            <w:pPr>
              <w:keepNext w:val="0"/>
              <w:spacing w:after="0" w:before="0" w:line="240" w:lineRule="auto"/>
            </w:pPr>
            <w:r>
              <w:rPr>
                <w:rFonts w:ascii="Calibri" w:hAnsi="Calibri"/>
                <w:b w:val="0"/>
                <w:sz w:val="19"/>
              </w:rPr>
              <w:t>A_vs_B_weak</w:t>
            </w:r>
          </w:p>
        </w:tc>
        <w:tc>
          <w:tcPr>
            <w:tcW w:type="dxa" w:w="3240"/>
            <w:vAlign w:val="center"/>
          </w:tcPr>
          <w:p>
            <w:pPr>
              <w:keepNext w:val="0"/>
              <w:spacing w:after="0" w:before="0" w:line="240" w:lineRule="auto"/>
              <w:jc w:val="right"/>
            </w:pPr>
            <w:r>
              <w:rPr>
                <w:rFonts w:ascii="Calibri" w:hAnsi="Calibri"/>
                <w:b w:val="0"/>
                <w:sz w:val="19"/>
              </w:rPr>
              <w:t>0.1849</w:t>
            </w:r>
          </w:p>
        </w:tc>
      </w:tr>
      <w:tr>
        <w:trPr>
          <w:cantSplit/>
        </w:trPr>
        <w:tc>
          <w:tcPr>
            <w:tcW w:type="dxa" w:w="3744"/>
            <w:vAlign w:val="center"/>
          </w:tcPr>
          <w:p>
            <w:pPr>
              <w:keepNext w:val="0"/>
              <w:spacing w:after="0" w:before="0" w:line="240" w:lineRule="auto"/>
            </w:pPr>
            <w:r>
              <w:rPr>
                <w:rFonts w:ascii="Calibri" w:hAnsi="Calibri"/>
                <w:b w:val="0"/>
                <w:sz w:val="19"/>
              </w:rPr>
              <w:t>MaskDelta_A</w:t>
            </w:r>
          </w:p>
        </w:tc>
        <w:tc>
          <w:tcPr>
            <w:tcW w:type="dxa" w:w="3240"/>
            <w:vAlign w:val="center"/>
          </w:tcPr>
          <w:p>
            <w:pPr>
              <w:keepNext w:val="0"/>
              <w:spacing w:after="0" w:before="0" w:line="240" w:lineRule="auto"/>
            </w:pPr>
            <w:r>
              <w:rPr>
                <w:rFonts w:ascii="Calibri" w:hAnsi="Calibri"/>
                <w:b w:val="0"/>
                <w:sz w:val="19"/>
              </w:rPr>
              <w:t>A_vs_C_dense</w:t>
            </w:r>
          </w:p>
        </w:tc>
        <w:tc>
          <w:tcPr>
            <w:tcW w:type="dxa" w:w="3240"/>
            <w:vAlign w:val="center"/>
          </w:tcPr>
          <w:p>
            <w:pPr>
              <w:keepNext w:val="0"/>
              <w:spacing w:after="0" w:before="0" w:line="240" w:lineRule="auto"/>
              <w:jc w:val="right"/>
            </w:pPr>
            <w:r>
              <w:rPr>
                <w:rFonts w:ascii="Calibri" w:hAnsi="Calibri"/>
                <w:b w:val="0"/>
                <w:sz w:val="19"/>
              </w:rPr>
              <w:t>0.1179</w:t>
            </w:r>
          </w:p>
        </w:tc>
      </w:tr>
      <w:tr>
        <w:trPr>
          <w:cantSplit/>
        </w:trPr>
        <w:tc>
          <w:tcPr>
            <w:tcW w:type="dxa" w:w="3744"/>
            <w:vAlign w:val="center"/>
          </w:tcPr>
          <w:p>
            <w:pPr>
              <w:keepNext w:val="0"/>
              <w:spacing w:after="0" w:before="0" w:line="240" w:lineRule="auto"/>
            </w:pPr>
            <w:r>
              <w:rPr>
                <w:rFonts w:ascii="Calibri" w:hAnsi="Calibri"/>
                <w:b w:val="0"/>
                <w:sz w:val="19"/>
              </w:rPr>
              <w:t>Multi​Policy_​Mask​Delta</w:t>
            </w:r>
          </w:p>
        </w:tc>
        <w:tc>
          <w:tcPr>
            <w:tcW w:type="dxa" w:w="3240"/>
            <w:vAlign w:val="center"/>
          </w:tcPr>
          <w:p>
            <w:pPr>
              <w:keepNext w:val="0"/>
              <w:spacing w:after="0" w:before="0" w:line="240" w:lineRule="auto"/>
            </w:pPr>
            <w:r>
              <w:rPr>
                <w:rFonts w:ascii="Calibri" w:hAnsi="Calibri"/>
                <w:b w:val="0"/>
                <w:sz w:val="19"/>
              </w:rPr>
              <w:t>A_vs_B_weak</w:t>
            </w:r>
          </w:p>
        </w:tc>
        <w:tc>
          <w:tcPr>
            <w:tcW w:type="dxa" w:w="3240"/>
            <w:vAlign w:val="center"/>
          </w:tcPr>
          <w:p>
            <w:pPr>
              <w:keepNext w:val="0"/>
              <w:spacing w:after="0" w:before="0" w:line="240" w:lineRule="auto"/>
              <w:jc w:val="right"/>
            </w:pPr>
            <w:r>
              <w:rPr>
                <w:rFonts w:ascii="Calibri" w:hAnsi="Calibri"/>
                <w:b w:val="0"/>
                <w:sz w:val="19"/>
              </w:rPr>
              <w:t>0.1343</w:t>
            </w:r>
          </w:p>
        </w:tc>
      </w:tr>
      <w:tr>
        <w:trPr>
          <w:cantSplit/>
        </w:trPr>
        <w:tc>
          <w:tcPr>
            <w:tcW w:type="dxa" w:w="3744"/>
            <w:vAlign w:val="center"/>
          </w:tcPr>
          <w:p>
            <w:pPr>
              <w:keepNext w:val="0"/>
              <w:spacing w:after="0" w:before="0" w:line="240" w:lineRule="auto"/>
            </w:pPr>
            <w:r>
              <w:rPr>
                <w:rFonts w:ascii="Calibri" w:hAnsi="Calibri"/>
                <w:b w:val="0"/>
                <w:sz w:val="19"/>
              </w:rPr>
              <w:t>Multi​Policy_​Mask​Delta</w:t>
            </w:r>
          </w:p>
        </w:tc>
        <w:tc>
          <w:tcPr>
            <w:tcW w:type="dxa" w:w="3240"/>
            <w:vAlign w:val="center"/>
          </w:tcPr>
          <w:p>
            <w:pPr>
              <w:keepNext w:val="0"/>
              <w:spacing w:after="0" w:before="0" w:line="240" w:lineRule="auto"/>
            </w:pPr>
            <w:r>
              <w:rPr>
                <w:rFonts w:ascii="Calibri" w:hAnsi="Calibri"/>
                <w:b w:val="0"/>
                <w:sz w:val="19"/>
              </w:rPr>
              <w:t>A_vs_C_dense</w:t>
            </w:r>
          </w:p>
        </w:tc>
        <w:tc>
          <w:tcPr>
            <w:tcW w:type="dxa" w:w="3240"/>
            <w:vAlign w:val="center"/>
          </w:tcPr>
          <w:p>
            <w:pPr>
              <w:keepNext w:val="0"/>
              <w:spacing w:after="0" w:before="0" w:line="240" w:lineRule="auto"/>
              <w:jc w:val="right"/>
            </w:pPr>
            <w:r>
              <w:rPr>
                <w:rFonts w:ascii="Calibri" w:hAnsi="Calibri"/>
                <w:b w:val="0"/>
                <w:sz w:val="19"/>
              </w:rPr>
              <w:t>0.1396</w:t>
            </w:r>
          </w:p>
        </w:tc>
      </w:tr>
      <w:tr>
        <w:trPr>
          <w:cantSplit/>
        </w:trPr>
        <w:tc>
          <w:tcPr>
            <w:tcW w:type="dxa" w:w="3744"/>
            <w:vAlign w:val="center"/>
          </w:tcPr>
          <w:p>
            <w:pPr>
              <w:keepNext w:val="0"/>
              <w:spacing w:after="0" w:before="0" w:line="240" w:lineRule="auto"/>
            </w:pPr>
            <w:r>
              <w:rPr>
                <w:rFonts w:ascii="Calibri" w:hAnsi="Calibri"/>
                <w:b w:val="0"/>
                <w:sz w:val="19"/>
              </w:rPr>
              <w:t>ValueOnly_A</w:t>
            </w:r>
          </w:p>
        </w:tc>
        <w:tc>
          <w:tcPr>
            <w:tcW w:type="dxa" w:w="3240"/>
            <w:vAlign w:val="center"/>
          </w:tcPr>
          <w:p>
            <w:pPr>
              <w:keepNext w:val="0"/>
              <w:spacing w:after="0" w:before="0" w:line="240" w:lineRule="auto"/>
            </w:pPr>
            <w:r>
              <w:rPr>
                <w:rFonts w:ascii="Calibri" w:hAnsi="Calibri"/>
                <w:b w:val="0"/>
                <w:sz w:val="19"/>
              </w:rPr>
              <w:t>A_vs_B_weak</w:t>
            </w:r>
          </w:p>
        </w:tc>
        <w:tc>
          <w:tcPr>
            <w:tcW w:type="dxa" w:w="3240"/>
            <w:vAlign w:val="center"/>
          </w:tcPr>
          <w:p>
            <w:pPr>
              <w:keepNext w:val="0"/>
              <w:spacing w:after="0" w:before="0" w:line="240" w:lineRule="auto"/>
              <w:jc w:val="right"/>
            </w:pPr>
            <w:r>
              <w:rPr>
                <w:rFonts w:ascii="Calibri" w:hAnsi="Calibri"/>
                <w:b w:val="0"/>
                <w:sz w:val="19"/>
              </w:rPr>
              <w:t>0.1374</w:t>
            </w:r>
          </w:p>
        </w:tc>
      </w:tr>
      <w:tr>
        <w:trPr>
          <w:cantSplit/>
        </w:trPr>
        <w:tc>
          <w:tcPr>
            <w:tcW w:type="dxa" w:w="3744"/>
            <w:vAlign w:val="center"/>
          </w:tcPr>
          <w:p>
            <w:pPr>
              <w:keepNext/>
              <w:spacing w:after="0" w:before="0" w:line="240" w:lineRule="auto"/>
            </w:pPr>
            <w:r>
              <w:rPr>
                <w:rFonts w:ascii="Calibri" w:hAnsi="Calibri"/>
                <w:b w:val="0"/>
                <w:sz w:val="19"/>
              </w:rPr>
              <w:t>ValueOnly_A</w:t>
            </w:r>
          </w:p>
        </w:tc>
        <w:tc>
          <w:tcPr>
            <w:tcW w:type="dxa" w:w="3240"/>
            <w:vAlign w:val="center"/>
          </w:tcPr>
          <w:p>
            <w:pPr>
              <w:keepNext/>
              <w:spacing w:after="0" w:before="0" w:line="240" w:lineRule="auto"/>
            </w:pPr>
            <w:r>
              <w:rPr>
                <w:rFonts w:ascii="Calibri" w:hAnsi="Calibri"/>
                <w:b w:val="0"/>
                <w:sz w:val="19"/>
              </w:rPr>
              <w:t>A_vs_C_dense</w:t>
            </w:r>
          </w:p>
        </w:tc>
        <w:tc>
          <w:tcPr>
            <w:tcW w:type="dxa" w:w="3240"/>
            <w:vAlign w:val="center"/>
          </w:tcPr>
          <w:p>
            <w:pPr>
              <w:keepNext/>
              <w:spacing w:after="0" w:before="0" w:line="240" w:lineRule="auto"/>
              <w:jc w:val="right"/>
            </w:pPr>
            <w:r>
              <w:rPr>
                <w:rFonts w:ascii="Calibri" w:hAnsi="Calibri"/>
                <w:b w:val="0"/>
                <w:sz w:val="19"/>
              </w:rPr>
              <w:t>0.1062</w:t>
            </w:r>
          </w:p>
        </w:tc>
      </w:tr>
    </w:tbl>
    <w:p>
      <w:pPr>
        <w:keepLines/>
        <w:spacing w:before="60" w:after="120"/>
      </w:pPr>
      <w:r>
        <w:rPr>
          <w:sz w:val="18"/>
        </w:rPr>
        <w:t>Controlled simulation.</w:t>
      </w:r>
    </w:p>
    <w:p>
      <w:r>
        <w:t>Interpretation. Changing only the observation policy can move model predictions. This counterfactual disagreement is direct evidence that the model is using the measurement process as part of its state estimate. That can be legitimate in-distribution evidence, but it is not invariant biological mechanism.</w:t>
      </w:r>
    </w:p>
    <w:p>
      <w:pPr>
        <w:pStyle w:val="Heading3"/>
      </w:pPr>
      <w:r>
        <w:t>6.5.6 Observation-policy geometry</w:t>
      </w:r>
    </w:p>
    <w:p>
      <w:r>
        <w:t>Tracking Data Geometry therefore needs another explicit axis: M_policy = measurement-policy informativeness and transportability. A missingness pattern can simultaneously contain state information and institutional behavior.</w:t>
      </w:r>
    </w:p>
    <w:p>
      <w:r>
        <w:t>observed stream = world dynamics × observation policy</w:t>
      </w:r>
    </w:p>
    <w:p>
      <w:r>
        <w:t>A candidate factorization models the latent process and the observation policy separately: latent state predicts the measured future, and latent state together with site or protocol predicts observation propensity. The controlled comparison motivates testing this factorization when portability matters.</w:t>
      </w:r>
    </w:p>
    <w:p>
      <w:pPr>
        <w:pStyle w:val="Heading3"/>
      </w:pPr>
      <w:r>
        <w:t>6.5.7 Training implications</w:t>
      </w:r>
    </w:p>
    <w:p>
      <w:r>
        <w:t>1. Treat measurement policy as part of the data-generating process. If abnormal states trigger more tests, mask and time-since-assay carry real information. Do not discard them automatically.</w:t>
      </w:r>
    </w:p>
    <w:p>
      <w:r>
        <w:t>2. Do not let one institution define the world model. A-only MaskDelta deteriorated sharply under a policy-only shift even though biology was held fixed.</w:t>
      </w:r>
    </w:p>
    <w:p>
      <w:r>
        <w:t>3. Evaluate observation-policy diversity as a training resource. In the constructed world, multiple policies expose the same latent dynamics and improve shifted-policy prediction.</w:t>
      </w:r>
    </w:p>
    <w:p>
      <w:r>
        <w:t>4. Consider counterfactual mask augmentation when its measurement assumptions fit the application. Reassigning masks nearly matches multi-policy training here; application to a real cohort requires checking that the resulting observations and targets remain meaningful.</w:t>
      </w:r>
    </w:p>
    <w:p>
      <w:r>
        <w:t>5. Extra epochs are not a substitute for policy diversity. RepeatedA_MaskDelta received equal threefold example exposure but remained substantially less robust.</w:t>
      </w:r>
    </w:p>
    <w:p>
      <w:r>
        <w:t>6. Predict the measurement process only if the task needs it. The auxiliary policy head did not improve biological forecasting here. Operations/scheduling and world modeling are related but distinct objectives.</w:t>
      </w:r>
    </w:p>
    <w:p>
      <w:r>
        <w:t>7. Separate invariant world dynamics from site/protocol policy. A practical architecture can maintain a shared world state and a site/protocol-conditioned observation-propensity model.</w:t>
      </w:r>
    </w:p>
    <w:p>
      <w:r>
        <w:t>8. Evaluate counterfactually under policy swaps. For the same latent trajectory, resample measurement behavior. Prediction changes then diagnose policy dependence rather than biological shift.</w:t>
      </w:r>
    </w:p>
    <w:p>
      <w:r>
        <w:t>9. Report matched-policy accuracy and policy-shift performance separately. High within-cohort accuracy can depend on a measurement pattern that changes at another site.</w:t>
      </w:r>
    </w:p>
    <w:p>
      <w:pPr>
        <w:pStyle w:val="Heading3"/>
      </w:pPr>
      <w:r>
        <w:t>6.5.8 Direct implications for exposure science and infectious-disease tracking</w:t>
      </w:r>
    </w:p>
    <w:p>
      <w:pPr>
        <w:pStyle w:val="ListBullet"/>
      </w:pPr>
      <w:r>
        <w:t>Exposure science: high-risk participants are often sampled more often after symptoms, unusual environmental measurements, or clinical concern. Frequency of urine/blood/indoor-air sampling can therefore encode both exposure state and study protocol. A model trained on one cohort may treat protocol as exposure signal unless policy diversity or augmentation is built into training.</w:t>
      </w:r>
    </w:p>
    <w:p>
      <w:pPr>
        <w:pStyle w:val="ListBullet"/>
      </w:pPr>
      <w:r>
        <w:t>Infectious disease: PCR, culture, antigen tests and sequencing are often ordered conditionally on symptoms, previous positives or outbreak suspicion. “A genome was sequenced” is itself a policy-dependent event; it should not automatically be interpreted as stronger evidence of a biological state without modeling the testing policy.</w:t>
      </w:r>
    </w:p>
    <w:p>
      <w:pPr>
        <w:pStyle w:val="ListBullet"/>
      </w:pPr>
      <w:r>
        <w:t>Multi-centre data can expose related latent processes under different observation rules. Their usefulness for learning shared dynamics should be evaluated together with biological and population differences between sites.</w:t>
      </w:r>
    </w:p>
    <w:p>
      <w:pPr>
        <w:pStyle w:val="Heading3"/>
      </w:pPr>
      <w:r>
        <w:t>6.5.9 Results synthesis</w:t>
      </w:r>
    </w:p>
    <w:p>
      <w:pPr>
        <w:pStyle w:val="ListBullet"/>
      </w:pPr>
      <w:r>
        <w:t>Informative missingness can improve state inference within a policy, but the same signal can become a shortcut under policy shift.</w:t>
      </w:r>
    </w:p>
    <w:p>
      <w:pPr>
        <w:pStyle w:val="ListBullet"/>
      </w:pPr>
      <w:r>
        <w:t>Observation-policy diversity is a distinct training resource. It cannot be replaced by simply repeating the same cohort.</w:t>
      </w:r>
    </w:p>
    <w:p>
      <w:pPr>
        <w:pStyle w:val="ListBullet"/>
      </w:pPr>
      <w:r>
        <w:t>Counterfactual mask augmentation approximates the multi-policy training benefit in this controlled experiment.</w:t>
      </w:r>
    </w:p>
    <w:p>
      <w:pPr>
        <w:pStyle w:val="ListBullet"/>
      </w:pPr>
      <w:r>
        <w:t>Training design must now distinguish world dynamics, observation dynamics and institutional decision policy.</w:t>
      </w:r>
    </w:p>
    <w:p>
      <w:pPr>
        <w:pStyle w:val="Heading3"/>
      </w:pPr>
      <w:r>
        <w:t>6.5.10 Evidence records</w:t>
      </w:r>
    </w:p>
    <w:p>
      <w:pPr>
        <w:spacing w:after="40"/>
      </w:pPr>
      <w:r>
        <w:rPr>
          <w:sz w:val="18"/>
        </w:rPr>
        <w:t>INFORMATIVE_​SAMPLING_​POLICY_​014_​bundle.zip</w:t>
      </w:r>
    </w:p>
    <w:p>
      <w:pPr>
        <w:spacing w:after="40"/>
      </w:pPr>
      <w:r>
        <w:rPr>
          <w:sz w:val="18"/>
        </w:rPr>
        <w:t>INFORMATIVE_​SAMPLING_​POLICY_​014/​policy_​audit.csv</w:t>
      </w:r>
    </w:p>
    <w:p>
      <w:pPr>
        <w:spacing w:after="40"/>
      </w:pPr>
      <w:r>
        <w:rPr>
          <w:sz w:val="18"/>
        </w:rPr>
        <w:t>INFORMATIVE_​SAMPLING_​POLICY_​014/​combined_​model_​summary.csv</w:t>
      </w:r>
    </w:p>
    <w:p>
      <w:pPr>
        <w:spacing w:after="40"/>
      </w:pPr>
      <w:r>
        <w:rPr>
          <w:sz w:val="18"/>
        </w:rPr>
        <w:t>INFORMATIVE_​SAMPLING_​POLICY_​014/​robustness_​comparison.csv</w:t>
      </w:r>
    </w:p>
    <w:p>
      <w:pPr>
        <w:spacing w:after="40"/>
      </w:pPr>
      <w:r>
        <w:rPr>
          <w:sz w:val="18"/>
        </w:rPr>
        <w:t>INFORMATIVE_​SAMPLING_​POLICY_​014/​counterfactual_​policy_​summary.csv</w:t>
      </w:r>
    </w:p>
    <w:p>
      <w:pPr>
        <w:spacing w:after="40"/>
      </w:pPr>
      <w:r>
        <w:rPr>
          <w:sz w:val="18"/>
        </w:rPr>
        <w:t>INFORMATIVE_​SAMPLING_​POLICY_​014/​matched_​exposure_​controls_​summary.csv</w:t>
      </w:r>
    </w:p>
    <w:p>
      <w:pPr>
        <w:spacing w:after="40"/>
      </w:pPr>
      <w:r>
        <w:rPr>
          <w:sz w:val="18"/>
        </w:rPr>
        <w:t>INFORMATIVE_​SAMPLING_​POLICY_​014/​policy_​shift_​performance.png</w:t>
      </w:r>
    </w:p>
    <w:p>
      <w:pPr>
        <w:spacing w:after="40"/>
      </w:pPr>
      <w:r>
        <w:rPr>
          <w:sz w:val="18"/>
        </w:rPr>
        <w:t>INFORMATIVE_​SAMPLING_​POLICY_​014/​matched_​policy_​controls.png</w:t>
      </w:r>
    </w:p>
    <w:p>
      <w:pPr>
        <w:pStyle w:val="Heading1"/>
        <w:pageBreakBefore w:val="0"/>
      </w:pPr>
      <w:r>
        <w:t>7. Resource-dependent computation</w:t>
      </w:r>
    </w:p>
    <w:p>
      <w:pPr>
        <w:pStyle w:val="Heading2"/>
      </w:pPr>
      <w:r>
        <w:t>7.1 COORDINATED-EFFECTORS-015 Overlapping modules and perturbation training</w:t>
      </w:r>
    </w:p>
    <w:p>
      <w:pPr>
        <w:pStyle w:val="Heading3"/>
      </w:pPr>
      <w:r>
        <w:t>7.1.1 Question</w:t>
      </w:r>
    </w:p>
    <w:p>
      <w:r>
        <w:t>This experiment compares exclusive routing with simultaneous recruitment of overlapping predictive modules, including their response to temporary module loss.</w:t>
      </w:r>
    </w:p>
    <w:p>
      <w:r>
        <w:t>Motor coordination supplies a design analogy for overlapping contributions and load redistribution. The experiment operationalizes that analogy as a synthetic prediction task: modules contribute to a common output, and controlled removal tests whether the remaining computation preserves prediction. The measurements concern the computational design rather than biological motor physiology.</w:t>
      </w:r>
    </w:p>
    <w:p>
      <w:pPr>
        <w:pStyle w:val="Heading3"/>
      </w:pPr>
      <w:r>
        <w:t>7.1.2 Synthetic coordination world</w:t>
      </w:r>
    </w:p>
    <w:p>
      <w:r>
        <w:t>A continuous predictive state generates a future-transition vector from one shared global dynamic plus four overlapping latent synergies. Multiple synergies are active simultaneously and two pairs have deliberately redundant future-effect directions. No true synergy label is supplied.</w:t>
      </w:r>
    </w:p>
    <w:p>
      <w:pPr>
        <w:spacing w:before="60" w:after="140"/>
        <w:jc w:val="center"/>
      </w:pPr>
      <m:oMath>
        <m:r>
          <m:t>F(x) = </m:t>
        </m:r>
        <m:sSub>
          <m:e>
            <m:r>
              <m:t>F</m:t>
            </m:r>
          </m:e>
          <m:sub>
            <m:r>
              <m:t>shared</m:t>
            </m:r>
          </m:sub>
        </m:sSub>
        <m:r>
          <m:t>(x) + </m:t>
        </m:r>
        <m:sSub>
          <m:e>
            <m:r>
              <m:t>∑</m:t>
            </m:r>
          </m:e>
          <m:sub>
            <m:r>
              <m:t>k</m:t>
            </m:r>
          </m:sub>
        </m:sSub>
        <m:r>
          <m:t> </m:t>
        </m:r>
        <m:sSub>
          <m:e>
            <m:r>
              <m:t>w</m:t>
            </m:r>
          </m:e>
          <m:sub>
            <m:r>
              <m:t>k</m:t>
            </m:r>
          </m:sub>
        </m:sSub>
        <m:r>
          <m:t>(x) </m:t>
        </m:r>
        <m:sSub>
          <m:e>
            <m:r>
              <m:t>E</m:t>
            </m:r>
          </m:e>
          <m:sub>
            <m:r>
              <m:t>k</m:t>
            </m:r>
          </m:sub>
        </m:sSub>
        <m:r>
          <m:t>(x)</m:t>
        </m:r>
      </m:oMath>
    </w:p>
    <w:p>
      <w:pPr>
        <w:pStyle w:val="Heading3"/>
      </w:pPr>
      <w:r>
        <w:t>7.1.3 Architectures and perturbation training</w:t>
      </w:r>
    </w:p>
    <w:p>
      <w:pPr>
        <w:pStyle w:val="ListBullet"/>
      </w:pPr>
      <w:r>
        <w:t>HardTop1 — exactly one expert contributes at a time.</w:t>
      </w:r>
    </w:p>
    <w:p>
      <w:pPr>
        <w:pStyle w:val="ListBullet"/>
      </w:pPr>
      <w:r>
        <w:t>SoftMixture — four experts can contribute simultaneously.</w:t>
      </w:r>
    </w:p>
    <w:p>
      <w:pPr>
        <w:pStyle w:val="ListBullet"/>
      </w:pPr>
      <w:r>
        <w:t>SharedResidual — a shared global predictor plus soft local effectors.</w:t>
      </w:r>
    </w:p>
    <w:p>
      <w:pPr>
        <w:pStyle w:val="ListBullet"/>
      </w:pPr>
      <w:r>
        <w:t>HardTop1_Perturb is HardTop1 trained with transient random expert dropout.</w:t>
      </w:r>
    </w:p>
    <w:p>
      <w:pPr>
        <w:pStyle w:val="ListBullet"/>
      </w:pPr>
      <w:r>
        <w:t>SoftMixture_Perturb is SoftMixture trained with the same perturbation schedule.</w:t>
      </w:r>
    </w:p>
    <w:p>
      <w:pPr>
        <w:pStyle w:val="ListBullet"/>
      </w:pPr>
      <w:r>
        <w:t>CoordinatedEffectors is SharedResidual trained with transient random expert dropout and the unchanged target response.</w:t>
      </w:r>
    </w:p>
    <w:p>
      <w:r>
        <w:t>Matched architecture comparisons separate model structure from exposure to module perturbations during training.</w:t>
      </w:r>
    </w:p>
    <w:p>
      <w:pPr>
        <w:pStyle w:val="Heading3"/>
      </w:pPr>
      <w:r>
        <w:t>7.1.4 Lesion experiment</w:t>
      </w:r>
    </w:p>
    <w:p>
      <w:pPr>
        <w:pStyle w:val="Caption"/>
        <w:keepNext/>
      </w:pPr>
      <w:r>
        <w:t>Table 55. Intact and perturbed module prediction.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332"/>
        <w:gridCol w:w="1332"/>
        <w:gridCol w:w="1332"/>
        <w:gridCol w:w="1332"/>
        <w:gridCol w:w="1332"/>
        <w:gridCol w:w="1332"/>
      </w:tblGrid>
      <w:tr>
        <w:trPr>
          <w:cantSplit/>
          <w:tblHeader/>
        </w:trPr>
        <w:tc>
          <w:tcPr>
            <w:tcW w:type="dxa" w:w="2232"/>
            <w:vAlign w:val="center"/>
            <w:shd w:fill="F2F2F2"/>
          </w:tcPr>
          <w:p>
            <w:pPr>
              <w:keepNext/>
              <w:spacing w:after="0" w:before="0" w:line="240" w:lineRule="auto"/>
            </w:pPr>
            <w:r>
              <w:rPr>
                <w:rFonts w:ascii="Calibri" w:hAnsi="Calibri"/>
                <w:b/>
                <w:sz w:val="18"/>
              </w:rPr>
              <w:t>Model</w:t>
            </w:r>
          </w:p>
        </w:tc>
        <w:tc>
          <w:tcPr>
            <w:tcW w:type="dxa" w:w="1332"/>
            <w:vAlign w:val="center"/>
            <w:shd w:fill="F2F2F2"/>
          </w:tcPr>
          <w:p>
            <w:pPr>
              <w:keepNext/>
              <w:spacing w:after="0" w:before="0" w:line="240" w:lineRule="auto"/>
            </w:pPr>
            <w:r>
              <w:rPr>
                <w:rFonts w:ascii="Calibri" w:hAnsi="Calibri"/>
                <w:b/>
                <w:sz w:val="18"/>
              </w:rPr>
              <w:t>Params</w:t>
            </w:r>
          </w:p>
        </w:tc>
        <w:tc>
          <w:tcPr>
            <w:tcW w:type="dxa" w:w="1332"/>
            <w:vAlign w:val="center"/>
            <w:shd w:fill="F2F2F2"/>
          </w:tcPr>
          <w:p>
            <w:pPr>
              <w:keepNext/>
              <w:spacing w:after="0" w:before="0" w:line="240" w:lineRule="auto"/>
            </w:pPr>
            <w:r>
              <w:rPr>
                <w:rFonts w:ascii="Calibri" w:hAnsi="Calibri"/>
                <w:b/>
                <w:sz w:val="18"/>
              </w:rPr>
              <w:t>Intact MSE</w:t>
            </w:r>
          </w:p>
        </w:tc>
        <w:tc>
          <w:tcPr>
            <w:tcW w:type="dxa" w:w="1332"/>
            <w:vAlign w:val="center"/>
            <w:shd w:fill="F2F2F2"/>
          </w:tcPr>
          <w:p>
            <w:pPr>
              <w:keepNext/>
              <w:spacing w:after="0" w:before="0" w:line="240" w:lineRule="auto"/>
            </w:pPr>
            <w:r>
              <w:rPr>
                <w:rFonts w:ascii="Calibri" w:hAnsi="Calibri"/>
                <w:b/>
                <w:sz w:val="18"/>
              </w:rPr>
              <w:t>Single-lesion MSE</w:t>
            </w:r>
          </w:p>
        </w:tc>
        <w:tc>
          <w:tcPr>
            <w:tcW w:type="dxa" w:w="1332"/>
            <w:vAlign w:val="center"/>
            <w:shd w:fill="F2F2F2"/>
          </w:tcPr>
          <w:p>
            <w:pPr>
              <w:keepNext/>
              <w:spacing w:after="0" w:before="0" w:line="240" w:lineRule="auto"/>
            </w:pPr>
            <w:r>
              <w:rPr>
                <w:rFonts w:ascii="Calibri" w:hAnsi="Calibri"/>
                <w:b/>
                <w:sz w:val="18"/>
              </w:rPr>
              <w:t>Single penalty (%)</w:t>
            </w:r>
          </w:p>
        </w:tc>
        <w:tc>
          <w:tcPr>
            <w:tcW w:type="dxa" w:w="1332"/>
            <w:vAlign w:val="center"/>
            <w:shd w:fill="F2F2F2"/>
          </w:tcPr>
          <w:p>
            <w:pPr>
              <w:keepNext/>
              <w:spacing w:after="0" w:before="0" w:line="240" w:lineRule="auto"/>
            </w:pPr>
            <w:r>
              <w:rPr>
                <w:rFonts w:ascii="Calibri" w:hAnsi="Calibri"/>
                <w:b/>
                <w:sz w:val="18"/>
              </w:rPr>
              <w:t>Dual-lesion MSE</w:t>
            </w:r>
          </w:p>
        </w:tc>
        <w:tc>
          <w:tcPr>
            <w:tcW w:type="dxa" w:w="1332"/>
            <w:vAlign w:val="center"/>
            <w:shd w:fill="F2F2F2"/>
          </w:tcPr>
          <w:p>
            <w:pPr>
              <w:keepNext/>
              <w:spacing w:after="0" w:before="0" w:line="240" w:lineRule="auto"/>
            </w:pPr>
            <w:r>
              <w:rPr>
                <w:rFonts w:ascii="Calibri" w:hAnsi="Calibri"/>
                <w:b/>
                <w:sz w:val="18"/>
              </w:rPr>
              <w:t>Dual penalty (%)</w:t>
            </w:r>
          </w:p>
        </w:tc>
      </w:tr>
      <w:tr>
        <w:trPr>
          <w:cantSplit/>
        </w:trPr>
        <w:tc>
          <w:tcPr>
            <w:tcW w:type="dxa" w:w="2232"/>
            <w:vAlign w:val="center"/>
          </w:tcPr>
          <w:p>
            <w:pPr>
              <w:keepNext w:val="0"/>
              <w:spacing w:after="0" w:before="0" w:line="240" w:lineRule="auto"/>
            </w:pPr>
            <w:r>
              <w:rPr>
                <w:rFonts w:ascii="Calibri" w:hAnsi="Calibri"/>
                <w:b w:val="0"/>
                <w:sz w:val="18"/>
              </w:rPr>
              <w:t>SharedResidual</w:t>
            </w:r>
          </w:p>
        </w:tc>
        <w:tc>
          <w:tcPr>
            <w:tcW w:type="dxa" w:w="1332"/>
            <w:vAlign w:val="center"/>
          </w:tcPr>
          <w:p>
            <w:pPr>
              <w:keepNext w:val="0"/>
              <w:spacing w:after="0" w:before="0" w:line="240" w:lineRule="auto"/>
              <w:jc w:val="right"/>
            </w:pPr>
            <w:r>
              <w:rPr>
                <w:rFonts w:ascii="Calibri" w:hAnsi="Calibri"/>
                <w:b w:val="0"/>
                <w:sz w:val="18"/>
              </w:rPr>
              <w:t>5124</w:t>
            </w:r>
          </w:p>
        </w:tc>
        <w:tc>
          <w:tcPr>
            <w:tcW w:type="dxa" w:w="1332"/>
            <w:vAlign w:val="center"/>
          </w:tcPr>
          <w:p>
            <w:pPr>
              <w:keepNext w:val="0"/>
              <w:spacing w:after="0" w:before="0" w:line="240" w:lineRule="auto"/>
              <w:jc w:val="right"/>
            </w:pPr>
            <w:r>
              <w:rPr>
                <w:rFonts w:ascii="Calibri" w:hAnsi="Calibri"/>
                <w:b w:val="0"/>
                <w:sz w:val="18"/>
              </w:rPr>
              <w:t>0.0728</w:t>
            </w:r>
          </w:p>
        </w:tc>
        <w:tc>
          <w:tcPr>
            <w:tcW w:type="dxa" w:w="1332"/>
            <w:vAlign w:val="center"/>
          </w:tcPr>
          <w:p>
            <w:pPr>
              <w:keepNext w:val="0"/>
              <w:spacing w:after="0" w:before="0" w:line="240" w:lineRule="auto"/>
              <w:jc w:val="right"/>
            </w:pPr>
            <w:r>
              <w:rPr>
                <w:rFonts w:ascii="Calibri" w:hAnsi="Calibri"/>
                <w:b w:val="0"/>
                <w:sz w:val="18"/>
              </w:rPr>
              <w:t>0.0918</w:t>
            </w:r>
          </w:p>
        </w:tc>
        <w:tc>
          <w:tcPr>
            <w:tcW w:type="dxa" w:w="1332"/>
            <w:vAlign w:val="center"/>
          </w:tcPr>
          <w:p>
            <w:pPr>
              <w:keepNext w:val="0"/>
              <w:spacing w:after="0" w:before="0" w:line="240" w:lineRule="auto"/>
              <w:jc w:val="right"/>
            </w:pPr>
            <w:r>
              <w:rPr>
                <w:rFonts w:ascii="Calibri" w:hAnsi="Calibri"/>
                <w:b w:val="0"/>
                <w:sz w:val="18"/>
              </w:rPr>
              <w:t>26.0713</w:t>
            </w:r>
          </w:p>
        </w:tc>
        <w:tc>
          <w:tcPr>
            <w:tcW w:type="dxa" w:w="1332"/>
            <w:vAlign w:val="center"/>
          </w:tcPr>
          <w:p>
            <w:pPr>
              <w:keepNext w:val="0"/>
              <w:spacing w:after="0" w:before="0" w:line="240" w:lineRule="auto"/>
              <w:jc w:val="right"/>
            </w:pPr>
            <w:r>
              <w:rPr>
                <w:rFonts w:ascii="Calibri" w:hAnsi="Calibri"/>
                <w:b w:val="0"/>
                <w:sz w:val="18"/>
              </w:rPr>
              <w:t>0.1266</w:t>
            </w:r>
          </w:p>
        </w:tc>
        <w:tc>
          <w:tcPr>
            <w:tcW w:type="dxa" w:w="1332"/>
            <w:vAlign w:val="center"/>
          </w:tcPr>
          <w:p>
            <w:pPr>
              <w:keepNext w:val="0"/>
              <w:spacing w:after="0" w:before="0" w:line="240" w:lineRule="auto"/>
              <w:jc w:val="right"/>
            </w:pPr>
            <w:r>
              <w:rPr>
                <w:rFonts w:ascii="Calibri" w:hAnsi="Calibri"/>
                <w:b w:val="0"/>
                <w:sz w:val="18"/>
              </w:rPr>
              <w:t>73.9364</w:t>
            </w:r>
          </w:p>
        </w:tc>
      </w:tr>
      <w:tr>
        <w:trPr>
          <w:cantSplit/>
        </w:trPr>
        <w:tc>
          <w:tcPr>
            <w:tcW w:type="dxa" w:w="2232"/>
            <w:vAlign w:val="center"/>
          </w:tcPr>
          <w:p>
            <w:pPr>
              <w:keepNext w:val="0"/>
              <w:spacing w:after="0" w:before="0" w:line="240" w:lineRule="auto"/>
            </w:pPr>
            <w:r>
              <w:rPr>
                <w:rFonts w:ascii="Calibri" w:hAnsi="Calibri"/>
                <w:b w:val="0"/>
                <w:sz w:val="18"/>
              </w:rPr>
              <w:t>Coordinated​Effectors</w:t>
            </w:r>
          </w:p>
        </w:tc>
        <w:tc>
          <w:tcPr>
            <w:tcW w:type="dxa" w:w="1332"/>
            <w:vAlign w:val="center"/>
          </w:tcPr>
          <w:p>
            <w:pPr>
              <w:keepNext w:val="0"/>
              <w:spacing w:after="0" w:before="0" w:line="240" w:lineRule="auto"/>
              <w:jc w:val="right"/>
            </w:pPr>
            <w:r>
              <w:rPr>
                <w:rFonts w:ascii="Calibri" w:hAnsi="Calibri"/>
                <w:b w:val="0"/>
                <w:sz w:val="18"/>
              </w:rPr>
              <w:t>5124</w:t>
            </w:r>
          </w:p>
        </w:tc>
        <w:tc>
          <w:tcPr>
            <w:tcW w:type="dxa" w:w="1332"/>
            <w:vAlign w:val="center"/>
          </w:tcPr>
          <w:p>
            <w:pPr>
              <w:keepNext w:val="0"/>
              <w:spacing w:after="0" w:before="0" w:line="240" w:lineRule="auto"/>
              <w:jc w:val="right"/>
            </w:pPr>
            <w:r>
              <w:rPr>
                <w:rFonts w:ascii="Calibri" w:hAnsi="Calibri"/>
                <w:b w:val="0"/>
                <w:sz w:val="18"/>
              </w:rPr>
              <w:t>0.0755</w:t>
            </w:r>
          </w:p>
        </w:tc>
        <w:tc>
          <w:tcPr>
            <w:tcW w:type="dxa" w:w="1332"/>
            <w:vAlign w:val="center"/>
          </w:tcPr>
          <w:p>
            <w:pPr>
              <w:keepNext w:val="0"/>
              <w:spacing w:after="0" w:before="0" w:line="240" w:lineRule="auto"/>
              <w:jc w:val="right"/>
            </w:pPr>
            <w:r>
              <w:rPr>
                <w:rFonts w:ascii="Calibri" w:hAnsi="Calibri"/>
                <w:b w:val="0"/>
                <w:sz w:val="18"/>
              </w:rPr>
              <w:t>0.0850</w:t>
            </w:r>
          </w:p>
        </w:tc>
        <w:tc>
          <w:tcPr>
            <w:tcW w:type="dxa" w:w="1332"/>
            <w:vAlign w:val="center"/>
          </w:tcPr>
          <w:p>
            <w:pPr>
              <w:keepNext w:val="0"/>
              <w:spacing w:after="0" w:before="0" w:line="240" w:lineRule="auto"/>
              <w:jc w:val="right"/>
            </w:pPr>
            <w:r>
              <w:rPr>
                <w:rFonts w:ascii="Calibri" w:hAnsi="Calibri"/>
                <w:b w:val="0"/>
                <w:sz w:val="18"/>
              </w:rPr>
              <w:t>12.5645</w:t>
            </w:r>
          </w:p>
        </w:tc>
        <w:tc>
          <w:tcPr>
            <w:tcW w:type="dxa" w:w="1332"/>
            <w:vAlign w:val="center"/>
          </w:tcPr>
          <w:p>
            <w:pPr>
              <w:keepNext w:val="0"/>
              <w:spacing w:after="0" w:before="0" w:line="240" w:lineRule="auto"/>
              <w:jc w:val="right"/>
            </w:pPr>
            <w:r>
              <w:rPr>
                <w:rFonts w:ascii="Calibri" w:hAnsi="Calibri"/>
                <w:b w:val="0"/>
                <w:sz w:val="18"/>
              </w:rPr>
              <w:t>0.1041</w:t>
            </w:r>
          </w:p>
        </w:tc>
        <w:tc>
          <w:tcPr>
            <w:tcW w:type="dxa" w:w="1332"/>
            <w:vAlign w:val="center"/>
          </w:tcPr>
          <w:p>
            <w:pPr>
              <w:keepNext w:val="0"/>
              <w:spacing w:after="0" w:before="0" w:line="240" w:lineRule="auto"/>
              <w:jc w:val="right"/>
            </w:pPr>
            <w:r>
              <w:rPr>
                <w:rFonts w:ascii="Calibri" w:hAnsi="Calibri"/>
                <w:b w:val="0"/>
                <w:sz w:val="18"/>
              </w:rPr>
              <w:t>37.8860</w:t>
            </w:r>
          </w:p>
        </w:tc>
      </w:tr>
      <w:tr>
        <w:trPr>
          <w:cantSplit/>
        </w:trPr>
        <w:tc>
          <w:tcPr>
            <w:tcW w:type="dxa" w:w="2232"/>
            <w:vAlign w:val="center"/>
          </w:tcPr>
          <w:p>
            <w:pPr>
              <w:keepNext w:val="0"/>
              <w:spacing w:after="0" w:before="0" w:line="240" w:lineRule="auto"/>
            </w:pPr>
            <w:r>
              <w:rPr>
                <w:rFonts w:ascii="Calibri" w:hAnsi="Calibri"/>
                <w:b w:val="0"/>
                <w:sz w:val="18"/>
              </w:rPr>
              <w:t>SoftMixture</w:t>
            </w:r>
          </w:p>
        </w:tc>
        <w:tc>
          <w:tcPr>
            <w:tcW w:type="dxa" w:w="1332"/>
            <w:vAlign w:val="center"/>
          </w:tcPr>
          <w:p>
            <w:pPr>
              <w:keepNext w:val="0"/>
              <w:spacing w:after="0" w:before="0" w:line="240" w:lineRule="auto"/>
              <w:jc w:val="right"/>
            </w:pPr>
            <w:r>
              <w:rPr>
                <w:rFonts w:ascii="Calibri" w:hAnsi="Calibri"/>
                <w:b w:val="0"/>
                <w:sz w:val="18"/>
              </w:rPr>
              <w:t>4614</w:t>
            </w:r>
          </w:p>
        </w:tc>
        <w:tc>
          <w:tcPr>
            <w:tcW w:type="dxa" w:w="1332"/>
            <w:vAlign w:val="center"/>
          </w:tcPr>
          <w:p>
            <w:pPr>
              <w:keepNext w:val="0"/>
              <w:spacing w:after="0" w:before="0" w:line="240" w:lineRule="auto"/>
              <w:jc w:val="right"/>
            </w:pPr>
            <w:r>
              <w:rPr>
                <w:rFonts w:ascii="Calibri" w:hAnsi="Calibri"/>
                <w:b w:val="0"/>
                <w:sz w:val="18"/>
              </w:rPr>
              <w:t>0.0882</w:t>
            </w:r>
          </w:p>
        </w:tc>
        <w:tc>
          <w:tcPr>
            <w:tcW w:type="dxa" w:w="1332"/>
            <w:vAlign w:val="center"/>
          </w:tcPr>
          <w:p>
            <w:pPr>
              <w:keepNext w:val="0"/>
              <w:spacing w:after="0" w:before="0" w:line="240" w:lineRule="auto"/>
              <w:jc w:val="right"/>
            </w:pPr>
            <w:r>
              <w:rPr>
                <w:rFonts w:ascii="Calibri" w:hAnsi="Calibri"/>
                <w:b w:val="0"/>
                <w:sz w:val="18"/>
              </w:rPr>
              <w:t>0.1323</w:t>
            </w:r>
          </w:p>
        </w:tc>
        <w:tc>
          <w:tcPr>
            <w:tcW w:type="dxa" w:w="1332"/>
            <w:vAlign w:val="center"/>
          </w:tcPr>
          <w:p>
            <w:pPr>
              <w:keepNext w:val="0"/>
              <w:spacing w:after="0" w:before="0" w:line="240" w:lineRule="auto"/>
              <w:jc w:val="right"/>
            </w:pPr>
            <w:r>
              <w:rPr>
                <w:rFonts w:ascii="Calibri" w:hAnsi="Calibri"/>
                <w:b w:val="0"/>
                <w:sz w:val="18"/>
              </w:rPr>
              <w:t>50.2527</w:t>
            </w:r>
          </w:p>
        </w:tc>
        <w:tc>
          <w:tcPr>
            <w:tcW w:type="dxa" w:w="1332"/>
            <w:vAlign w:val="center"/>
          </w:tcPr>
          <w:p>
            <w:pPr>
              <w:keepNext w:val="0"/>
              <w:spacing w:after="0" w:before="0" w:line="240" w:lineRule="auto"/>
              <w:jc w:val="right"/>
            </w:pPr>
            <w:r>
              <w:rPr>
                <w:rFonts w:ascii="Calibri" w:hAnsi="Calibri"/>
                <w:b w:val="0"/>
                <w:sz w:val="18"/>
              </w:rPr>
              <w:t>0.2145</w:t>
            </w:r>
          </w:p>
        </w:tc>
        <w:tc>
          <w:tcPr>
            <w:tcW w:type="dxa" w:w="1332"/>
            <w:vAlign w:val="center"/>
          </w:tcPr>
          <w:p>
            <w:pPr>
              <w:keepNext w:val="0"/>
              <w:spacing w:after="0" w:before="0" w:line="240" w:lineRule="auto"/>
              <w:jc w:val="right"/>
            </w:pPr>
            <w:r>
              <w:rPr>
                <w:rFonts w:ascii="Calibri" w:hAnsi="Calibri"/>
                <w:b w:val="0"/>
                <w:sz w:val="18"/>
              </w:rPr>
              <w:t>143.6064</w:t>
            </w:r>
          </w:p>
        </w:tc>
      </w:tr>
      <w:tr>
        <w:trPr>
          <w:cantSplit/>
        </w:trPr>
        <w:tc>
          <w:tcPr>
            <w:tcW w:type="dxa" w:w="2232"/>
            <w:vAlign w:val="center"/>
          </w:tcPr>
          <w:p>
            <w:pPr>
              <w:keepNext w:val="0"/>
              <w:spacing w:after="0" w:before="0" w:line="240" w:lineRule="auto"/>
            </w:pPr>
            <w:r>
              <w:rPr>
                <w:rFonts w:ascii="Calibri" w:hAnsi="Calibri"/>
                <w:b w:val="0"/>
                <w:sz w:val="18"/>
              </w:rPr>
              <w:t>Soft​Mixture_​Perturb</w:t>
            </w:r>
          </w:p>
        </w:tc>
        <w:tc>
          <w:tcPr>
            <w:tcW w:type="dxa" w:w="1332"/>
            <w:vAlign w:val="center"/>
          </w:tcPr>
          <w:p>
            <w:pPr>
              <w:keepNext w:val="0"/>
              <w:spacing w:after="0" w:before="0" w:line="240" w:lineRule="auto"/>
              <w:jc w:val="right"/>
            </w:pPr>
            <w:r>
              <w:rPr>
                <w:rFonts w:ascii="Calibri" w:hAnsi="Calibri"/>
                <w:b w:val="0"/>
                <w:sz w:val="18"/>
              </w:rPr>
              <w:t>4614</w:t>
            </w:r>
          </w:p>
        </w:tc>
        <w:tc>
          <w:tcPr>
            <w:tcW w:type="dxa" w:w="1332"/>
            <w:vAlign w:val="center"/>
          </w:tcPr>
          <w:p>
            <w:pPr>
              <w:keepNext w:val="0"/>
              <w:spacing w:after="0" w:before="0" w:line="240" w:lineRule="auto"/>
              <w:jc w:val="right"/>
            </w:pPr>
            <w:r>
              <w:rPr>
                <w:rFonts w:ascii="Calibri" w:hAnsi="Calibri"/>
                <w:b w:val="0"/>
                <w:sz w:val="18"/>
              </w:rPr>
              <w:t>0.0927</w:t>
            </w:r>
          </w:p>
        </w:tc>
        <w:tc>
          <w:tcPr>
            <w:tcW w:type="dxa" w:w="1332"/>
            <w:vAlign w:val="center"/>
          </w:tcPr>
          <w:p>
            <w:pPr>
              <w:keepNext w:val="0"/>
              <w:spacing w:after="0" w:before="0" w:line="240" w:lineRule="auto"/>
              <w:jc w:val="right"/>
            </w:pPr>
            <w:r>
              <w:rPr>
                <w:rFonts w:ascii="Calibri" w:hAnsi="Calibri"/>
                <w:b w:val="0"/>
                <w:sz w:val="18"/>
              </w:rPr>
              <w:t>0.1152</w:t>
            </w:r>
          </w:p>
        </w:tc>
        <w:tc>
          <w:tcPr>
            <w:tcW w:type="dxa" w:w="1332"/>
            <w:vAlign w:val="center"/>
          </w:tcPr>
          <w:p>
            <w:pPr>
              <w:keepNext w:val="0"/>
              <w:spacing w:after="0" w:before="0" w:line="240" w:lineRule="auto"/>
              <w:jc w:val="right"/>
            </w:pPr>
            <w:r>
              <w:rPr>
                <w:rFonts w:ascii="Calibri" w:hAnsi="Calibri"/>
                <w:b w:val="0"/>
                <w:sz w:val="18"/>
              </w:rPr>
              <w:t>24.2196</w:t>
            </w:r>
          </w:p>
        </w:tc>
        <w:tc>
          <w:tcPr>
            <w:tcW w:type="dxa" w:w="1332"/>
            <w:vAlign w:val="center"/>
          </w:tcPr>
          <w:p>
            <w:pPr>
              <w:keepNext w:val="0"/>
              <w:spacing w:after="0" w:before="0" w:line="240" w:lineRule="auto"/>
              <w:jc w:val="right"/>
            </w:pPr>
            <w:r>
              <w:rPr>
                <w:rFonts w:ascii="Calibri" w:hAnsi="Calibri"/>
                <w:b w:val="0"/>
                <w:sz w:val="18"/>
              </w:rPr>
              <w:t>0.1605</w:t>
            </w:r>
          </w:p>
        </w:tc>
        <w:tc>
          <w:tcPr>
            <w:tcW w:type="dxa" w:w="1332"/>
            <w:vAlign w:val="center"/>
          </w:tcPr>
          <w:p>
            <w:pPr>
              <w:keepNext w:val="0"/>
              <w:spacing w:after="0" w:before="0" w:line="240" w:lineRule="auto"/>
              <w:jc w:val="right"/>
            </w:pPr>
            <w:r>
              <w:rPr>
                <w:rFonts w:ascii="Calibri" w:hAnsi="Calibri"/>
                <w:b w:val="0"/>
                <w:sz w:val="18"/>
              </w:rPr>
              <w:t>73.0586</w:t>
            </w:r>
          </w:p>
        </w:tc>
      </w:tr>
      <w:tr>
        <w:trPr>
          <w:cantSplit/>
        </w:trPr>
        <w:tc>
          <w:tcPr>
            <w:tcW w:type="dxa" w:w="2232"/>
            <w:vAlign w:val="center"/>
          </w:tcPr>
          <w:p>
            <w:pPr>
              <w:keepNext w:val="0"/>
              <w:spacing w:after="0" w:before="0" w:line="240" w:lineRule="auto"/>
            </w:pPr>
            <w:r>
              <w:rPr>
                <w:rFonts w:ascii="Calibri" w:hAnsi="Calibri"/>
                <w:b w:val="0"/>
                <w:sz w:val="18"/>
              </w:rPr>
              <w:t>HardTop1</w:t>
            </w:r>
          </w:p>
        </w:tc>
        <w:tc>
          <w:tcPr>
            <w:tcW w:type="dxa" w:w="1332"/>
            <w:vAlign w:val="center"/>
          </w:tcPr>
          <w:p>
            <w:pPr>
              <w:keepNext w:val="0"/>
              <w:spacing w:after="0" w:before="0" w:line="240" w:lineRule="auto"/>
              <w:jc w:val="right"/>
            </w:pPr>
            <w:r>
              <w:rPr>
                <w:rFonts w:ascii="Calibri" w:hAnsi="Calibri"/>
                <w:b w:val="0"/>
                <w:sz w:val="18"/>
              </w:rPr>
              <w:t>4614</w:t>
            </w:r>
          </w:p>
        </w:tc>
        <w:tc>
          <w:tcPr>
            <w:tcW w:type="dxa" w:w="1332"/>
            <w:vAlign w:val="center"/>
          </w:tcPr>
          <w:p>
            <w:pPr>
              <w:keepNext w:val="0"/>
              <w:spacing w:after="0" w:before="0" w:line="240" w:lineRule="auto"/>
              <w:jc w:val="right"/>
            </w:pPr>
            <w:r>
              <w:rPr>
                <w:rFonts w:ascii="Calibri" w:hAnsi="Calibri"/>
                <w:b w:val="0"/>
                <w:sz w:val="18"/>
              </w:rPr>
              <w:t>0.1164</w:t>
            </w:r>
          </w:p>
        </w:tc>
        <w:tc>
          <w:tcPr>
            <w:tcW w:type="dxa" w:w="1332"/>
            <w:vAlign w:val="center"/>
          </w:tcPr>
          <w:p>
            <w:pPr>
              <w:keepNext w:val="0"/>
              <w:spacing w:after="0" w:before="0" w:line="240" w:lineRule="auto"/>
              <w:jc w:val="right"/>
            </w:pPr>
            <w:r>
              <w:rPr>
                <w:rFonts w:ascii="Calibri" w:hAnsi="Calibri"/>
                <w:b w:val="0"/>
                <w:sz w:val="18"/>
              </w:rPr>
              <w:t>0.1501</w:t>
            </w:r>
          </w:p>
        </w:tc>
        <w:tc>
          <w:tcPr>
            <w:tcW w:type="dxa" w:w="1332"/>
            <w:vAlign w:val="center"/>
          </w:tcPr>
          <w:p>
            <w:pPr>
              <w:keepNext w:val="0"/>
              <w:spacing w:after="0" w:before="0" w:line="240" w:lineRule="auto"/>
              <w:jc w:val="right"/>
            </w:pPr>
            <w:r>
              <w:rPr>
                <w:rFonts w:ascii="Calibri" w:hAnsi="Calibri"/>
                <w:b w:val="0"/>
                <w:sz w:val="18"/>
              </w:rPr>
              <w:t>28.9738</w:t>
            </w:r>
          </w:p>
        </w:tc>
        <w:tc>
          <w:tcPr>
            <w:tcW w:type="dxa" w:w="1332"/>
            <w:vAlign w:val="center"/>
          </w:tcPr>
          <w:p>
            <w:pPr>
              <w:keepNext w:val="0"/>
              <w:spacing w:after="0" w:before="0" w:line="240" w:lineRule="auto"/>
              <w:jc w:val="right"/>
            </w:pPr>
            <w:r>
              <w:rPr>
                <w:rFonts w:ascii="Calibri" w:hAnsi="Calibri"/>
                <w:b w:val="0"/>
                <w:sz w:val="18"/>
              </w:rPr>
              <w:t>0.2124</w:t>
            </w:r>
          </w:p>
        </w:tc>
        <w:tc>
          <w:tcPr>
            <w:tcW w:type="dxa" w:w="1332"/>
            <w:vAlign w:val="center"/>
          </w:tcPr>
          <w:p>
            <w:pPr>
              <w:keepNext w:val="0"/>
              <w:spacing w:after="0" w:before="0" w:line="240" w:lineRule="auto"/>
              <w:jc w:val="right"/>
            </w:pPr>
            <w:r>
              <w:rPr>
                <w:rFonts w:ascii="Calibri" w:hAnsi="Calibri"/>
                <w:b w:val="0"/>
                <w:sz w:val="18"/>
              </w:rPr>
              <w:t>82.5305</w:t>
            </w:r>
          </w:p>
        </w:tc>
      </w:tr>
      <w:tr>
        <w:trPr>
          <w:cantSplit/>
        </w:trPr>
        <w:tc>
          <w:tcPr>
            <w:tcW w:type="dxa" w:w="2232"/>
            <w:vAlign w:val="center"/>
          </w:tcPr>
          <w:p>
            <w:pPr>
              <w:keepNext/>
              <w:spacing w:after="0" w:before="0" w:line="240" w:lineRule="auto"/>
            </w:pPr>
            <w:r>
              <w:rPr>
                <w:rFonts w:ascii="Calibri" w:hAnsi="Calibri"/>
                <w:b w:val="0"/>
                <w:sz w:val="18"/>
              </w:rPr>
              <w:t>HardTop1_Perturb</w:t>
            </w:r>
          </w:p>
        </w:tc>
        <w:tc>
          <w:tcPr>
            <w:tcW w:type="dxa" w:w="1332"/>
            <w:vAlign w:val="center"/>
          </w:tcPr>
          <w:p>
            <w:pPr>
              <w:keepNext/>
              <w:spacing w:after="0" w:before="0" w:line="240" w:lineRule="auto"/>
              <w:jc w:val="right"/>
            </w:pPr>
            <w:r>
              <w:rPr>
                <w:rFonts w:ascii="Calibri" w:hAnsi="Calibri"/>
                <w:b w:val="0"/>
                <w:sz w:val="18"/>
              </w:rPr>
              <w:t>4614</w:t>
            </w:r>
          </w:p>
        </w:tc>
        <w:tc>
          <w:tcPr>
            <w:tcW w:type="dxa" w:w="1332"/>
            <w:vAlign w:val="center"/>
          </w:tcPr>
          <w:p>
            <w:pPr>
              <w:keepNext/>
              <w:spacing w:after="0" w:before="0" w:line="240" w:lineRule="auto"/>
              <w:jc w:val="right"/>
            </w:pPr>
            <w:r>
              <w:rPr>
                <w:rFonts w:ascii="Calibri" w:hAnsi="Calibri"/>
                <w:b w:val="0"/>
                <w:sz w:val="18"/>
              </w:rPr>
              <w:t>0.1200</w:t>
            </w:r>
          </w:p>
        </w:tc>
        <w:tc>
          <w:tcPr>
            <w:tcW w:type="dxa" w:w="1332"/>
            <w:vAlign w:val="center"/>
          </w:tcPr>
          <w:p>
            <w:pPr>
              <w:keepNext/>
              <w:spacing w:after="0" w:before="0" w:line="240" w:lineRule="auto"/>
              <w:jc w:val="right"/>
            </w:pPr>
            <w:r>
              <w:rPr>
                <w:rFonts w:ascii="Calibri" w:hAnsi="Calibri"/>
                <w:b w:val="0"/>
                <w:sz w:val="18"/>
              </w:rPr>
              <w:t>0.1336</w:t>
            </w:r>
          </w:p>
        </w:tc>
        <w:tc>
          <w:tcPr>
            <w:tcW w:type="dxa" w:w="1332"/>
            <w:vAlign w:val="center"/>
          </w:tcPr>
          <w:p>
            <w:pPr>
              <w:keepNext/>
              <w:spacing w:after="0" w:before="0" w:line="240" w:lineRule="auto"/>
              <w:jc w:val="right"/>
            </w:pPr>
            <w:r>
              <w:rPr>
                <w:rFonts w:ascii="Calibri" w:hAnsi="Calibri"/>
                <w:b w:val="0"/>
                <w:sz w:val="18"/>
              </w:rPr>
              <w:t>11.3216</w:t>
            </w:r>
          </w:p>
        </w:tc>
        <w:tc>
          <w:tcPr>
            <w:tcW w:type="dxa" w:w="1332"/>
            <w:vAlign w:val="center"/>
          </w:tcPr>
          <w:p>
            <w:pPr>
              <w:keepNext/>
              <w:spacing w:after="0" w:before="0" w:line="240" w:lineRule="auto"/>
              <w:jc w:val="right"/>
            </w:pPr>
            <w:r>
              <w:rPr>
                <w:rFonts w:ascii="Calibri" w:hAnsi="Calibri"/>
                <w:b w:val="0"/>
                <w:sz w:val="18"/>
              </w:rPr>
              <w:t>0.1641</w:t>
            </w:r>
          </w:p>
        </w:tc>
        <w:tc>
          <w:tcPr>
            <w:tcW w:type="dxa" w:w="1332"/>
            <w:vAlign w:val="center"/>
          </w:tcPr>
          <w:p>
            <w:pPr>
              <w:keepNext/>
              <w:spacing w:after="0" w:before="0" w:line="240" w:lineRule="auto"/>
              <w:jc w:val="right"/>
            </w:pPr>
            <w:r>
              <w:rPr>
                <w:rFonts w:ascii="Calibri" w:hAnsi="Calibri"/>
                <w:b w:val="0"/>
                <w:sz w:val="18"/>
              </w:rPr>
              <w:t>36.7217</w:t>
            </w:r>
          </w:p>
        </w:tc>
      </w:tr>
    </w:tbl>
    <w:p>
      <w:pPr>
        <w:keepLines/>
        <w:spacing w:before="60" w:after="120"/>
      </w:pPr>
      <w:r>
        <w:rPr>
          <w:sz w:val="18"/>
        </w:rPr>
        <w:t>Controlled simulation. Lower MSE indicates lower prediction error within the same task and target scaling.</w:t>
      </w:r>
    </w:p>
    <w:p>
      <w:r>
        <w:t>SharedResidual and CoordinatedEffectors have identical parameterization. Perturbation training changes intact MSE from 0.0728 to 0.0755, reduces the average single-expert removal penalty from 26.1% to 12.6%, and reduces the dual-removal penalty from 73.9% to 37.9%.</w:t>
      </w:r>
    </w:p>
    <w:p>
      <w:r>
        <w:t>Under the same dropout schedule, HardTop1's single-removal penalty falls from 29.0% to 11.3%. Its intact MSE is 0.1200, compared with 0.0755 for CoordinatedEffectors, and its perturbed absolute error is also higher. Both exclusive and overlapping routing learn backup computation; the shared overlapping design has the lower absolute errors in this comparison.</w:t>
      </w:r>
    </w:p>
    <w:p>
      <w:pPr>
        <w:keepNext/>
        <w:spacing w:after="60"/>
        <w:jc w:val="center"/>
      </w:pPr>
      <w:r>
        <w:drawing>
          <wp:inline xmlns:a="http://schemas.openxmlformats.org/drawingml/2006/main" xmlns:pic="http://schemas.openxmlformats.org/drawingml/2006/picture">
            <wp:extent cx="6309360" cy="3785616"/>
            <wp:docPr id="37" name="Picture 37"/>
            <wp:cNvGraphicFramePr>
              <a:graphicFrameLocks noChangeAspect="1"/>
            </wp:cNvGraphicFramePr>
            <a:graphic>
              <a:graphicData uri="http://schemas.openxmlformats.org/drawingml/2006/picture">
                <pic:pic>
                  <pic:nvPicPr>
                    <pic:cNvPr id="0" name="37_image37.png"/>
                    <pic:cNvPicPr/>
                  </pic:nvPicPr>
                  <pic:blipFill>
                    <a:blip r:embed="rId50"/>
                    <a:stretch>
                      <a:fillRect/>
                    </a:stretch>
                  </pic:blipFill>
                  <pic:spPr>
                    <a:xfrm>
                      <a:off x="0" y="0"/>
                      <a:ext cx="6309360" cy="3785616"/>
                    </a:xfrm>
                    <a:prstGeom prst="rect"/>
                  </pic:spPr>
                </pic:pic>
              </a:graphicData>
            </a:graphic>
          </wp:inline>
        </w:drawing>
      </w:r>
    </w:p>
    <w:p>
      <w:pPr>
        <w:pStyle w:val="Caption"/>
      </w:pPr>
      <w:r>
        <w:t>Figure 37. Immediate compensation after a single expert lesion.</w:t>
      </w:r>
    </w:p>
    <w:p>
      <w:pPr>
        <w:keepNext/>
        <w:spacing w:after="60"/>
        <w:jc w:val="center"/>
      </w:pPr>
      <w:r>
        <w:drawing>
          <wp:inline xmlns:a="http://schemas.openxmlformats.org/drawingml/2006/main" xmlns:pic="http://schemas.openxmlformats.org/drawingml/2006/picture">
            <wp:extent cx="6309360" cy="3364992"/>
            <wp:docPr id="38" name="Picture 38"/>
            <wp:cNvGraphicFramePr>
              <a:graphicFrameLocks noChangeAspect="1"/>
            </wp:cNvGraphicFramePr>
            <a:graphic>
              <a:graphicData uri="http://schemas.openxmlformats.org/drawingml/2006/picture">
                <pic:pic>
                  <pic:nvPicPr>
                    <pic:cNvPr id="0" name="38_image38.png"/>
                    <pic:cNvPicPr/>
                  </pic:nvPicPr>
                  <pic:blipFill>
                    <a:blip r:embed="rId51"/>
                    <a:stretch>
                      <a:fillRect/>
                    </a:stretch>
                  </pic:blipFill>
                  <pic:spPr>
                    <a:xfrm>
                      <a:off x="0" y="0"/>
                      <a:ext cx="6309360" cy="3364992"/>
                    </a:xfrm>
                    <a:prstGeom prst="rect"/>
                  </pic:spPr>
                </pic:pic>
              </a:graphicData>
            </a:graphic>
          </wp:inline>
        </w:drawing>
      </w:r>
    </w:p>
    <w:p>
      <w:pPr>
        <w:pStyle w:val="Caption"/>
      </w:pPr>
      <w:r>
        <w:t>Figure 38. Lesion penalties after matched perturbation-training ablation.</w:t>
      </w:r>
    </w:p>
    <w:p>
      <w:pPr>
        <w:pStyle w:val="Heading3"/>
        <w:pageBreakBefore/>
      </w:pPr>
      <w:r>
        <w:t>7.1.5 Perturbation curriculum effects</w:t>
      </w:r>
    </w:p>
    <w:p>
      <w:pPr>
        <w:pStyle w:val="Caption"/>
        <w:keepNext/>
      </w:pPr>
      <w:r>
        <w:t>Table 56. Matched perturbation-training effects.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Base model</w:t>
            </w:r>
          </w:p>
        </w:tc>
        <w:tc>
          <w:tcPr>
            <w:tcW w:type="dxa" w:w="2153"/>
            <w:vAlign w:val="center"/>
            <w:shd w:fill="F2F2F2"/>
          </w:tcPr>
          <w:p>
            <w:pPr>
              <w:keepNext/>
              <w:spacing w:after="0" w:before="0" w:line="240" w:lineRule="auto"/>
            </w:pPr>
            <w:r>
              <w:rPr>
                <w:rFonts w:ascii="Calibri" w:hAnsi="Calibri"/>
                <w:b/>
                <w:sz w:val="19"/>
              </w:rPr>
              <w:t>Perturb-trained</w:t>
            </w:r>
          </w:p>
        </w:tc>
        <w:tc>
          <w:tcPr>
            <w:tcW w:type="dxa" w:w="2153"/>
            <w:vAlign w:val="center"/>
            <w:shd w:fill="F2F2F2"/>
          </w:tcPr>
          <w:p>
            <w:pPr>
              <w:keepNext/>
              <w:spacing w:after="0" w:before="0" w:line="240" w:lineRule="auto"/>
            </w:pPr>
            <w:r>
              <w:rPr>
                <w:rFonts w:ascii="Calibri" w:hAnsi="Calibri"/>
                <w:b/>
                <w:sz w:val="19"/>
              </w:rPr>
              <w:t>Intact MSE change (%)</w:t>
            </w:r>
          </w:p>
        </w:tc>
        <w:tc>
          <w:tcPr>
            <w:tcW w:type="dxa" w:w="2153"/>
            <w:vAlign w:val="center"/>
            <w:shd w:fill="F2F2F2"/>
          </w:tcPr>
          <w:p>
            <w:pPr>
              <w:keepNext/>
              <w:spacing w:after="0" w:before="0" w:line="240" w:lineRule="auto"/>
            </w:pPr>
            <w:r>
              <w:rPr>
                <w:rFonts w:ascii="Calibri" w:hAnsi="Calibri"/>
                <w:b/>
                <w:sz w:val="19"/>
              </w:rPr>
              <w:t>Single penalty reduction (pp)</w:t>
            </w:r>
          </w:p>
        </w:tc>
        <w:tc>
          <w:tcPr>
            <w:tcW w:type="dxa" w:w="2153"/>
            <w:vAlign w:val="center"/>
            <w:shd w:fill="F2F2F2"/>
          </w:tcPr>
          <w:p>
            <w:pPr>
              <w:keepNext/>
              <w:spacing w:after="0" w:before="0" w:line="240" w:lineRule="auto"/>
            </w:pPr>
            <w:r>
              <w:rPr>
                <w:rFonts w:ascii="Calibri" w:hAnsi="Calibri"/>
                <w:b/>
                <w:sz w:val="19"/>
              </w:rPr>
              <w:t>Dual penalty reduction (pp)</w:t>
            </w:r>
          </w:p>
        </w:tc>
      </w:tr>
      <w:tr>
        <w:trPr>
          <w:cantSplit/>
        </w:trPr>
        <w:tc>
          <w:tcPr>
            <w:tcW w:type="dxa" w:w="1613"/>
            <w:vAlign w:val="center"/>
          </w:tcPr>
          <w:p>
            <w:pPr>
              <w:keepNext w:val="0"/>
              <w:spacing w:after="0" w:before="0" w:line="240" w:lineRule="auto"/>
            </w:pPr>
            <w:r>
              <w:rPr>
                <w:rFonts w:ascii="Calibri" w:hAnsi="Calibri"/>
                <w:b w:val="0"/>
                <w:sz w:val="19"/>
              </w:rPr>
              <w:t>HardTop1</w:t>
            </w:r>
          </w:p>
        </w:tc>
        <w:tc>
          <w:tcPr>
            <w:tcW w:type="dxa" w:w="2153"/>
            <w:vAlign w:val="center"/>
          </w:tcPr>
          <w:p>
            <w:pPr>
              <w:keepNext w:val="0"/>
              <w:spacing w:after="0" w:before="0" w:line="240" w:lineRule="auto"/>
            </w:pPr>
            <w:r>
              <w:rPr>
                <w:rFonts w:ascii="Calibri" w:hAnsi="Calibri"/>
                <w:b w:val="0"/>
                <w:sz w:val="19"/>
              </w:rPr>
              <w:t>HardTop1_Perturb</w:t>
            </w:r>
          </w:p>
        </w:tc>
        <w:tc>
          <w:tcPr>
            <w:tcW w:type="dxa" w:w="2153"/>
            <w:vAlign w:val="center"/>
          </w:tcPr>
          <w:p>
            <w:pPr>
              <w:keepNext w:val="0"/>
              <w:spacing w:after="0" w:before="0" w:line="240" w:lineRule="auto"/>
              <w:jc w:val="right"/>
            </w:pPr>
            <w:r>
              <w:rPr>
                <w:rFonts w:ascii="Calibri" w:hAnsi="Calibri"/>
                <w:b w:val="0"/>
                <w:sz w:val="19"/>
              </w:rPr>
              <w:t>3.15</w:t>
            </w:r>
          </w:p>
        </w:tc>
        <w:tc>
          <w:tcPr>
            <w:tcW w:type="dxa" w:w="2153"/>
            <w:vAlign w:val="center"/>
          </w:tcPr>
          <w:p>
            <w:pPr>
              <w:keepNext w:val="0"/>
              <w:spacing w:after="0" w:before="0" w:line="240" w:lineRule="auto"/>
              <w:jc w:val="right"/>
            </w:pPr>
            <w:r>
              <w:rPr>
                <w:rFonts w:ascii="Calibri" w:hAnsi="Calibri"/>
                <w:b w:val="0"/>
                <w:sz w:val="19"/>
              </w:rPr>
              <w:t>17.65</w:t>
            </w:r>
          </w:p>
        </w:tc>
        <w:tc>
          <w:tcPr>
            <w:tcW w:type="dxa" w:w="2153"/>
            <w:vAlign w:val="center"/>
          </w:tcPr>
          <w:p>
            <w:pPr>
              <w:keepNext w:val="0"/>
              <w:spacing w:after="0" w:before="0" w:line="240" w:lineRule="auto"/>
              <w:jc w:val="right"/>
            </w:pPr>
            <w:r>
              <w:rPr>
                <w:rFonts w:ascii="Calibri" w:hAnsi="Calibri"/>
                <w:b w:val="0"/>
                <w:sz w:val="19"/>
              </w:rPr>
              <w:t>45.81</w:t>
            </w:r>
          </w:p>
        </w:tc>
      </w:tr>
      <w:tr>
        <w:trPr>
          <w:cantSplit/>
        </w:trPr>
        <w:tc>
          <w:tcPr>
            <w:tcW w:type="dxa" w:w="1613"/>
            <w:vAlign w:val="center"/>
          </w:tcPr>
          <w:p>
            <w:pPr>
              <w:keepNext w:val="0"/>
              <w:spacing w:after="0" w:before="0" w:line="240" w:lineRule="auto"/>
            </w:pPr>
            <w:r>
              <w:rPr>
                <w:rFonts w:ascii="Calibri" w:hAnsi="Calibri"/>
                <w:b w:val="0"/>
                <w:sz w:val="19"/>
              </w:rPr>
              <w:t>SoftMixture</w:t>
            </w:r>
          </w:p>
        </w:tc>
        <w:tc>
          <w:tcPr>
            <w:tcW w:type="dxa" w:w="2153"/>
            <w:vAlign w:val="center"/>
          </w:tcPr>
          <w:p>
            <w:pPr>
              <w:keepNext w:val="0"/>
              <w:spacing w:after="0" w:before="0" w:line="240" w:lineRule="auto"/>
            </w:pPr>
            <w:r>
              <w:rPr>
                <w:rFonts w:ascii="Calibri" w:hAnsi="Calibri"/>
                <w:b w:val="0"/>
                <w:sz w:val="19"/>
              </w:rPr>
              <w:t>Soft​Mixture_​Perturb</w:t>
            </w:r>
          </w:p>
        </w:tc>
        <w:tc>
          <w:tcPr>
            <w:tcW w:type="dxa" w:w="2153"/>
            <w:vAlign w:val="center"/>
          </w:tcPr>
          <w:p>
            <w:pPr>
              <w:keepNext w:val="0"/>
              <w:spacing w:after="0" w:before="0" w:line="240" w:lineRule="auto"/>
              <w:jc w:val="right"/>
            </w:pPr>
            <w:r>
              <w:rPr>
                <w:rFonts w:ascii="Calibri" w:hAnsi="Calibri"/>
                <w:b w:val="0"/>
                <w:sz w:val="19"/>
              </w:rPr>
              <w:t>5.20</w:t>
            </w:r>
          </w:p>
        </w:tc>
        <w:tc>
          <w:tcPr>
            <w:tcW w:type="dxa" w:w="2153"/>
            <w:vAlign w:val="center"/>
          </w:tcPr>
          <w:p>
            <w:pPr>
              <w:keepNext w:val="0"/>
              <w:spacing w:after="0" w:before="0" w:line="240" w:lineRule="auto"/>
              <w:jc w:val="right"/>
            </w:pPr>
            <w:r>
              <w:rPr>
                <w:rFonts w:ascii="Calibri" w:hAnsi="Calibri"/>
                <w:b w:val="0"/>
                <w:sz w:val="19"/>
              </w:rPr>
              <w:t>26.03</w:t>
            </w:r>
          </w:p>
        </w:tc>
        <w:tc>
          <w:tcPr>
            <w:tcW w:type="dxa" w:w="2153"/>
            <w:vAlign w:val="center"/>
          </w:tcPr>
          <w:p>
            <w:pPr>
              <w:keepNext w:val="0"/>
              <w:spacing w:after="0" w:before="0" w:line="240" w:lineRule="auto"/>
              <w:jc w:val="right"/>
            </w:pPr>
            <w:r>
              <w:rPr>
                <w:rFonts w:ascii="Calibri" w:hAnsi="Calibri"/>
                <w:b w:val="0"/>
                <w:sz w:val="19"/>
              </w:rPr>
              <w:t>70.55</w:t>
            </w:r>
          </w:p>
        </w:tc>
      </w:tr>
      <w:tr>
        <w:trPr>
          <w:cantSplit/>
        </w:trPr>
        <w:tc>
          <w:tcPr>
            <w:tcW w:type="dxa" w:w="1613"/>
            <w:vAlign w:val="center"/>
          </w:tcPr>
          <w:p>
            <w:pPr>
              <w:keepNext/>
              <w:spacing w:after="0" w:before="0" w:line="240" w:lineRule="auto"/>
            </w:pPr>
            <w:r>
              <w:rPr>
                <w:rFonts w:ascii="Calibri" w:hAnsi="Calibri"/>
                <w:b w:val="0"/>
                <w:sz w:val="19"/>
              </w:rPr>
              <w:t>SharedResidual</w:t>
            </w:r>
          </w:p>
        </w:tc>
        <w:tc>
          <w:tcPr>
            <w:tcW w:type="dxa" w:w="2153"/>
            <w:vAlign w:val="center"/>
          </w:tcPr>
          <w:p>
            <w:pPr>
              <w:keepNext/>
              <w:spacing w:after="0" w:before="0" w:line="240" w:lineRule="auto"/>
            </w:pPr>
            <w:r>
              <w:rPr>
                <w:rFonts w:ascii="Calibri" w:hAnsi="Calibri"/>
                <w:b w:val="0"/>
                <w:sz w:val="19"/>
              </w:rPr>
              <w:t>Coordinated​Effectors</w:t>
            </w:r>
          </w:p>
        </w:tc>
        <w:tc>
          <w:tcPr>
            <w:tcW w:type="dxa" w:w="2153"/>
            <w:vAlign w:val="center"/>
          </w:tcPr>
          <w:p>
            <w:pPr>
              <w:keepNext/>
              <w:spacing w:after="0" w:before="0" w:line="240" w:lineRule="auto"/>
              <w:jc w:val="right"/>
            </w:pPr>
            <w:r>
              <w:rPr>
                <w:rFonts w:ascii="Calibri" w:hAnsi="Calibri"/>
                <w:b w:val="0"/>
                <w:sz w:val="19"/>
              </w:rPr>
              <w:t>3.72</w:t>
            </w:r>
          </w:p>
        </w:tc>
        <w:tc>
          <w:tcPr>
            <w:tcW w:type="dxa" w:w="2153"/>
            <w:vAlign w:val="center"/>
          </w:tcPr>
          <w:p>
            <w:pPr>
              <w:keepNext/>
              <w:spacing w:after="0" w:before="0" w:line="240" w:lineRule="auto"/>
              <w:jc w:val="right"/>
            </w:pPr>
            <w:r>
              <w:rPr>
                <w:rFonts w:ascii="Calibri" w:hAnsi="Calibri"/>
                <w:b w:val="0"/>
                <w:sz w:val="19"/>
              </w:rPr>
              <w:t>13.51</w:t>
            </w:r>
          </w:p>
        </w:tc>
        <w:tc>
          <w:tcPr>
            <w:tcW w:type="dxa" w:w="2153"/>
            <w:vAlign w:val="center"/>
          </w:tcPr>
          <w:p>
            <w:pPr>
              <w:keepNext/>
              <w:spacing w:after="0" w:before="0" w:line="240" w:lineRule="auto"/>
              <w:jc w:val="right"/>
            </w:pPr>
            <w:r>
              <w:rPr>
                <w:rFonts w:ascii="Calibri" w:hAnsi="Calibri"/>
                <w:b w:val="0"/>
                <w:sz w:val="19"/>
              </w:rPr>
              <w:t>36.05</w:t>
            </w:r>
          </w:p>
        </w:tc>
      </w:tr>
    </w:tbl>
    <w:p>
      <w:pPr>
        <w:keepLines/>
        <w:spacing w:before="60" w:after="120"/>
      </w:pPr>
      <w:r>
        <w:rPr>
          <w:sz w:val="18"/>
        </w:rPr>
        <w:t>Controlled simulation. Lower MSE indicates lower prediction error within the same task and target scaling.</w:t>
      </w:r>
    </w:p>
    <w:p>
      <w:r>
        <w:t>All three architecture families have smaller removal penalties after perturbation training. Resilience depends on training exposure as well as the availability of alternative pathways.</w:t>
      </w:r>
    </w:p>
    <w:p>
      <w:r>
        <w:t>The experiment separates substitute computation from training that makes use of it.</w:t>
      </w:r>
    </w:p>
    <w:p>
      <w:pPr>
        <w:pStyle w:val="Heading3"/>
      </w:pPr>
      <w:r>
        <w:t>7.1.6 Coordination geometry</w:t>
      </w:r>
    </w:p>
    <w:p>
      <w:pPr>
        <w:pStyle w:val="Caption"/>
        <w:keepNext/>
      </w:pPr>
      <w:r>
        <w:t>Table 57. Output overlap and routing geometry.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2664"/>
            <w:vAlign w:val="center"/>
            <w:shd w:fill="F2F2F2"/>
          </w:tcPr>
          <w:p>
            <w:pPr>
              <w:keepNext/>
              <w:spacing w:after="0" w:before="0" w:line="240" w:lineRule="auto"/>
            </w:pPr>
            <w:r>
              <w:rPr>
                <w:rFonts w:ascii="Calibri" w:hAnsi="Calibri"/>
                <w:b/>
                <w:sz w:val="19"/>
              </w:rPr>
              <w:t>Expert effect cosine</w:t>
            </w:r>
          </w:p>
        </w:tc>
        <w:tc>
          <w:tcPr>
            <w:tcW w:type="dxa" w:w="2664"/>
            <w:vAlign w:val="center"/>
            <w:shd w:fill="F2F2F2"/>
          </w:tcPr>
          <w:p>
            <w:pPr>
              <w:keepNext/>
              <w:spacing w:after="0" w:before="0" w:line="240" w:lineRule="auto"/>
            </w:pPr>
            <w:r>
              <w:rPr>
                <w:rFonts w:ascii="Calibri" w:hAnsi="Calibri"/>
                <w:b/>
                <w:sz w:val="19"/>
              </w:rPr>
              <w:t>Max router weight</w:t>
            </w:r>
          </w:p>
        </w:tc>
        <w:tc>
          <w:tcPr>
            <w:tcW w:type="dxa" w:w="2664"/>
            <w:vAlign w:val="center"/>
            <w:shd w:fill="F2F2F2"/>
          </w:tcPr>
          <w:p>
            <w:pPr>
              <w:keepNext/>
              <w:spacing w:after="0" w:before="0" w:line="240" w:lineRule="auto"/>
            </w:pPr>
            <w:r>
              <w:rPr>
                <w:rFonts w:ascii="Calibri" w:hAnsi="Calibri"/>
                <w:b/>
                <w:sz w:val="19"/>
              </w:rPr>
              <w:t>Router entropy</w:t>
            </w:r>
          </w:p>
        </w:tc>
      </w:tr>
      <w:tr>
        <w:trPr>
          <w:cantSplit/>
        </w:trPr>
        <w:tc>
          <w:tcPr>
            <w:tcW w:type="dxa" w:w="2232"/>
            <w:vAlign w:val="center"/>
          </w:tcPr>
          <w:p>
            <w:pPr>
              <w:keepNext w:val="0"/>
              <w:spacing w:after="0" w:before="0" w:line="240" w:lineRule="auto"/>
            </w:pPr>
            <w:r>
              <w:rPr>
                <w:rFonts w:ascii="Calibri" w:hAnsi="Calibri"/>
                <w:b w:val="0"/>
                <w:sz w:val="19"/>
              </w:rPr>
              <w:t>HardTop1</w:t>
            </w:r>
          </w:p>
        </w:tc>
        <w:tc>
          <w:tcPr>
            <w:tcW w:type="dxa" w:w="2664"/>
            <w:vAlign w:val="center"/>
          </w:tcPr>
          <w:p>
            <w:pPr>
              <w:keepNext w:val="0"/>
              <w:spacing w:after="0" w:before="0" w:line="240" w:lineRule="auto"/>
              <w:jc w:val="right"/>
            </w:pPr>
            <w:r>
              <w:rPr>
                <w:rFonts w:ascii="Calibri" w:hAnsi="Calibri"/>
                <w:b w:val="0"/>
                <w:sz w:val="19"/>
              </w:rPr>
              <w:t>0.7412</w:t>
            </w:r>
          </w:p>
        </w:tc>
        <w:tc>
          <w:tcPr>
            <w:tcW w:type="dxa" w:w="2664"/>
            <w:vAlign w:val="center"/>
          </w:tcPr>
          <w:p>
            <w:pPr>
              <w:keepNext w:val="0"/>
              <w:spacing w:after="0" w:before="0" w:line="240" w:lineRule="auto"/>
              <w:jc w:val="right"/>
            </w:pPr>
            <w:r>
              <w:rPr>
                <w:rFonts w:ascii="Calibri" w:hAnsi="Calibri"/>
                <w:b w:val="0"/>
                <w:sz w:val="19"/>
              </w:rPr>
              <w:t>1.0000</w:t>
            </w:r>
          </w:p>
        </w:tc>
        <w:tc>
          <w:tcPr>
            <w:tcW w:type="dxa" w:w="2664"/>
            <w:vAlign w:val="center"/>
          </w:tcPr>
          <w:p>
            <w:pPr>
              <w:keepNext w:val="0"/>
              <w:spacing w:after="0" w:before="0" w:line="240" w:lineRule="auto"/>
              <w:jc w:val="right"/>
            </w:pPr>
            <w:r>
              <w:rPr>
                <w:rFonts w:ascii="Calibri" w:hAnsi="Calibri"/>
                <w:b w:val="0"/>
                <w:sz w:val="19"/>
              </w:rPr>
              <w:t>0.0000</w:t>
            </w:r>
          </w:p>
        </w:tc>
      </w:tr>
      <w:tr>
        <w:trPr>
          <w:cantSplit/>
        </w:trPr>
        <w:tc>
          <w:tcPr>
            <w:tcW w:type="dxa" w:w="2232"/>
            <w:vAlign w:val="center"/>
          </w:tcPr>
          <w:p>
            <w:pPr>
              <w:keepNext w:val="0"/>
              <w:spacing w:after="0" w:before="0" w:line="240" w:lineRule="auto"/>
            </w:pPr>
            <w:r>
              <w:rPr>
                <w:rFonts w:ascii="Calibri" w:hAnsi="Calibri"/>
                <w:b w:val="0"/>
                <w:sz w:val="19"/>
              </w:rPr>
              <w:t>SoftMixture</w:t>
            </w:r>
          </w:p>
        </w:tc>
        <w:tc>
          <w:tcPr>
            <w:tcW w:type="dxa" w:w="2664"/>
            <w:vAlign w:val="center"/>
          </w:tcPr>
          <w:p>
            <w:pPr>
              <w:keepNext w:val="0"/>
              <w:spacing w:after="0" w:before="0" w:line="240" w:lineRule="auto"/>
              <w:jc w:val="right"/>
            </w:pPr>
            <w:r>
              <w:rPr>
                <w:rFonts w:ascii="Calibri" w:hAnsi="Calibri"/>
                <w:b w:val="0"/>
                <w:sz w:val="19"/>
              </w:rPr>
              <w:t>0.6153</w:t>
            </w:r>
          </w:p>
        </w:tc>
        <w:tc>
          <w:tcPr>
            <w:tcW w:type="dxa" w:w="2664"/>
            <w:vAlign w:val="center"/>
          </w:tcPr>
          <w:p>
            <w:pPr>
              <w:keepNext w:val="0"/>
              <w:spacing w:after="0" w:before="0" w:line="240" w:lineRule="auto"/>
              <w:jc w:val="right"/>
            </w:pPr>
            <w:r>
              <w:rPr>
                <w:rFonts w:ascii="Calibri" w:hAnsi="Calibri"/>
                <w:b w:val="0"/>
                <w:sz w:val="19"/>
              </w:rPr>
              <w:t>0.3980</w:t>
            </w:r>
          </w:p>
        </w:tc>
        <w:tc>
          <w:tcPr>
            <w:tcW w:type="dxa" w:w="2664"/>
            <w:vAlign w:val="center"/>
          </w:tcPr>
          <w:p>
            <w:pPr>
              <w:keepNext w:val="0"/>
              <w:spacing w:after="0" w:before="0" w:line="240" w:lineRule="auto"/>
              <w:jc w:val="right"/>
            </w:pPr>
            <w:r>
              <w:rPr>
                <w:rFonts w:ascii="Calibri" w:hAnsi="Calibri"/>
                <w:b w:val="0"/>
                <w:sz w:val="19"/>
              </w:rPr>
              <w:t>1.2772</w:t>
            </w:r>
          </w:p>
        </w:tc>
      </w:tr>
      <w:tr>
        <w:trPr>
          <w:cantSplit/>
        </w:trPr>
        <w:tc>
          <w:tcPr>
            <w:tcW w:type="dxa" w:w="2232"/>
            <w:vAlign w:val="center"/>
          </w:tcPr>
          <w:p>
            <w:pPr>
              <w:keepNext w:val="0"/>
              <w:spacing w:after="0" w:before="0" w:line="240" w:lineRule="auto"/>
            </w:pPr>
            <w:r>
              <w:rPr>
                <w:rFonts w:ascii="Calibri" w:hAnsi="Calibri"/>
                <w:b w:val="0"/>
                <w:sz w:val="19"/>
              </w:rPr>
              <w:t>SharedResidual</w:t>
            </w:r>
          </w:p>
        </w:tc>
        <w:tc>
          <w:tcPr>
            <w:tcW w:type="dxa" w:w="2664"/>
            <w:vAlign w:val="center"/>
          </w:tcPr>
          <w:p>
            <w:pPr>
              <w:keepNext w:val="0"/>
              <w:spacing w:after="0" w:before="0" w:line="240" w:lineRule="auto"/>
              <w:jc w:val="right"/>
            </w:pPr>
            <w:r>
              <w:rPr>
                <w:rFonts w:ascii="Calibri" w:hAnsi="Calibri"/>
                <w:b w:val="0"/>
                <w:sz w:val="19"/>
              </w:rPr>
              <w:t>0.4537</w:t>
            </w:r>
          </w:p>
        </w:tc>
        <w:tc>
          <w:tcPr>
            <w:tcW w:type="dxa" w:w="2664"/>
            <w:vAlign w:val="center"/>
          </w:tcPr>
          <w:p>
            <w:pPr>
              <w:keepNext w:val="0"/>
              <w:spacing w:after="0" w:before="0" w:line="240" w:lineRule="auto"/>
              <w:jc w:val="right"/>
            </w:pPr>
            <w:r>
              <w:rPr>
                <w:rFonts w:ascii="Calibri" w:hAnsi="Calibri"/>
                <w:b w:val="0"/>
                <w:sz w:val="19"/>
              </w:rPr>
              <w:t>0.4017</w:t>
            </w:r>
          </w:p>
        </w:tc>
        <w:tc>
          <w:tcPr>
            <w:tcW w:type="dxa" w:w="2664"/>
            <w:vAlign w:val="center"/>
          </w:tcPr>
          <w:p>
            <w:pPr>
              <w:keepNext w:val="0"/>
              <w:spacing w:after="0" w:before="0" w:line="240" w:lineRule="auto"/>
              <w:jc w:val="right"/>
            </w:pPr>
            <w:r>
              <w:rPr>
                <w:rFonts w:ascii="Calibri" w:hAnsi="Calibri"/>
                <w:b w:val="0"/>
                <w:sz w:val="19"/>
              </w:rPr>
              <w:t>1.2773</w:t>
            </w:r>
          </w:p>
        </w:tc>
      </w:tr>
      <w:tr>
        <w:trPr>
          <w:cantSplit/>
        </w:trPr>
        <w:tc>
          <w:tcPr>
            <w:tcW w:type="dxa" w:w="2232"/>
            <w:vAlign w:val="center"/>
          </w:tcPr>
          <w:p>
            <w:pPr>
              <w:keepNext/>
              <w:spacing w:after="0" w:before="0" w:line="240" w:lineRule="auto"/>
            </w:pPr>
            <w:r>
              <w:rPr>
                <w:rFonts w:ascii="Calibri" w:hAnsi="Calibri"/>
                <w:b w:val="0"/>
                <w:sz w:val="19"/>
              </w:rPr>
              <w:t>Coordinated​Effectors</w:t>
            </w:r>
          </w:p>
        </w:tc>
        <w:tc>
          <w:tcPr>
            <w:tcW w:type="dxa" w:w="2664"/>
            <w:vAlign w:val="center"/>
          </w:tcPr>
          <w:p>
            <w:pPr>
              <w:keepNext/>
              <w:spacing w:after="0" w:before="0" w:line="240" w:lineRule="auto"/>
              <w:jc w:val="right"/>
            </w:pPr>
            <w:r>
              <w:rPr>
                <w:rFonts w:ascii="Calibri" w:hAnsi="Calibri"/>
                <w:b w:val="0"/>
                <w:sz w:val="19"/>
              </w:rPr>
              <w:t>0.5979</w:t>
            </w:r>
          </w:p>
        </w:tc>
        <w:tc>
          <w:tcPr>
            <w:tcW w:type="dxa" w:w="2664"/>
            <w:vAlign w:val="center"/>
          </w:tcPr>
          <w:p>
            <w:pPr>
              <w:keepNext/>
              <w:spacing w:after="0" w:before="0" w:line="240" w:lineRule="auto"/>
              <w:jc w:val="right"/>
            </w:pPr>
            <w:r>
              <w:rPr>
                <w:rFonts w:ascii="Calibri" w:hAnsi="Calibri"/>
                <w:b w:val="0"/>
                <w:sz w:val="19"/>
              </w:rPr>
              <w:t>0.3963</w:t>
            </w:r>
          </w:p>
        </w:tc>
        <w:tc>
          <w:tcPr>
            <w:tcW w:type="dxa" w:w="2664"/>
            <w:vAlign w:val="center"/>
          </w:tcPr>
          <w:p>
            <w:pPr>
              <w:keepNext/>
              <w:spacing w:after="0" w:before="0" w:line="240" w:lineRule="auto"/>
              <w:jc w:val="right"/>
            </w:pPr>
            <w:r>
              <w:rPr>
                <w:rFonts w:ascii="Calibri" w:hAnsi="Calibri"/>
                <w:b w:val="0"/>
                <w:sz w:val="19"/>
              </w:rPr>
              <w:t>1.2848</w:t>
            </w:r>
          </w:p>
        </w:tc>
      </w:tr>
    </w:tbl>
    <w:p>
      <w:pPr>
        <w:keepLines/>
        <w:spacing w:before="60" w:after="120"/>
      </w:pPr>
      <w:r>
        <w:rPr>
          <w:sz w:val="18"/>
        </w:rPr>
        <w:t>Controlled simulation.</w:t>
      </w:r>
    </w:p>
    <w:p>
      <w:r>
        <w:t>SharedResidual and CoordinatedEffectors have nearly identical router entropy (about 1.28), yet perturbation training increases mean expert-output cosine from 0.454 to 0.598. The robustness change is therefore not explained by simply making the router more diffuse. The learned effectors themselves become more functionally substitutable.</w:t>
      </w:r>
    </w:p>
    <w:p>
      <w:pPr>
        <w:pStyle w:val="Heading3"/>
      </w:pPr>
      <w:r>
        <w:t>7.1.7 Discussion of overlapping functional roles</w:t>
      </w:r>
    </w:p>
    <w:p>
      <w:r>
        <w:t>The useful part of the motor analogy is state-dependent contribution. A predictive module is characterized by the change it makes to the output under the current state. The following correspondences are conceptual aids for describing the computational experiment.</w:t>
      </w:r>
    </w:p>
    <w:p>
      <w:pPr>
        <w:pStyle w:val="ListBullet"/>
      </w:pPr>
      <w:r>
        <w:t>Predictive state supplies the information on which coordination is conditioned.</w:t>
      </w:r>
    </w:p>
    <w:p>
      <w:pPr>
        <w:pStyle w:val="ListBullet"/>
      </w:pPr>
      <w:r>
        <w:t>An expert or effector contributes a local response to the predicted transition.</w:t>
      </w:r>
    </w:p>
    <w:p>
      <w:pPr>
        <w:pStyle w:val="ListBullet"/>
      </w:pPr>
      <w:r>
        <w:t>The router allocates contributions among the available modules.</w:t>
      </w:r>
    </w:p>
    <w:p>
      <w:pPr>
        <w:pStyle w:val="ListBullet"/>
      </w:pPr>
      <w:r>
        <w:t>The shared backbone represents reusable dynamics.</w:t>
      </w:r>
    </w:p>
    <w:p>
      <w:pPr>
        <w:pStyle w:val="ListBullet"/>
      </w:pPr>
      <w:r>
        <w:t>Soft co-activation permits several modules to contribute simultaneously.</w:t>
      </w:r>
    </w:p>
    <w:p>
      <w:pPr>
        <w:pStyle w:val="ListBullet"/>
      </w:pPr>
      <w:r>
        <w:t>A lesion is an experimental removal or degradation of a module.</w:t>
      </w:r>
    </w:p>
    <w:p>
      <w:pPr>
        <w:pStyle w:val="ListBullet"/>
      </w:pPr>
      <w:r>
        <w:t>Reallocation changes contributions after a perturbation.</w:t>
      </w:r>
    </w:p>
    <w:p>
      <w:pPr>
        <w:pStyle w:val="ListBullet"/>
      </w:pPr>
      <w:r>
        <w:t>The perturbation schedule supplies training experience with unavailable modules.</w:t>
      </w:r>
    </w:p>
    <w:p>
      <w:r>
        <w:t>The results show that functional specialization can coexist with overlap. SharedResidual and CoordinatedEffectors have similar routing entropy, yet training changes output similarity and removal penalties. Both the contributions learned by the experts and the allocation among them matter.</w:t>
      </w:r>
    </w:p>
    <w:p>
      <w:r>
        <w:t>This distinction is consistent with the earlier capacity results: a representation can have substantial capacity but relatively few dominant local response directions. The relevant quantities should be measured separately in each task.</w:t>
      </w:r>
    </w:p>
    <w:p>
      <w:pPr>
        <w:pStyle w:val="Heading3"/>
      </w:pPr>
      <w:r>
        <w:t>7.1.8 Rapid post-lesion plasticity</w:t>
      </w:r>
    </w:p>
    <w:p>
      <w:pPr>
        <w:pStyle w:val="Caption"/>
        <w:keepNext/>
      </w:pPr>
      <w:r>
        <w:t>Table 58. Router-only adaptation after removal.</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2664"/>
            <w:vAlign w:val="center"/>
            <w:shd w:fill="F2F2F2"/>
          </w:tcPr>
          <w:p>
            <w:pPr>
              <w:keepNext/>
              <w:spacing w:after="0" w:before="0" w:line="240" w:lineRule="auto"/>
            </w:pPr>
            <w:r>
              <w:rPr>
                <w:rFonts w:ascii="Calibri" w:hAnsi="Calibri"/>
                <w:b/>
                <w:sz w:val="19"/>
              </w:rPr>
              <w:t>Pre-adapt MSE</w:t>
            </w:r>
          </w:p>
        </w:tc>
        <w:tc>
          <w:tcPr>
            <w:tcW w:type="dxa" w:w="2664"/>
            <w:vAlign w:val="center"/>
            <w:shd w:fill="F2F2F2"/>
          </w:tcPr>
          <w:p>
            <w:pPr>
              <w:keepNext/>
              <w:spacing w:after="0" w:before="0" w:line="240" w:lineRule="auto"/>
            </w:pPr>
            <w:r>
              <w:rPr>
                <w:rFonts w:ascii="Calibri" w:hAnsi="Calibri"/>
                <w:b/>
                <w:sz w:val="19"/>
              </w:rPr>
              <w:t>Post-router MSE</w:t>
            </w:r>
          </w:p>
        </w:tc>
        <w:tc>
          <w:tcPr>
            <w:tcW w:type="dxa" w:w="2664"/>
            <w:vAlign w:val="center"/>
            <w:shd w:fill="F2F2F2"/>
          </w:tcPr>
          <w:p>
            <w:pPr>
              <w:keepNext/>
              <w:spacing w:after="0" w:before="0" w:line="240" w:lineRule="auto"/>
            </w:pPr>
            <w:r>
              <w:rPr>
                <w:rFonts w:ascii="Calibri" w:hAnsi="Calibri"/>
                <w:b/>
                <w:sz w:val="19"/>
              </w:rPr>
              <w:t>Router change (%)</w:t>
            </w:r>
          </w:p>
        </w:tc>
      </w:tr>
      <w:tr>
        <w:trPr>
          <w:cantSplit/>
        </w:trPr>
        <w:tc>
          <w:tcPr>
            <w:tcW w:type="dxa" w:w="2232"/>
            <w:vAlign w:val="center"/>
          </w:tcPr>
          <w:p>
            <w:pPr>
              <w:keepNext w:val="0"/>
              <w:spacing w:after="0" w:before="0" w:line="240" w:lineRule="auto"/>
            </w:pPr>
            <w:r>
              <w:rPr>
                <w:rFonts w:ascii="Calibri" w:hAnsi="Calibri"/>
                <w:b w:val="0"/>
                <w:sz w:val="19"/>
              </w:rPr>
              <w:t>Coordinated​Effectors</w:t>
            </w:r>
          </w:p>
        </w:tc>
        <w:tc>
          <w:tcPr>
            <w:tcW w:type="dxa" w:w="2664"/>
            <w:vAlign w:val="center"/>
          </w:tcPr>
          <w:p>
            <w:pPr>
              <w:keepNext w:val="0"/>
              <w:spacing w:after="0" w:before="0" w:line="240" w:lineRule="auto"/>
              <w:jc w:val="right"/>
            </w:pPr>
            <w:r>
              <w:rPr>
                <w:rFonts w:ascii="Calibri" w:hAnsi="Calibri"/>
                <w:b w:val="0"/>
                <w:sz w:val="19"/>
              </w:rPr>
              <w:t>0.0817</w:t>
            </w:r>
          </w:p>
        </w:tc>
        <w:tc>
          <w:tcPr>
            <w:tcW w:type="dxa" w:w="2664"/>
            <w:vAlign w:val="center"/>
          </w:tcPr>
          <w:p>
            <w:pPr>
              <w:keepNext w:val="0"/>
              <w:spacing w:after="0" w:before="0" w:line="240" w:lineRule="auto"/>
              <w:jc w:val="right"/>
            </w:pPr>
            <w:r>
              <w:rPr>
                <w:rFonts w:ascii="Calibri" w:hAnsi="Calibri"/>
                <w:b w:val="0"/>
                <w:sz w:val="19"/>
              </w:rPr>
              <w:t>0.0809</w:t>
            </w:r>
          </w:p>
        </w:tc>
        <w:tc>
          <w:tcPr>
            <w:tcW w:type="dxa" w:w="2664"/>
            <w:vAlign w:val="center"/>
          </w:tcPr>
          <w:p>
            <w:pPr>
              <w:keepNext w:val="0"/>
              <w:spacing w:after="0" w:before="0" w:line="240" w:lineRule="auto"/>
              <w:jc w:val="right"/>
            </w:pPr>
            <w:r>
              <w:rPr>
                <w:rFonts w:ascii="Calibri" w:hAnsi="Calibri"/>
                <w:b w:val="0"/>
                <w:sz w:val="19"/>
              </w:rPr>
              <w:t>-1.0254</w:t>
            </w:r>
          </w:p>
        </w:tc>
      </w:tr>
      <w:tr>
        <w:trPr>
          <w:cantSplit/>
        </w:trPr>
        <w:tc>
          <w:tcPr>
            <w:tcW w:type="dxa" w:w="2232"/>
            <w:vAlign w:val="center"/>
          </w:tcPr>
          <w:p>
            <w:pPr>
              <w:keepNext w:val="0"/>
              <w:spacing w:after="0" w:before="0" w:line="240" w:lineRule="auto"/>
            </w:pPr>
            <w:r>
              <w:rPr>
                <w:rFonts w:ascii="Calibri" w:hAnsi="Calibri"/>
                <w:b w:val="0"/>
                <w:sz w:val="19"/>
              </w:rPr>
              <w:t>HardTop1</w:t>
            </w:r>
          </w:p>
        </w:tc>
        <w:tc>
          <w:tcPr>
            <w:tcW w:type="dxa" w:w="2664"/>
            <w:vAlign w:val="center"/>
          </w:tcPr>
          <w:p>
            <w:pPr>
              <w:keepNext w:val="0"/>
              <w:spacing w:after="0" w:before="0" w:line="240" w:lineRule="auto"/>
              <w:jc w:val="right"/>
            </w:pPr>
            <w:r>
              <w:rPr>
                <w:rFonts w:ascii="Calibri" w:hAnsi="Calibri"/>
                <w:b w:val="0"/>
                <w:sz w:val="19"/>
              </w:rPr>
              <w:t>0.1280</w:t>
            </w:r>
          </w:p>
        </w:tc>
        <w:tc>
          <w:tcPr>
            <w:tcW w:type="dxa" w:w="2664"/>
            <w:vAlign w:val="center"/>
          </w:tcPr>
          <w:p>
            <w:pPr>
              <w:keepNext w:val="0"/>
              <w:spacing w:after="0" w:before="0" w:line="240" w:lineRule="auto"/>
              <w:jc w:val="right"/>
            </w:pPr>
            <w:r>
              <w:rPr>
                <w:rFonts w:ascii="Calibri" w:hAnsi="Calibri"/>
                <w:b w:val="0"/>
                <w:sz w:val="19"/>
              </w:rPr>
              <w:t>0.1353</w:t>
            </w:r>
          </w:p>
        </w:tc>
        <w:tc>
          <w:tcPr>
            <w:tcW w:type="dxa" w:w="2664"/>
            <w:vAlign w:val="center"/>
          </w:tcPr>
          <w:p>
            <w:pPr>
              <w:keepNext w:val="0"/>
              <w:spacing w:after="0" w:before="0" w:line="240" w:lineRule="auto"/>
              <w:jc w:val="right"/>
            </w:pPr>
            <w:r>
              <w:rPr>
                <w:rFonts w:ascii="Calibri" w:hAnsi="Calibri"/>
                <w:b w:val="0"/>
                <w:sz w:val="19"/>
              </w:rPr>
              <w:t>5.4697</w:t>
            </w:r>
          </w:p>
        </w:tc>
      </w:tr>
      <w:tr>
        <w:trPr>
          <w:cantSplit/>
        </w:trPr>
        <w:tc>
          <w:tcPr>
            <w:tcW w:type="dxa" w:w="2232"/>
            <w:vAlign w:val="center"/>
          </w:tcPr>
          <w:p>
            <w:pPr>
              <w:keepNext w:val="0"/>
              <w:spacing w:after="0" w:before="0" w:line="240" w:lineRule="auto"/>
            </w:pPr>
            <w:r>
              <w:rPr>
                <w:rFonts w:ascii="Calibri" w:hAnsi="Calibri"/>
                <w:b w:val="0"/>
                <w:sz w:val="19"/>
              </w:rPr>
              <w:t>SharedResidual</w:t>
            </w:r>
          </w:p>
        </w:tc>
        <w:tc>
          <w:tcPr>
            <w:tcW w:type="dxa" w:w="2664"/>
            <w:vAlign w:val="center"/>
          </w:tcPr>
          <w:p>
            <w:pPr>
              <w:keepNext w:val="0"/>
              <w:spacing w:after="0" w:before="0" w:line="240" w:lineRule="auto"/>
              <w:jc w:val="right"/>
            </w:pPr>
            <w:r>
              <w:rPr>
                <w:rFonts w:ascii="Calibri" w:hAnsi="Calibri"/>
                <w:b w:val="0"/>
                <w:sz w:val="19"/>
              </w:rPr>
              <w:t>0.0806</w:t>
            </w:r>
          </w:p>
        </w:tc>
        <w:tc>
          <w:tcPr>
            <w:tcW w:type="dxa" w:w="2664"/>
            <w:vAlign w:val="center"/>
          </w:tcPr>
          <w:p>
            <w:pPr>
              <w:keepNext w:val="0"/>
              <w:spacing w:after="0" w:before="0" w:line="240" w:lineRule="auto"/>
              <w:jc w:val="right"/>
            </w:pPr>
            <w:r>
              <w:rPr>
                <w:rFonts w:ascii="Calibri" w:hAnsi="Calibri"/>
                <w:b w:val="0"/>
                <w:sz w:val="19"/>
              </w:rPr>
              <w:t>0.0794</w:t>
            </w:r>
          </w:p>
        </w:tc>
        <w:tc>
          <w:tcPr>
            <w:tcW w:type="dxa" w:w="2664"/>
            <w:vAlign w:val="center"/>
          </w:tcPr>
          <w:p>
            <w:pPr>
              <w:keepNext w:val="0"/>
              <w:spacing w:after="0" w:before="0" w:line="240" w:lineRule="auto"/>
              <w:jc w:val="right"/>
            </w:pPr>
            <w:r>
              <w:rPr>
                <w:rFonts w:ascii="Calibri" w:hAnsi="Calibri"/>
                <w:b w:val="0"/>
                <w:sz w:val="19"/>
              </w:rPr>
              <w:t>-1.4884</w:t>
            </w:r>
          </w:p>
        </w:tc>
      </w:tr>
      <w:tr>
        <w:trPr>
          <w:cantSplit/>
        </w:trPr>
        <w:tc>
          <w:tcPr>
            <w:tcW w:type="dxa" w:w="2232"/>
            <w:vAlign w:val="center"/>
          </w:tcPr>
          <w:p>
            <w:pPr>
              <w:keepNext/>
              <w:spacing w:after="0" w:before="0" w:line="240" w:lineRule="auto"/>
            </w:pPr>
            <w:r>
              <w:rPr>
                <w:rFonts w:ascii="Calibri" w:hAnsi="Calibri"/>
                <w:b w:val="0"/>
                <w:sz w:val="19"/>
              </w:rPr>
              <w:t>SoftMixture</w:t>
            </w:r>
          </w:p>
        </w:tc>
        <w:tc>
          <w:tcPr>
            <w:tcW w:type="dxa" w:w="2664"/>
            <w:vAlign w:val="center"/>
          </w:tcPr>
          <w:p>
            <w:pPr>
              <w:keepNext/>
              <w:spacing w:after="0" w:before="0" w:line="240" w:lineRule="auto"/>
              <w:jc w:val="right"/>
            </w:pPr>
            <w:r>
              <w:rPr>
                <w:rFonts w:ascii="Calibri" w:hAnsi="Calibri"/>
                <w:b w:val="0"/>
                <w:sz w:val="19"/>
              </w:rPr>
              <w:t>0.1065</w:t>
            </w:r>
          </w:p>
        </w:tc>
        <w:tc>
          <w:tcPr>
            <w:tcW w:type="dxa" w:w="2664"/>
            <w:vAlign w:val="center"/>
          </w:tcPr>
          <w:p>
            <w:pPr>
              <w:keepNext/>
              <w:spacing w:after="0" w:before="0" w:line="240" w:lineRule="auto"/>
              <w:jc w:val="right"/>
            </w:pPr>
            <w:r>
              <w:rPr>
                <w:rFonts w:ascii="Calibri" w:hAnsi="Calibri"/>
                <w:b w:val="0"/>
                <w:sz w:val="19"/>
              </w:rPr>
              <w:t>0.1038</w:t>
            </w:r>
          </w:p>
        </w:tc>
        <w:tc>
          <w:tcPr>
            <w:tcW w:type="dxa" w:w="2664"/>
            <w:vAlign w:val="center"/>
          </w:tcPr>
          <w:p>
            <w:pPr>
              <w:keepNext/>
              <w:spacing w:after="0" w:before="0" w:line="240" w:lineRule="auto"/>
              <w:jc w:val="right"/>
            </w:pPr>
            <w:r>
              <w:rPr>
                <w:rFonts w:ascii="Calibri" w:hAnsi="Calibri"/>
                <w:b w:val="0"/>
                <w:sz w:val="19"/>
              </w:rPr>
              <w:t>-2.5528</w:t>
            </w:r>
          </w:p>
        </w:tc>
      </w:tr>
    </w:tbl>
    <w:p>
      <w:pPr>
        <w:keepLines/>
        <w:spacing w:before="60" w:after="120"/>
      </w:pPr>
      <w:r>
        <w:rPr>
          <w:sz w:val="18"/>
        </w:rPr>
        <w:t>Controlled simulation. Lower MSE indicates lower prediction error within the same task and target scaling.</w:t>
      </w:r>
    </w:p>
    <w:p>
      <w:r>
        <w:t>Router-only adaptation produced only small improvements in the soft systems and could worsen HardTop1. The dominant robustness gain was learned during perturbation training, not recovered by a few post-lesion router updates. Immediate graceful degradation therefore needs to be built during training rather than assumed to emerge after failure.</w:t>
      </w:r>
    </w:p>
    <w:p>
      <w:pPr>
        <w:pStyle w:val="Heading3"/>
      </w:pPr>
      <w:r>
        <w:t>7.1.9 Training implications</w:t>
      </w:r>
    </w:p>
    <w:p>
      <w:r>
        <w:t>1. Include temporary module loss in training when resilience to unavailable modules is an objective, and evaluate the resulting accuracy trade-off.</w:t>
      </w:r>
    </w:p>
    <w:p>
      <w:r>
        <w:t>2. Report lesion curves as a standard MoE diagnostic: intact accuracy, average single-lesion, worst single-lesion and multi-lesion performance.</w:t>
      </w:r>
    </w:p>
    <w:p>
      <w:r>
        <w:t>3. Separate redundancy from learned coordination. Soft routing creates potential substitute pathways, but perturbation training teaches the system to use them reliably.</w:t>
      </w:r>
    </w:p>
    <w:p>
      <w:r>
        <w:t>4. Do not force one-to-one semantic ownership where the data generator is functionally redundant. Expert responsibilities should overlap when several mechanisms can realize similar future effects.</w:t>
      </w:r>
    </w:p>
    <w:p>
      <w:r>
        <w:t>5. Retain a shared predictive backbone when global dynamics are reusable. Effectors should spend capacity on local corrections rather than relearning the entire world.</w:t>
      </w:r>
    </w:p>
    <w:p>
      <w:r>
        <w:t>6. Use perturbations that match realistic computational failure modes: expert dropout, reduced capacity, delayed response, noisy output or temporary compute-budget cuts.</w:t>
      </w:r>
    </w:p>
    <w:p>
      <w:r>
        <w:t>7. Train across changing available-compute sets. The router should learn w(s, A), where A is the set of currently available effectors.</w:t>
      </w:r>
    </w:p>
    <w:p>
      <w:r>
        <w:t>8. Avoid optimizing only for load balance. Equal utilization is not equivalent to functional redundancy; the relevant target is coverage of future-effect directions after effectors are removed.</w:t>
      </w:r>
    </w:p>
    <w:p>
      <w:r>
        <w:t>9. Evaluate recovery without rewriting expert internals. Router-only or small-controller adaptation is a stricter coordination test than full-model fine-tuning.</w:t>
      </w:r>
    </w:p>
    <w:p>
      <w:r>
        <w:t>10. Evaluate expert-dropout training through both intact prediction and the ability to redistribute computation after module loss.</w:t>
      </w:r>
    </w:p>
    <w:p>
      <w:pPr>
        <w:pStyle w:val="Heading3"/>
      </w:pPr>
      <w:r>
        <w:t>7.1.10 Results synthesis</w:t>
      </w:r>
    </w:p>
    <w:p>
      <w:r>
        <w:t>The experiment supports a stronger formulation than “soft MoE is robust”. The same architecture becomes markedly more damage-tolerant after it is trained to coordinate under temporary module loss. Hard routing can also learn backup selections, but its one-at-a-time bottleneck leaves much worse absolute intact and lesioned performance. The best observed compromise in this experiment is shared dynamics plus overlapping effectors plus perturbation-trained coordination.</w:t>
      </w:r>
    </w:p>
    <w:p>
      <w:r>
        <w:t>The tested design combines shared dynamics, overlapping local contributions and coordination learned under module perturbations.</w:t>
      </w:r>
    </w:p>
    <w:p>
      <w:pPr>
        <w:pStyle w:val="Heading3"/>
      </w:pPr>
      <w:r>
        <w:t>7.1.11 Evidence records</w:t>
      </w:r>
    </w:p>
    <w:p>
      <w:pPr>
        <w:spacing w:after="40"/>
      </w:pPr>
      <w:r>
        <w:rPr>
          <w:sz w:val="18"/>
        </w:rPr>
        <w:t>COORDINATED_​EFFECTORS_​015_​bundle.zip</w:t>
      </w:r>
    </w:p>
    <w:p>
      <w:pPr>
        <w:spacing w:after="40"/>
      </w:pPr>
      <w:r>
        <w:rPr>
          <w:sz w:val="18"/>
        </w:rPr>
        <w:t>COORDINATED_​EFFECTORS_​015/​lesion_​summary_​with_​training_​ablation.csv</w:t>
      </w:r>
    </w:p>
    <w:p>
      <w:pPr>
        <w:spacing w:after="40"/>
      </w:pPr>
      <w:r>
        <w:rPr>
          <w:sz w:val="18"/>
        </w:rPr>
        <w:t>COORDINATED_​EFFECTORS_​015/​perturbation_​training_​effects.csv</w:t>
      </w:r>
    </w:p>
    <w:p>
      <w:pPr>
        <w:spacing w:after="40"/>
      </w:pPr>
      <w:r>
        <w:rPr>
          <w:sz w:val="18"/>
        </w:rPr>
        <w:t>COORDINATED_​EFFECTORS_​015/​coordination_​geometry.csv</w:t>
      </w:r>
    </w:p>
    <w:p>
      <w:pPr>
        <w:spacing w:after="40"/>
      </w:pPr>
      <w:r>
        <w:rPr>
          <w:sz w:val="18"/>
        </w:rPr>
        <w:t>COORDINATED_​EFFECTORS_​015/​router_​recovery_​summary_​corrected.csv</w:t>
      </w:r>
    </w:p>
    <w:p>
      <w:pPr>
        <w:spacing w:after="40"/>
      </w:pPr>
      <w:r>
        <w:rPr>
          <w:sz w:val="18"/>
        </w:rPr>
        <w:t>COORDINATED_​EFFECTORS_​015/​single_​lesion.png</w:t>
      </w:r>
    </w:p>
    <w:p>
      <w:pPr>
        <w:spacing w:after="40"/>
      </w:pPr>
      <w:r>
        <w:rPr>
          <w:sz w:val="18"/>
        </w:rPr>
        <w:t>COORDINATED_​EFFECTORS_​015/​lesion_​penalty_​ablation.png</w:t>
      </w:r>
    </w:p>
    <w:p>
      <w:pPr>
        <w:pStyle w:val="Heading2"/>
      </w:pPr>
      <w:r>
        <w:t>7.2 AVAILABILITY-AWARE-COORDINATION-016 Routing with observable resource state</w:t>
      </w:r>
    </w:p>
    <w:p>
      <w:pPr>
        <w:pStyle w:val="Heading3"/>
      </w:pPr>
      <w:r>
        <w:t>7.2.1 Question</w:t>
      </w:r>
    </w:p>
    <w:p>
      <w:r>
        <w:t>Experiment 015 tests complete module removal. This experiment varies available module capacity continuously, including cumulative depletion, persistent weakness and temporary outages.</w:t>
      </w:r>
    </w:p>
    <w:p>
      <w:r>
        <w:t>The routing formulation is w_t=R(s_t, a_t, u_t), where s_t is task state, a_t is current module availability and u_t is recent load history. The term computational body denotes this internal resource state in the model labels used below.</w:t>
      </w:r>
    </w:p>
    <w:p>
      <w:pPr>
        <w:pStyle w:val="Heading3"/>
      </w:pPr>
      <w:r>
        <w:t>7.2.2 Prediction and resource dynamics</w:t>
      </w:r>
    </w:p>
    <w:p>
      <w:r>
        <w:t>The target generator combines shared dynamics and four overlapping contributions. Module use consumes capacity and unused capacity recovers. The target trajectory is fixed across perturbations; only the predictor's internal resources change.</w:t>
      </w:r>
    </w:p>
    <w:p>
      <w:pPr>
        <w:pStyle w:val="ListBullet"/>
      </w:pPr>
      <w:r>
        <w:t>Full availability.</w:t>
      </w:r>
    </w:p>
    <w:p>
      <w:pPr>
        <w:pStyle w:val="ListBullet"/>
      </w:pPr>
      <w:r>
        <w:t>Persistent capacity depletion.</w:t>
      </w:r>
    </w:p>
    <w:p>
      <w:pPr>
        <w:pStyle w:val="ListBullet"/>
      </w:pPr>
      <w:r>
        <w:t>One persistently weak module.</w:t>
      </w:r>
    </w:p>
    <w:p>
      <w:pPr>
        <w:pStyle w:val="ListBullet"/>
      </w:pPr>
      <w:r>
        <w:t>Two scheduled temporary outages.</w:t>
      </w:r>
    </w:p>
    <w:p>
      <w:r>
        <w:t>StateOnly, AvailabilityAware, FatigueAware_NoCurriculum and CoordinatedBody separate resource-state inputs from the perturbation-training schedule.</w:t>
      </w:r>
    </w:p>
    <w:p>
      <w:pPr>
        <w:pStyle w:val="Heading3"/>
      </w:pPr>
      <w:r>
        <w:t>7.2.3 Main result</w:t>
      </w:r>
    </w:p>
    <w:p>
      <w:pPr>
        <w:pStyle w:val="Caption"/>
        <w:keepNext/>
      </w:pPr>
      <w:r>
        <w:t>Table 59. Prediction under resource conditions.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998"/>
        <w:gridCol w:w="1998"/>
        <w:gridCol w:w="1998"/>
        <w:gridCol w:w="1998"/>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1998"/>
            <w:vAlign w:val="center"/>
            <w:shd w:fill="F2F2F2"/>
          </w:tcPr>
          <w:p>
            <w:pPr>
              <w:keepNext/>
              <w:spacing w:after="0" w:before="0" w:line="240" w:lineRule="auto"/>
            </w:pPr>
            <w:r>
              <w:rPr>
                <w:rFonts w:ascii="Calibri" w:hAnsi="Calibri"/>
                <w:b/>
                <w:sz w:val="19"/>
              </w:rPr>
              <w:t>Healthy</w:t>
            </w:r>
          </w:p>
        </w:tc>
        <w:tc>
          <w:tcPr>
            <w:tcW w:type="dxa" w:w="1998"/>
            <w:vAlign w:val="center"/>
            <w:shd w:fill="F2F2F2"/>
          </w:tcPr>
          <w:p>
            <w:pPr>
              <w:keepNext/>
              <w:spacing w:after="0" w:before="0" w:line="240" w:lineRule="auto"/>
            </w:pPr>
            <w:r>
              <w:rPr>
                <w:rFonts w:ascii="Calibri" w:hAnsi="Calibri"/>
                <w:b/>
                <w:sz w:val="19"/>
              </w:rPr>
              <w:t>Chronic fatigue</w:t>
            </w:r>
          </w:p>
        </w:tc>
        <w:tc>
          <w:tcPr>
            <w:tcW w:type="dxa" w:w="1998"/>
            <w:vAlign w:val="center"/>
            <w:shd w:fill="F2F2F2"/>
          </w:tcPr>
          <w:p>
            <w:pPr>
              <w:keepNext/>
              <w:spacing w:after="0" w:before="0" w:line="240" w:lineRule="auto"/>
            </w:pPr>
            <w:r>
              <w:rPr>
                <w:rFonts w:ascii="Calibri" w:hAnsi="Calibri"/>
                <w:b/>
                <w:sz w:val="19"/>
              </w:rPr>
              <w:t>Weak effector</w:t>
            </w:r>
          </w:p>
        </w:tc>
        <w:tc>
          <w:tcPr>
            <w:tcW w:type="dxa" w:w="1998"/>
            <w:vAlign w:val="center"/>
            <w:shd w:fill="F2F2F2"/>
          </w:tcPr>
          <w:p>
            <w:pPr>
              <w:keepNext/>
              <w:spacing w:after="0" w:before="0" w:line="240" w:lineRule="auto"/>
            </w:pPr>
            <w:r>
              <w:rPr>
                <w:rFonts w:ascii="Calibri" w:hAnsi="Calibri"/>
                <w:b/>
                <w:sz w:val="19"/>
              </w:rPr>
              <w:t>Outages</w:t>
            </w:r>
          </w:p>
        </w:tc>
      </w:tr>
      <w:tr>
        <w:trPr>
          <w:cantSplit/>
        </w:trPr>
        <w:tc>
          <w:tcPr>
            <w:tcW w:type="dxa" w:w="2232"/>
            <w:vAlign w:val="center"/>
          </w:tcPr>
          <w:p>
            <w:pPr>
              <w:keepNext w:val="0"/>
              <w:spacing w:after="0" w:before="0" w:line="240" w:lineRule="auto"/>
            </w:pPr>
            <w:r>
              <w:rPr>
                <w:rFonts w:ascii="Calibri" w:hAnsi="Calibri"/>
                <w:b w:val="0"/>
                <w:sz w:val="19"/>
              </w:rPr>
              <w:t>StateOnly</w:t>
            </w:r>
          </w:p>
        </w:tc>
        <w:tc>
          <w:tcPr>
            <w:tcW w:type="dxa" w:w="1998"/>
            <w:vAlign w:val="center"/>
          </w:tcPr>
          <w:p>
            <w:pPr>
              <w:keepNext w:val="0"/>
              <w:spacing w:after="0" w:before="0" w:line="240" w:lineRule="auto"/>
              <w:jc w:val="right"/>
            </w:pPr>
            <w:r>
              <w:rPr>
                <w:rFonts w:ascii="Calibri" w:hAnsi="Calibri"/>
                <w:b w:val="0"/>
                <w:sz w:val="19"/>
              </w:rPr>
              <w:t>0.0855</w:t>
            </w:r>
          </w:p>
        </w:tc>
        <w:tc>
          <w:tcPr>
            <w:tcW w:type="dxa" w:w="1998"/>
            <w:vAlign w:val="center"/>
          </w:tcPr>
          <w:p>
            <w:pPr>
              <w:keepNext w:val="0"/>
              <w:spacing w:after="0" w:before="0" w:line="240" w:lineRule="auto"/>
              <w:jc w:val="right"/>
            </w:pPr>
            <w:r>
              <w:rPr>
                <w:rFonts w:ascii="Calibri" w:hAnsi="Calibri"/>
                <w:b w:val="0"/>
                <w:sz w:val="19"/>
              </w:rPr>
              <w:t>0.1029</w:t>
            </w:r>
          </w:p>
        </w:tc>
        <w:tc>
          <w:tcPr>
            <w:tcW w:type="dxa" w:w="1998"/>
            <w:vAlign w:val="center"/>
          </w:tcPr>
          <w:p>
            <w:pPr>
              <w:keepNext w:val="0"/>
              <w:spacing w:after="0" w:before="0" w:line="240" w:lineRule="auto"/>
              <w:jc w:val="right"/>
            </w:pPr>
            <w:r>
              <w:rPr>
                <w:rFonts w:ascii="Calibri" w:hAnsi="Calibri"/>
                <w:b w:val="0"/>
                <w:sz w:val="19"/>
              </w:rPr>
              <w:t>0.0963</w:t>
            </w:r>
          </w:p>
        </w:tc>
        <w:tc>
          <w:tcPr>
            <w:tcW w:type="dxa" w:w="1998"/>
            <w:vAlign w:val="center"/>
          </w:tcPr>
          <w:p>
            <w:pPr>
              <w:keepNext w:val="0"/>
              <w:spacing w:after="0" w:before="0" w:line="240" w:lineRule="auto"/>
              <w:jc w:val="right"/>
            </w:pPr>
            <w:r>
              <w:rPr>
                <w:rFonts w:ascii="Calibri" w:hAnsi="Calibri"/>
                <w:b w:val="0"/>
                <w:sz w:val="19"/>
              </w:rPr>
              <w:t>0.0992</w:t>
            </w:r>
          </w:p>
        </w:tc>
      </w:tr>
      <w:tr>
        <w:trPr>
          <w:cantSplit/>
        </w:trPr>
        <w:tc>
          <w:tcPr>
            <w:tcW w:type="dxa" w:w="2232"/>
            <w:vAlign w:val="center"/>
          </w:tcPr>
          <w:p>
            <w:pPr>
              <w:keepNext w:val="0"/>
              <w:spacing w:after="0" w:before="0" w:line="240" w:lineRule="auto"/>
            </w:pPr>
            <w:r>
              <w:rPr>
                <w:rFonts w:ascii="Calibri" w:hAnsi="Calibri"/>
                <w:b w:val="0"/>
                <w:sz w:val="19"/>
              </w:rPr>
              <w:t>Availability​Aware</w:t>
            </w:r>
          </w:p>
        </w:tc>
        <w:tc>
          <w:tcPr>
            <w:tcW w:type="dxa" w:w="1998"/>
            <w:vAlign w:val="center"/>
          </w:tcPr>
          <w:p>
            <w:pPr>
              <w:keepNext w:val="0"/>
              <w:spacing w:after="0" w:before="0" w:line="240" w:lineRule="auto"/>
              <w:jc w:val="right"/>
            </w:pPr>
            <w:r>
              <w:rPr>
                <w:rFonts w:ascii="Calibri" w:hAnsi="Calibri"/>
                <w:b w:val="0"/>
                <w:sz w:val="19"/>
              </w:rPr>
              <w:t>0.0797</w:t>
            </w:r>
          </w:p>
        </w:tc>
        <w:tc>
          <w:tcPr>
            <w:tcW w:type="dxa" w:w="1998"/>
            <w:vAlign w:val="center"/>
          </w:tcPr>
          <w:p>
            <w:pPr>
              <w:keepNext w:val="0"/>
              <w:spacing w:after="0" w:before="0" w:line="240" w:lineRule="auto"/>
              <w:jc w:val="right"/>
            </w:pPr>
            <w:r>
              <w:rPr>
                <w:rFonts w:ascii="Calibri" w:hAnsi="Calibri"/>
                <w:b w:val="0"/>
                <w:sz w:val="19"/>
              </w:rPr>
              <w:t>0.0953</w:t>
            </w:r>
          </w:p>
        </w:tc>
        <w:tc>
          <w:tcPr>
            <w:tcW w:type="dxa" w:w="1998"/>
            <w:vAlign w:val="center"/>
          </w:tcPr>
          <w:p>
            <w:pPr>
              <w:keepNext w:val="0"/>
              <w:spacing w:after="0" w:before="0" w:line="240" w:lineRule="auto"/>
              <w:jc w:val="right"/>
            </w:pPr>
            <w:r>
              <w:rPr>
                <w:rFonts w:ascii="Calibri" w:hAnsi="Calibri"/>
                <w:b w:val="0"/>
                <w:sz w:val="19"/>
              </w:rPr>
              <w:t>0.0860</w:t>
            </w:r>
          </w:p>
        </w:tc>
        <w:tc>
          <w:tcPr>
            <w:tcW w:type="dxa" w:w="1998"/>
            <w:vAlign w:val="center"/>
          </w:tcPr>
          <w:p>
            <w:pPr>
              <w:keepNext w:val="0"/>
              <w:spacing w:after="0" w:before="0" w:line="240" w:lineRule="auto"/>
              <w:jc w:val="right"/>
            </w:pPr>
            <w:r>
              <w:rPr>
                <w:rFonts w:ascii="Calibri" w:hAnsi="Calibri"/>
                <w:b w:val="0"/>
                <w:sz w:val="19"/>
              </w:rPr>
              <w:t>0.0910</w:t>
            </w:r>
          </w:p>
        </w:tc>
      </w:tr>
      <w:tr>
        <w:trPr>
          <w:cantSplit/>
        </w:trPr>
        <w:tc>
          <w:tcPr>
            <w:tcW w:type="dxa" w:w="2232"/>
            <w:vAlign w:val="center"/>
          </w:tcPr>
          <w:p>
            <w:pPr>
              <w:keepNext w:val="0"/>
              <w:spacing w:after="0" w:before="0" w:line="240" w:lineRule="auto"/>
            </w:pPr>
            <w:r>
              <w:rPr>
                <w:rFonts w:ascii="Calibri" w:hAnsi="Calibri"/>
                <w:b w:val="0"/>
                <w:sz w:val="19"/>
              </w:rPr>
              <w:t>Fatigue​Aware_​No​Curriculum</w:t>
            </w:r>
          </w:p>
        </w:tc>
        <w:tc>
          <w:tcPr>
            <w:tcW w:type="dxa" w:w="1998"/>
            <w:vAlign w:val="center"/>
          </w:tcPr>
          <w:p>
            <w:pPr>
              <w:keepNext w:val="0"/>
              <w:spacing w:after="0" w:before="0" w:line="240" w:lineRule="auto"/>
              <w:jc w:val="right"/>
            </w:pPr>
            <w:r>
              <w:rPr>
                <w:rFonts w:ascii="Calibri" w:hAnsi="Calibri"/>
                <w:b w:val="0"/>
                <w:sz w:val="19"/>
              </w:rPr>
              <w:t>0.0847</w:t>
            </w:r>
          </w:p>
        </w:tc>
        <w:tc>
          <w:tcPr>
            <w:tcW w:type="dxa" w:w="1998"/>
            <w:vAlign w:val="center"/>
          </w:tcPr>
          <w:p>
            <w:pPr>
              <w:keepNext w:val="0"/>
              <w:spacing w:after="0" w:before="0" w:line="240" w:lineRule="auto"/>
              <w:jc w:val="right"/>
            </w:pPr>
            <w:r>
              <w:rPr>
                <w:rFonts w:ascii="Calibri" w:hAnsi="Calibri"/>
                <w:b w:val="0"/>
                <w:sz w:val="19"/>
              </w:rPr>
              <w:t>0.1030</w:t>
            </w:r>
          </w:p>
        </w:tc>
        <w:tc>
          <w:tcPr>
            <w:tcW w:type="dxa" w:w="1998"/>
            <w:vAlign w:val="center"/>
          </w:tcPr>
          <w:p>
            <w:pPr>
              <w:keepNext w:val="0"/>
              <w:spacing w:after="0" w:before="0" w:line="240" w:lineRule="auto"/>
              <w:jc w:val="right"/>
            </w:pPr>
            <w:r>
              <w:rPr>
                <w:rFonts w:ascii="Calibri" w:hAnsi="Calibri"/>
                <w:b w:val="0"/>
                <w:sz w:val="19"/>
              </w:rPr>
              <w:t>0.0920</w:t>
            </w:r>
          </w:p>
        </w:tc>
        <w:tc>
          <w:tcPr>
            <w:tcW w:type="dxa" w:w="1998"/>
            <w:vAlign w:val="center"/>
          </w:tcPr>
          <w:p>
            <w:pPr>
              <w:keepNext w:val="0"/>
              <w:spacing w:after="0" w:before="0" w:line="240" w:lineRule="auto"/>
              <w:jc w:val="right"/>
            </w:pPr>
            <w:r>
              <w:rPr>
                <w:rFonts w:ascii="Calibri" w:hAnsi="Calibri"/>
                <w:b w:val="0"/>
                <w:sz w:val="19"/>
              </w:rPr>
              <w:t>0.0926</w:t>
            </w:r>
          </w:p>
        </w:tc>
      </w:tr>
      <w:tr>
        <w:trPr>
          <w:cantSplit/>
        </w:trPr>
        <w:tc>
          <w:tcPr>
            <w:tcW w:type="dxa" w:w="2232"/>
            <w:vAlign w:val="center"/>
          </w:tcPr>
          <w:p>
            <w:pPr>
              <w:keepNext/>
              <w:spacing w:after="0" w:before="0" w:line="240" w:lineRule="auto"/>
            </w:pPr>
            <w:r>
              <w:rPr>
                <w:rFonts w:ascii="Calibri" w:hAnsi="Calibri"/>
                <w:b w:val="0"/>
                <w:sz w:val="19"/>
              </w:rPr>
              <w:t>CoordinatedBody</w:t>
            </w:r>
          </w:p>
        </w:tc>
        <w:tc>
          <w:tcPr>
            <w:tcW w:type="dxa" w:w="1998"/>
            <w:vAlign w:val="center"/>
          </w:tcPr>
          <w:p>
            <w:pPr>
              <w:keepNext/>
              <w:spacing w:after="0" w:before="0" w:line="240" w:lineRule="auto"/>
              <w:jc w:val="right"/>
            </w:pPr>
            <w:r>
              <w:rPr>
                <w:rFonts w:ascii="Calibri" w:hAnsi="Calibri"/>
                <w:b w:val="0"/>
                <w:sz w:val="19"/>
              </w:rPr>
              <w:t>0.0834</w:t>
            </w:r>
          </w:p>
        </w:tc>
        <w:tc>
          <w:tcPr>
            <w:tcW w:type="dxa" w:w="1998"/>
            <w:vAlign w:val="center"/>
          </w:tcPr>
          <w:p>
            <w:pPr>
              <w:keepNext/>
              <w:spacing w:after="0" w:before="0" w:line="240" w:lineRule="auto"/>
              <w:jc w:val="right"/>
            </w:pPr>
            <w:r>
              <w:rPr>
                <w:rFonts w:ascii="Calibri" w:hAnsi="Calibri"/>
                <w:b w:val="0"/>
                <w:sz w:val="19"/>
              </w:rPr>
              <w:t>0.1007</w:t>
            </w:r>
          </w:p>
        </w:tc>
        <w:tc>
          <w:tcPr>
            <w:tcW w:type="dxa" w:w="1998"/>
            <w:vAlign w:val="center"/>
          </w:tcPr>
          <w:p>
            <w:pPr>
              <w:keepNext/>
              <w:spacing w:after="0" w:before="0" w:line="240" w:lineRule="auto"/>
              <w:jc w:val="right"/>
            </w:pPr>
            <w:r>
              <w:rPr>
                <w:rFonts w:ascii="Calibri" w:hAnsi="Calibri"/>
                <w:b w:val="0"/>
                <w:sz w:val="19"/>
              </w:rPr>
              <w:t>0.0905</w:t>
            </w:r>
          </w:p>
        </w:tc>
        <w:tc>
          <w:tcPr>
            <w:tcW w:type="dxa" w:w="1998"/>
            <w:vAlign w:val="center"/>
          </w:tcPr>
          <w:p>
            <w:pPr>
              <w:keepNext/>
              <w:spacing w:after="0" w:before="0" w:line="240" w:lineRule="auto"/>
              <w:jc w:val="right"/>
            </w:pPr>
            <w:r>
              <w:rPr>
                <w:rFonts w:ascii="Calibri" w:hAnsi="Calibri"/>
                <w:b w:val="0"/>
                <w:sz w:val="19"/>
              </w:rPr>
              <w:t>0.0947</w:t>
            </w:r>
          </w:p>
        </w:tc>
      </w:tr>
    </w:tbl>
    <w:p>
      <w:pPr>
        <w:keepLines/>
        <w:spacing w:before="60" w:after="120"/>
      </w:pPr>
      <w:r>
        <w:rPr>
          <w:sz w:val="18"/>
        </w:rPr>
        <w:t>Controlled simulation.</w:t>
      </w:r>
    </w:p>
    <w:p>
      <w:r>
        <w:t>AvailabilityAware has the lowest absolute error in this comparison. Under persistent depletion, a weak module and outages, MSE is 0.0953, 0.0860 and 0.0910, versus 0.1029, 0.0963 and 0.0992 for StateOnly. Observing current resource availability improves coordination in these tested conditions.</w:t>
      </w:r>
    </w:p>
    <w:p>
      <w:pPr>
        <w:keepNext/>
        <w:spacing w:after="60"/>
        <w:jc w:val="center"/>
      </w:pPr>
      <w:r>
        <w:drawing>
          <wp:inline xmlns:a="http://schemas.openxmlformats.org/drawingml/2006/main" xmlns:pic="http://schemas.openxmlformats.org/drawingml/2006/picture">
            <wp:extent cx="6309360" cy="3562933"/>
            <wp:docPr id="39" name="Picture 39"/>
            <wp:cNvGraphicFramePr>
              <a:graphicFrameLocks noChangeAspect="1"/>
            </wp:cNvGraphicFramePr>
            <a:graphic>
              <a:graphicData uri="http://schemas.openxmlformats.org/drawingml/2006/picture">
                <pic:pic>
                  <pic:nvPicPr>
                    <pic:cNvPr id="0" name="39_image39.png"/>
                    <pic:cNvPicPr/>
                  </pic:nvPicPr>
                  <pic:blipFill>
                    <a:blip r:embed="rId52"/>
                    <a:stretch>
                      <a:fillRect/>
                    </a:stretch>
                  </pic:blipFill>
                  <pic:spPr>
                    <a:xfrm>
                      <a:off x="0" y="0"/>
                      <a:ext cx="6309360" cy="3562933"/>
                    </a:xfrm>
                    <a:prstGeom prst="rect"/>
                  </pic:spPr>
                </pic:pic>
              </a:graphicData>
            </a:graphic>
          </wp:inline>
        </w:drawing>
      </w:r>
    </w:p>
    <w:p>
      <w:pPr>
        <w:pStyle w:val="Caption"/>
      </w:pPr>
      <w:r>
        <w:t>Figure 39. Availability-conditioned routing under the simulated resource regimes. The external prediction target is unchanged across internal capacity perturbations.</w:t>
      </w:r>
    </w:p>
    <w:p>
      <w:pPr>
        <w:pStyle w:val="Heading3"/>
      </w:pPr>
      <w:r>
        <w:t>7.2.4 Current availability and resource-history information</w:t>
      </w:r>
    </w:p>
    <w:p>
      <w:pPr>
        <w:pStyle w:val="Caption"/>
        <w:keepNext/>
      </w:pPr>
      <w:r>
        <w:t>Table 60. Matched curriculum comparison.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870"/>
        <w:gridCol w:w="2870"/>
        <w:gridCol w:w="2870"/>
      </w:tblGrid>
      <w:tr>
        <w:trPr>
          <w:cantSplit/>
          <w:tblHeader/>
        </w:trPr>
        <w:tc>
          <w:tcPr>
            <w:tcW w:type="dxa" w:w="1613"/>
            <w:vAlign w:val="center"/>
            <w:shd w:fill="F2F2F2"/>
          </w:tcPr>
          <w:p>
            <w:pPr>
              <w:keepNext/>
              <w:spacing w:after="0" w:before="0" w:line="240" w:lineRule="auto"/>
            </w:pPr>
            <w:r>
              <w:rPr>
                <w:rFonts w:ascii="Calibri" w:hAnsi="Calibri"/>
                <w:b/>
                <w:sz w:val="19"/>
              </w:rPr>
              <w:t>Scenario</w:t>
            </w:r>
          </w:p>
        </w:tc>
        <w:tc>
          <w:tcPr>
            <w:tcW w:type="dxa" w:w="2870"/>
            <w:vAlign w:val="center"/>
            <w:shd w:fill="F2F2F2"/>
          </w:tcPr>
          <w:p>
            <w:pPr>
              <w:keepNext/>
              <w:spacing w:after="0" w:before="0" w:line="240" w:lineRule="auto"/>
            </w:pPr>
            <w:r>
              <w:rPr>
                <w:rFonts w:ascii="Calibri" w:hAnsi="Calibri"/>
                <w:b/>
                <w:sz w:val="19"/>
              </w:rPr>
              <w:t>Fatigue-aware / no curriculum</w:t>
            </w:r>
          </w:p>
        </w:tc>
        <w:tc>
          <w:tcPr>
            <w:tcW w:type="dxa" w:w="2870"/>
            <w:vAlign w:val="center"/>
            <w:shd w:fill="F2F2F2"/>
          </w:tcPr>
          <w:p>
            <w:pPr>
              <w:keepNext/>
              <w:spacing w:after="0" w:before="0" w:line="240" w:lineRule="auto"/>
            </w:pPr>
            <w:r>
              <w:rPr>
                <w:rFonts w:ascii="Calibri" w:hAnsi="Calibri"/>
                <w:b/>
                <w:sz w:val="19"/>
              </w:rPr>
              <w:t>CoordinatedBody</w:t>
            </w:r>
          </w:p>
        </w:tc>
        <w:tc>
          <w:tcPr>
            <w:tcW w:type="dxa" w:w="2870"/>
            <w:vAlign w:val="center"/>
            <w:shd w:fill="F2F2F2"/>
          </w:tcPr>
          <w:p>
            <w:pPr>
              <w:keepNext/>
              <w:spacing w:after="0" w:before="0" w:line="240" w:lineRule="auto"/>
            </w:pPr>
            <w:r>
              <w:rPr>
                <w:rFonts w:ascii="Calibri" w:hAnsi="Calibri"/>
                <w:b/>
                <w:sz w:val="19"/>
              </w:rPr>
              <w:t>Curriculum gain</w:t>
            </w:r>
          </w:p>
        </w:tc>
      </w:tr>
      <w:tr>
        <w:trPr>
          <w:cantSplit/>
        </w:trPr>
        <w:tc>
          <w:tcPr>
            <w:tcW w:type="dxa" w:w="1613"/>
            <w:vAlign w:val="center"/>
          </w:tcPr>
          <w:p>
            <w:pPr>
              <w:keepNext w:val="0"/>
              <w:spacing w:after="0" w:before="0" w:line="240" w:lineRule="auto"/>
            </w:pPr>
            <w:r>
              <w:rPr>
                <w:rFonts w:ascii="Calibri" w:hAnsi="Calibri"/>
                <w:b w:val="0"/>
                <w:sz w:val="19"/>
              </w:rPr>
              <w:t>healthy</w:t>
            </w:r>
          </w:p>
        </w:tc>
        <w:tc>
          <w:tcPr>
            <w:tcW w:type="dxa" w:w="2870"/>
            <w:vAlign w:val="center"/>
          </w:tcPr>
          <w:p>
            <w:pPr>
              <w:keepNext w:val="0"/>
              <w:spacing w:after="0" w:before="0" w:line="240" w:lineRule="auto"/>
              <w:jc w:val="right"/>
            </w:pPr>
            <w:r>
              <w:rPr>
                <w:rFonts w:ascii="Calibri" w:hAnsi="Calibri"/>
                <w:b w:val="0"/>
                <w:sz w:val="19"/>
              </w:rPr>
              <w:t>0.0847</w:t>
            </w:r>
          </w:p>
        </w:tc>
        <w:tc>
          <w:tcPr>
            <w:tcW w:type="dxa" w:w="2870"/>
            <w:vAlign w:val="center"/>
          </w:tcPr>
          <w:p>
            <w:pPr>
              <w:keepNext w:val="0"/>
              <w:spacing w:after="0" w:before="0" w:line="240" w:lineRule="auto"/>
              <w:jc w:val="right"/>
            </w:pPr>
            <w:r>
              <w:rPr>
                <w:rFonts w:ascii="Calibri" w:hAnsi="Calibri"/>
                <w:b w:val="0"/>
                <w:sz w:val="19"/>
              </w:rPr>
              <w:t>0.0834</w:t>
            </w:r>
          </w:p>
        </w:tc>
        <w:tc>
          <w:tcPr>
            <w:tcW w:type="dxa" w:w="2870"/>
            <w:vAlign w:val="center"/>
          </w:tcPr>
          <w:p>
            <w:pPr>
              <w:keepNext w:val="0"/>
              <w:spacing w:after="0" w:before="0" w:line="240" w:lineRule="auto"/>
              <w:jc w:val="right"/>
            </w:pPr>
            <w:r>
              <w:rPr>
                <w:rFonts w:ascii="Calibri" w:hAnsi="Calibri"/>
                <w:b w:val="0"/>
                <w:sz w:val="19"/>
              </w:rPr>
              <w:t>1.61%</w:t>
            </w:r>
          </w:p>
        </w:tc>
      </w:tr>
      <w:tr>
        <w:trPr>
          <w:cantSplit/>
        </w:trPr>
        <w:tc>
          <w:tcPr>
            <w:tcW w:type="dxa" w:w="1613"/>
            <w:vAlign w:val="center"/>
          </w:tcPr>
          <w:p>
            <w:pPr>
              <w:keepNext w:val="0"/>
              <w:spacing w:after="0" w:before="0" w:line="240" w:lineRule="auto"/>
            </w:pPr>
            <w:r>
              <w:rPr>
                <w:rFonts w:ascii="Calibri" w:hAnsi="Calibri"/>
                <w:b w:val="0"/>
                <w:sz w:val="19"/>
              </w:rPr>
              <w:t>chronic_fatigue</w:t>
            </w:r>
          </w:p>
        </w:tc>
        <w:tc>
          <w:tcPr>
            <w:tcW w:type="dxa" w:w="2870"/>
            <w:vAlign w:val="center"/>
          </w:tcPr>
          <w:p>
            <w:pPr>
              <w:keepNext w:val="0"/>
              <w:spacing w:after="0" w:before="0" w:line="240" w:lineRule="auto"/>
              <w:jc w:val="right"/>
            </w:pPr>
            <w:r>
              <w:rPr>
                <w:rFonts w:ascii="Calibri" w:hAnsi="Calibri"/>
                <w:b w:val="0"/>
                <w:sz w:val="19"/>
              </w:rPr>
              <w:t>0.1030</w:t>
            </w:r>
          </w:p>
        </w:tc>
        <w:tc>
          <w:tcPr>
            <w:tcW w:type="dxa" w:w="2870"/>
            <w:vAlign w:val="center"/>
          </w:tcPr>
          <w:p>
            <w:pPr>
              <w:keepNext w:val="0"/>
              <w:spacing w:after="0" w:before="0" w:line="240" w:lineRule="auto"/>
              <w:jc w:val="right"/>
            </w:pPr>
            <w:r>
              <w:rPr>
                <w:rFonts w:ascii="Calibri" w:hAnsi="Calibri"/>
                <w:b w:val="0"/>
                <w:sz w:val="19"/>
              </w:rPr>
              <w:t>0.1007</w:t>
            </w:r>
          </w:p>
        </w:tc>
        <w:tc>
          <w:tcPr>
            <w:tcW w:type="dxa" w:w="2870"/>
            <w:vAlign w:val="center"/>
          </w:tcPr>
          <w:p>
            <w:pPr>
              <w:keepNext w:val="0"/>
              <w:spacing w:after="0" w:before="0" w:line="240" w:lineRule="auto"/>
              <w:jc w:val="right"/>
            </w:pPr>
            <w:r>
              <w:rPr>
                <w:rFonts w:ascii="Calibri" w:hAnsi="Calibri"/>
                <w:b w:val="0"/>
                <w:sz w:val="19"/>
              </w:rPr>
              <w:t>2.18%</w:t>
            </w:r>
          </w:p>
        </w:tc>
      </w:tr>
      <w:tr>
        <w:trPr>
          <w:cantSplit/>
        </w:trPr>
        <w:tc>
          <w:tcPr>
            <w:tcW w:type="dxa" w:w="1613"/>
            <w:vAlign w:val="center"/>
          </w:tcPr>
          <w:p>
            <w:pPr>
              <w:keepNext w:val="0"/>
              <w:spacing w:after="0" w:before="0" w:line="240" w:lineRule="auto"/>
            </w:pPr>
            <w:r>
              <w:rPr>
                <w:rFonts w:ascii="Calibri" w:hAnsi="Calibri"/>
                <w:b w:val="0"/>
                <w:sz w:val="19"/>
              </w:rPr>
              <w:t>weak_effector</w:t>
            </w:r>
          </w:p>
        </w:tc>
        <w:tc>
          <w:tcPr>
            <w:tcW w:type="dxa" w:w="2870"/>
            <w:vAlign w:val="center"/>
          </w:tcPr>
          <w:p>
            <w:pPr>
              <w:keepNext w:val="0"/>
              <w:spacing w:after="0" w:before="0" w:line="240" w:lineRule="auto"/>
              <w:jc w:val="right"/>
            </w:pPr>
            <w:r>
              <w:rPr>
                <w:rFonts w:ascii="Calibri" w:hAnsi="Calibri"/>
                <w:b w:val="0"/>
                <w:sz w:val="19"/>
              </w:rPr>
              <w:t>0.0920</w:t>
            </w:r>
          </w:p>
        </w:tc>
        <w:tc>
          <w:tcPr>
            <w:tcW w:type="dxa" w:w="2870"/>
            <w:vAlign w:val="center"/>
          </w:tcPr>
          <w:p>
            <w:pPr>
              <w:keepNext w:val="0"/>
              <w:spacing w:after="0" w:before="0" w:line="240" w:lineRule="auto"/>
              <w:jc w:val="right"/>
            </w:pPr>
            <w:r>
              <w:rPr>
                <w:rFonts w:ascii="Calibri" w:hAnsi="Calibri"/>
                <w:b w:val="0"/>
                <w:sz w:val="19"/>
              </w:rPr>
              <w:t>0.0905</w:t>
            </w:r>
          </w:p>
        </w:tc>
        <w:tc>
          <w:tcPr>
            <w:tcW w:type="dxa" w:w="2870"/>
            <w:vAlign w:val="center"/>
          </w:tcPr>
          <w:p>
            <w:pPr>
              <w:keepNext w:val="0"/>
              <w:spacing w:after="0" w:before="0" w:line="240" w:lineRule="auto"/>
              <w:jc w:val="right"/>
            </w:pPr>
            <w:r>
              <w:rPr>
                <w:rFonts w:ascii="Calibri" w:hAnsi="Calibri"/>
                <w:b w:val="0"/>
                <w:sz w:val="19"/>
              </w:rPr>
              <w:t>1.67%</w:t>
            </w:r>
          </w:p>
        </w:tc>
      </w:tr>
      <w:tr>
        <w:trPr>
          <w:cantSplit/>
        </w:trPr>
        <w:tc>
          <w:tcPr>
            <w:tcW w:type="dxa" w:w="1613"/>
            <w:vAlign w:val="center"/>
          </w:tcPr>
          <w:p>
            <w:pPr>
              <w:keepNext/>
              <w:spacing w:after="0" w:before="0" w:line="240" w:lineRule="auto"/>
            </w:pPr>
            <w:r>
              <w:rPr>
                <w:rFonts w:ascii="Calibri" w:hAnsi="Calibri"/>
                <w:b w:val="0"/>
                <w:sz w:val="19"/>
              </w:rPr>
              <w:t>outages</w:t>
            </w:r>
          </w:p>
        </w:tc>
        <w:tc>
          <w:tcPr>
            <w:tcW w:type="dxa" w:w="2870"/>
            <w:vAlign w:val="center"/>
          </w:tcPr>
          <w:p>
            <w:pPr>
              <w:keepNext/>
              <w:spacing w:after="0" w:before="0" w:line="240" w:lineRule="auto"/>
              <w:jc w:val="right"/>
            </w:pPr>
            <w:r>
              <w:rPr>
                <w:rFonts w:ascii="Calibri" w:hAnsi="Calibri"/>
                <w:b w:val="0"/>
                <w:sz w:val="19"/>
              </w:rPr>
              <w:t>0.0926</w:t>
            </w:r>
          </w:p>
        </w:tc>
        <w:tc>
          <w:tcPr>
            <w:tcW w:type="dxa" w:w="2870"/>
            <w:vAlign w:val="center"/>
          </w:tcPr>
          <w:p>
            <w:pPr>
              <w:keepNext/>
              <w:spacing w:after="0" w:before="0" w:line="240" w:lineRule="auto"/>
              <w:jc w:val="right"/>
            </w:pPr>
            <w:r>
              <w:rPr>
                <w:rFonts w:ascii="Calibri" w:hAnsi="Calibri"/>
                <w:b w:val="0"/>
                <w:sz w:val="19"/>
              </w:rPr>
              <w:t>0.0947</w:t>
            </w:r>
          </w:p>
        </w:tc>
        <w:tc>
          <w:tcPr>
            <w:tcW w:type="dxa" w:w="2870"/>
            <w:vAlign w:val="center"/>
          </w:tcPr>
          <w:p>
            <w:pPr>
              <w:keepNext/>
              <w:spacing w:after="0" w:before="0" w:line="240" w:lineRule="auto"/>
              <w:jc w:val="right"/>
            </w:pPr>
            <w:r>
              <w:rPr>
                <w:rFonts w:ascii="Calibri" w:hAnsi="Calibri"/>
                <w:b w:val="0"/>
                <w:sz w:val="19"/>
              </w:rPr>
              <w:t>-2.24%</w:t>
            </w:r>
          </w:p>
        </w:tc>
      </w:tr>
    </w:tbl>
    <w:p>
      <w:pPr>
        <w:keepLines/>
        <w:spacing w:before="60" w:after="120"/>
      </w:pPr>
      <w:r>
        <w:rPr>
          <w:sz w:val="18"/>
        </w:rPr>
        <w:t>Controlled simulation.</w:t>
      </w:r>
    </w:p>
    <w:p>
      <w:r>
        <w:t>FatigueAware_NoCurriculum and CoordinatedBody use the same architecture. The curriculum yields small improvements in three scenarios and a small deterioration under outages. Current availability appears to carry most of the resource information useful to these models in this construction; additional history offers no systematic predictive advantage.</w:t>
      </w:r>
    </w:p>
    <w:p>
      <w:r>
        <w:t>This comparison motivates testing the incremental information in resource history before introducing a more complex recurrent controller.</w:t>
      </w:r>
    </w:p>
    <w:p>
      <w:pPr>
        <w:pStyle w:val="Heading3"/>
      </w:pPr>
      <w:r>
        <w:t>7.2.5 Outage compensation and substitute pathways</w:t>
      </w:r>
    </w:p>
    <w:p>
      <w:pPr>
        <w:pStyle w:val="Caption"/>
        <w:keepNext/>
      </w:pPr>
      <w:r>
        <w:t>Table 61. Substitute recruitment after outages.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998"/>
        <w:gridCol w:w="1998"/>
        <w:gridCol w:w="1998"/>
        <w:gridCol w:w="1998"/>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1998"/>
            <w:vAlign w:val="center"/>
            <w:shd w:fill="F2F2F2"/>
          </w:tcPr>
          <w:p>
            <w:pPr>
              <w:keepNext/>
              <w:spacing w:after="0" w:before="0" w:line="240" w:lineRule="auto"/>
            </w:pPr>
            <w:r>
              <w:rPr>
                <w:rFonts w:ascii="Calibri" w:hAnsi="Calibri"/>
                <w:b/>
                <w:sz w:val="19"/>
              </w:rPr>
              <w:t>Failed</w:t>
            </w:r>
          </w:p>
        </w:tc>
        <w:tc>
          <w:tcPr>
            <w:tcW w:type="dxa" w:w="1998"/>
            <w:vAlign w:val="center"/>
            <w:shd w:fill="F2F2F2"/>
          </w:tcPr>
          <w:p>
            <w:pPr>
              <w:keepNext/>
              <w:spacing w:after="0" w:before="0" w:line="240" w:lineRule="auto"/>
            </w:pPr>
            <w:r>
              <w:rPr>
                <w:rFonts w:ascii="Calibri" w:hAnsi="Calibri"/>
                <w:b/>
                <w:sz w:val="19"/>
              </w:rPr>
              <w:t>Paired substitute</w:t>
            </w:r>
          </w:p>
        </w:tc>
        <w:tc>
          <w:tcPr>
            <w:tcW w:type="dxa" w:w="1998"/>
            <w:vAlign w:val="center"/>
            <w:shd w:fill="F2F2F2"/>
          </w:tcPr>
          <w:p>
            <w:pPr>
              <w:keepNext/>
              <w:spacing w:after="0" w:before="0" w:line="240" w:lineRule="auto"/>
            </w:pPr>
            <w:r>
              <w:rPr>
                <w:rFonts w:ascii="Calibri" w:hAnsi="Calibri"/>
                <w:b/>
                <w:sz w:val="19"/>
              </w:rPr>
              <w:t>Δ desired weight</w:t>
            </w:r>
          </w:p>
        </w:tc>
        <w:tc>
          <w:tcPr>
            <w:tcW w:type="dxa" w:w="1998"/>
            <w:vAlign w:val="center"/>
            <w:shd w:fill="F2F2F2"/>
          </w:tcPr>
          <w:p>
            <w:pPr>
              <w:keepNext/>
              <w:spacing w:after="0" w:before="0" w:line="240" w:lineRule="auto"/>
            </w:pPr>
            <w:r>
              <w:rPr>
                <w:rFonts w:ascii="Calibri" w:hAnsi="Calibri"/>
                <w:b/>
                <w:sz w:val="19"/>
              </w:rPr>
              <w:t>Δ realized load</w:t>
            </w:r>
          </w:p>
        </w:tc>
      </w:tr>
      <w:tr>
        <w:trPr>
          <w:cantSplit/>
        </w:trPr>
        <w:tc>
          <w:tcPr>
            <w:tcW w:type="dxa" w:w="2232"/>
            <w:vAlign w:val="center"/>
          </w:tcPr>
          <w:p>
            <w:pPr>
              <w:keepNext w:val="0"/>
              <w:spacing w:after="0" w:before="0" w:line="240" w:lineRule="auto"/>
            </w:pPr>
            <w:r>
              <w:rPr>
                <w:rFonts w:ascii="Calibri" w:hAnsi="Calibri"/>
                <w:b w:val="0"/>
                <w:sz w:val="19"/>
              </w:rPr>
              <w:t>Availability​Aware</w:t>
            </w:r>
          </w:p>
        </w:tc>
        <w:tc>
          <w:tcPr>
            <w:tcW w:type="dxa" w:w="1998"/>
            <w:vAlign w:val="center"/>
          </w:tcPr>
          <w:p>
            <w:pPr>
              <w:keepNext w:val="0"/>
              <w:spacing w:after="0" w:before="0" w:line="240" w:lineRule="auto"/>
              <w:jc w:val="right"/>
            </w:pPr>
            <w:r>
              <w:rPr>
                <w:rFonts w:ascii="Calibri" w:hAnsi="Calibri"/>
                <w:b w:val="0"/>
                <w:sz w:val="19"/>
              </w:rPr>
              <w:t>1</w:t>
            </w:r>
          </w:p>
        </w:tc>
        <w:tc>
          <w:tcPr>
            <w:tcW w:type="dxa" w:w="1998"/>
            <w:vAlign w:val="center"/>
          </w:tcPr>
          <w:p>
            <w:pPr>
              <w:keepNext w:val="0"/>
              <w:spacing w:after="0" w:before="0" w:line="240" w:lineRule="auto"/>
              <w:jc w:val="right"/>
            </w:pPr>
            <w:r>
              <w:rPr>
                <w:rFonts w:ascii="Calibri" w:hAnsi="Calibri"/>
                <w:b w:val="0"/>
                <w:sz w:val="19"/>
              </w:rPr>
              <w:t>0</w:t>
            </w:r>
          </w:p>
        </w:tc>
        <w:tc>
          <w:tcPr>
            <w:tcW w:type="dxa" w:w="1998"/>
            <w:vAlign w:val="center"/>
          </w:tcPr>
          <w:p>
            <w:pPr>
              <w:keepNext w:val="0"/>
              <w:spacing w:after="0" w:before="0" w:line="240" w:lineRule="auto"/>
              <w:jc w:val="right"/>
            </w:pPr>
            <w:r>
              <w:rPr>
                <w:rFonts w:ascii="Calibri" w:hAnsi="Calibri"/>
                <w:b w:val="0"/>
                <w:sz w:val="19"/>
              </w:rPr>
              <w:t>0.0211</w:t>
            </w:r>
          </w:p>
        </w:tc>
        <w:tc>
          <w:tcPr>
            <w:tcW w:type="dxa" w:w="1998"/>
            <w:vAlign w:val="center"/>
          </w:tcPr>
          <w:p>
            <w:pPr>
              <w:keepNext w:val="0"/>
              <w:spacing w:after="0" w:before="0" w:line="240" w:lineRule="auto"/>
              <w:jc w:val="right"/>
            </w:pPr>
            <w:r>
              <w:rPr>
                <w:rFonts w:ascii="Calibri" w:hAnsi="Calibri"/>
                <w:b w:val="0"/>
                <w:sz w:val="19"/>
              </w:rPr>
              <w:t>0.0178</w:t>
            </w:r>
          </w:p>
        </w:tc>
      </w:tr>
      <w:tr>
        <w:trPr>
          <w:cantSplit/>
        </w:trPr>
        <w:tc>
          <w:tcPr>
            <w:tcW w:type="dxa" w:w="2232"/>
            <w:vAlign w:val="center"/>
          </w:tcPr>
          <w:p>
            <w:pPr>
              <w:keepNext w:val="0"/>
              <w:spacing w:after="0" w:before="0" w:line="240" w:lineRule="auto"/>
            </w:pPr>
            <w:r>
              <w:rPr>
                <w:rFonts w:ascii="Calibri" w:hAnsi="Calibri"/>
                <w:b w:val="0"/>
                <w:sz w:val="19"/>
              </w:rPr>
              <w:t>Availability​Aware</w:t>
            </w:r>
          </w:p>
        </w:tc>
        <w:tc>
          <w:tcPr>
            <w:tcW w:type="dxa" w:w="1998"/>
            <w:vAlign w:val="center"/>
          </w:tcPr>
          <w:p>
            <w:pPr>
              <w:keepNext w:val="0"/>
              <w:spacing w:after="0" w:before="0" w:line="240" w:lineRule="auto"/>
              <w:jc w:val="right"/>
            </w:pPr>
            <w:r>
              <w:rPr>
                <w:rFonts w:ascii="Calibri" w:hAnsi="Calibri"/>
                <w:b w:val="0"/>
                <w:sz w:val="19"/>
              </w:rPr>
              <w:t>2</w:t>
            </w:r>
          </w:p>
        </w:tc>
        <w:tc>
          <w:tcPr>
            <w:tcW w:type="dxa" w:w="1998"/>
            <w:vAlign w:val="center"/>
          </w:tcPr>
          <w:p>
            <w:pPr>
              <w:keepNext w:val="0"/>
              <w:spacing w:after="0" w:before="0" w:line="240" w:lineRule="auto"/>
              <w:jc w:val="right"/>
            </w:pPr>
            <w:r>
              <w:rPr>
                <w:rFonts w:ascii="Calibri" w:hAnsi="Calibri"/>
                <w:b w:val="0"/>
                <w:sz w:val="19"/>
              </w:rPr>
              <w:t>3</w:t>
            </w:r>
          </w:p>
        </w:tc>
        <w:tc>
          <w:tcPr>
            <w:tcW w:type="dxa" w:w="1998"/>
            <w:vAlign w:val="center"/>
          </w:tcPr>
          <w:p>
            <w:pPr>
              <w:keepNext w:val="0"/>
              <w:spacing w:after="0" w:before="0" w:line="240" w:lineRule="auto"/>
              <w:jc w:val="right"/>
            </w:pPr>
            <w:r>
              <w:rPr>
                <w:rFonts w:ascii="Calibri" w:hAnsi="Calibri"/>
                <w:b w:val="0"/>
                <w:sz w:val="19"/>
              </w:rPr>
              <w:t>-0.0221</w:t>
            </w:r>
          </w:p>
        </w:tc>
        <w:tc>
          <w:tcPr>
            <w:tcW w:type="dxa" w:w="1998"/>
            <w:vAlign w:val="center"/>
          </w:tcPr>
          <w:p>
            <w:pPr>
              <w:keepNext w:val="0"/>
              <w:spacing w:after="0" w:before="0" w:line="240" w:lineRule="auto"/>
              <w:jc w:val="right"/>
            </w:pPr>
            <w:r>
              <w:rPr>
                <w:rFonts w:ascii="Calibri" w:hAnsi="Calibri"/>
                <w:b w:val="0"/>
                <w:sz w:val="19"/>
              </w:rPr>
              <w:t>-0.0119</w:t>
            </w:r>
          </w:p>
        </w:tc>
      </w:tr>
      <w:tr>
        <w:trPr>
          <w:cantSplit/>
        </w:trPr>
        <w:tc>
          <w:tcPr>
            <w:tcW w:type="dxa" w:w="2232"/>
            <w:vAlign w:val="center"/>
          </w:tcPr>
          <w:p>
            <w:pPr>
              <w:keepNext w:val="0"/>
              <w:spacing w:after="0" w:before="0" w:line="240" w:lineRule="auto"/>
            </w:pPr>
            <w:r>
              <w:rPr>
                <w:rFonts w:ascii="Calibri" w:hAnsi="Calibri"/>
                <w:b w:val="0"/>
                <w:sz w:val="19"/>
              </w:rPr>
              <w:t>CoordinatedBody</w:t>
            </w:r>
          </w:p>
        </w:tc>
        <w:tc>
          <w:tcPr>
            <w:tcW w:type="dxa" w:w="1998"/>
            <w:vAlign w:val="center"/>
          </w:tcPr>
          <w:p>
            <w:pPr>
              <w:keepNext w:val="0"/>
              <w:spacing w:after="0" w:before="0" w:line="240" w:lineRule="auto"/>
              <w:jc w:val="right"/>
            </w:pPr>
            <w:r>
              <w:rPr>
                <w:rFonts w:ascii="Calibri" w:hAnsi="Calibri"/>
                <w:b w:val="0"/>
                <w:sz w:val="19"/>
              </w:rPr>
              <w:t>1</w:t>
            </w:r>
          </w:p>
        </w:tc>
        <w:tc>
          <w:tcPr>
            <w:tcW w:type="dxa" w:w="1998"/>
            <w:vAlign w:val="center"/>
          </w:tcPr>
          <w:p>
            <w:pPr>
              <w:keepNext w:val="0"/>
              <w:spacing w:after="0" w:before="0" w:line="240" w:lineRule="auto"/>
              <w:jc w:val="right"/>
            </w:pPr>
            <w:r>
              <w:rPr>
                <w:rFonts w:ascii="Calibri" w:hAnsi="Calibri"/>
                <w:b w:val="0"/>
                <w:sz w:val="19"/>
              </w:rPr>
              <w:t>0</w:t>
            </w:r>
          </w:p>
        </w:tc>
        <w:tc>
          <w:tcPr>
            <w:tcW w:type="dxa" w:w="1998"/>
            <w:vAlign w:val="center"/>
          </w:tcPr>
          <w:p>
            <w:pPr>
              <w:keepNext w:val="0"/>
              <w:spacing w:after="0" w:before="0" w:line="240" w:lineRule="auto"/>
              <w:jc w:val="right"/>
            </w:pPr>
            <w:r>
              <w:rPr>
                <w:rFonts w:ascii="Calibri" w:hAnsi="Calibri"/>
                <w:b w:val="0"/>
                <w:sz w:val="19"/>
              </w:rPr>
              <w:t>0.0101</w:t>
            </w:r>
          </w:p>
        </w:tc>
        <w:tc>
          <w:tcPr>
            <w:tcW w:type="dxa" w:w="1998"/>
            <w:vAlign w:val="center"/>
          </w:tcPr>
          <w:p>
            <w:pPr>
              <w:keepNext w:val="0"/>
              <w:spacing w:after="0" w:before="0" w:line="240" w:lineRule="auto"/>
              <w:jc w:val="right"/>
            </w:pPr>
            <w:r>
              <w:rPr>
                <w:rFonts w:ascii="Calibri" w:hAnsi="Calibri"/>
                <w:b w:val="0"/>
                <w:sz w:val="19"/>
              </w:rPr>
              <w:t>0.0090</w:t>
            </w:r>
          </w:p>
        </w:tc>
      </w:tr>
      <w:tr>
        <w:trPr>
          <w:cantSplit/>
        </w:trPr>
        <w:tc>
          <w:tcPr>
            <w:tcW w:type="dxa" w:w="2232"/>
            <w:vAlign w:val="center"/>
          </w:tcPr>
          <w:p>
            <w:pPr>
              <w:keepNext w:val="0"/>
              <w:spacing w:after="0" w:before="0" w:line="240" w:lineRule="auto"/>
            </w:pPr>
            <w:r>
              <w:rPr>
                <w:rFonts w:ascii="Calibri" w:hAnsi="Calibri"/>
                <w:b w:val="0"/>
                <w:sz w:val="19"/>
              </w:rPr>
              <w:t>CoordinatedBody</w:t>
            </w:r>
          </w:p>
        </w:tc>
        <w:tc>
          <w:tcPr>
            <w:tcW w:type="dxa" w:w="1998"/>
            <w:vAlign w:val="center"/>
          </w:tcPr>
          <w:p>
            <w:pPr>
              <w:keepNext w:val="0"/>
              <w:spacing w:after="0" w:before="0" w:line="240" w:lineRule="auto"/>
              <w:jc w:val="right"/>
            </w:pPr>
            <w:r>
              <w:rPr>
                <w:rFonts w:ascii="Calibri" w:hAnsi="Calibri"/>
                <w:b w:val="0"/>
                <w:sz w:val="19"/>
              </w:rPr>
              <w:t>2</w:t>
            </w:r>
          </w:p>
        </w:tc>
        <w:tc>
          <w:tcPr>
            <w:tcW w:type="dxa" w:w="1998"/>
            <w:vAlign w:val="center"/>
          </w:tcPr>
          <w:p>
            <w:pPr>
              <w:keepNext w:val="0"/>
              <w:spacing w:after="0" w:before="0" w:line="240" w:lineRule="auto"/>
              <w:jc w:val="right"/>
            </w:pPr>
            <w:r>
              <w:rPr>
                <w:rFonts w:ascii="Calibri" w:hAnsi="Calibri"/>
                <w:b w:val="0"/>
                <w:sz w:val="19"/>
              </w:rPr>
              <w:t>3</w:t>
            </w:r>
          </w:p>
        </w:tc>
        <w:tc>
          <w:tcPr>
            <w:tcW w:type="dxa" w:w="1998"/>
            <w:vAlign w:val="center"/>
          </w:tcPr>
          <w:p>
            <w:pPr>
              <w:keepNext w:val="0"/>
              <w:spacing w:after="0" w:before="0" w:line="240" w:lineRule="auto"/>
              <w:jc w:val="right"/>
            </w:pPr>
            <w:r>
              <w:rPr>
                <w:rFonts w:ascii="Calibri" w:hAnsi="Calibri"/>
                <w:b w:val="0"/>
                <w:sz w:val="19"/>
              </w:rPr>
              <w:t>-0.0204</w:t>
            </w:r>
          </w:p>
        </w:tc>
        <w:tc>
          <w:tcPr>
            <w:tcW w:type="dxa" w:w="1998"/>
            <w:vAlign w:val="center"/>
          </w:tcPr>
          <w:p>
            <w:pPr>
              <w:keepNext w:val="0"/>
              <w:spacing w:after="0" w:before="0" w:line="240" w:lineRule="auto"/>
              <w:jc w:val="right"/>
            </w:pPr>
            <w:r>
              <w:rPr>
                <w:rFonts w:ascii="Calibri" w:hAnsi="Calibri"/>
                <w:b w:val="0"/>
                <w:sz w:val="19"/>
              </w:rPr>
              <w:t>-0.0122</w:t>
            </w:r>
          </w:p>
        </w:tc>
      </w:tr>
      <w:tr>
        <w:trPr>
          <w:cantSplit/>
        </w:trPr>
        <w:tc>
          <w:tcPr>
            <w:tcW w:type="dxa" w:w="2232"/>
            <w:vAlign w:val="center"/>
          </w:tcPr>
          <w:p>
            <w:pPr>
              <w:keepNext w:val="0"/>
              <w:spacing w:after="0" w:before="0" w:line="240" w:lineRule="auto"/>
            </w:pPr>
            <w:r>
              <w:rPr>
                <w:rFonts w:ascii="Calibri" w:hAnsi="Calibri"/>
                <w:b w:val="0"/>
                <w:sz w:val="19"/>
              </w:rPr>
              <w:t>StateOnly</w:t>
            </w:r>
          </w:p>
        </w:tc>
        <w:tc>
          <w:tcPr>
            <w:tcW w:type="dxa" w:w="1998"/>
            <w:vAlign w:val="center"/>
          </w:tcPr>
          <w:p>
            <w:pPr>
              <w:keepNext w:val="0"/>
              <w:spacing w:after="0" w:before="0" w:line="240" w:lineRule="auto"/>
              <w:jc w:val="right"/>
            </w:pPr>
            <w:r>
              <w:rPr>
                <w:rFonts w:ascii="Calibri" w:hAnsi="Calibri"/>
                <w:b w:val="0"/>
                <w:sz w:val="19"/>
              </w:rPr>
              <w:t>1</w:t>
            </w:r>
          </w:p>
        </w:tc>
        <w:tc>
          <w:tcPr>
            <w:tcW w:type="dxa" w:w="1998"/>
            <w:vAlign w:val="center"/>
          </w:tcPr>
          <w:p>
            <w:pPr>
              <w:keepNext w:val="0"/>
              <w:spacing w:after="0" w:before="0" w:line="240" w:lineRule="auto"/>
              <w:jc w:val="right"/>
            </w:pPr>
            <w:r>
              <w:rPr>
                <w:rFonts w:ascii="Calibri" w:hAnsi="Calibri"/>
                <w:b w:val="0"/>
                <w:sz w:val="19"/>
              </w:rPr>
              <w:t>0</w:t>
            </w:r>
          </w:p>
        </w:tc>
        <w:tc>
          <w:tcPr>
            <w:tcW w:type="dxa" w:w="1998"/>
            <w:vAlign w:val="center"/>
          </w:tcPr>
          <w:p>
            <w:pPr>
              <w:keepNext w:val="0"/>
              <w:spacing w:after="0" w:before="0" w:line="240" w:lineRule="auto"/>
              <w:jc w:val="right"/>
            </w:pPr>
            <w:r>
              <w:rPr>
                <w:rFonts w:ascii="Calibri" w:hAnsi="Calibri"/>
                <w:b w:val="0"/>
                <w:sz w:val="19"/>
              </w:rPr>
              <w:t>0.0000</w:t>
            </w:r>
          </w:p>
        </w:tc>
        <w:tc>
          <w:tcPr>
            <w:tcW w:type="dxa" w:w="1998"/>
            <w:vAlign w:val="center"/>
          </w:tcPr>
          <w:p>
            <w:pPr>
              <w:keepNext w:val="0"/>
              <w:spacing w:after="0" w:before="0" w:line="240" w:lineRule="auto"/>
              <w:jc w:val="right"/>
            </w:pPr>
            <w:r>
              <w:rPr>
                <w:rFonts w:ascii="Calibri" w:hAnsi="Calibri"/>
                <w:b w:val="0"/>
                <w:sz w:val="19"/>
              </w:rPr>
              <w:t>0.0000</w:t>
            </w:r>
          </w:p>
        </w:tc>
      </w:tr>
      <w:tr>
        <w:trPr>
          <w:cantSplit/>
        </w:trPr>
        <w:tc>
          <w:tcPr>
            <w:tcW w:type="dxa" w:w="2232"/>
            <w:vAlign w:val="center"/>
          </w:tcPr>
          <w:p>
            <w:pPr>
              <w:keepNext/>
              <w:spacing w:after="0" w:before="0" w:line="240" w:lineRule="auto"/>
            </w:pPr>
            <w:r>
              <w:rPr>
                <w:rFonts w:ascii="Calibri" w:hAnsi="Calibri"/>
                <w:b w:val="0"/>
                <w:sz w:val="19"/>
              </w:rPr>
              <w:t>StateOnly</w:t>
            </w:r>
          </w:p>
        </w:tc>
        <w:tc>
          <w:tcPr>
            <w:tcW w:type="dxa" w:w="1998"/>
            <w:vAlign w:val="center"/>
          </w:tcPr>
          <w:p>
            <w:pPr>
              <w:keepNext/>
              <w:spacing w:after="0" w:before="0" w:line="240" w:lineRule="auto"/>
              <w:jc w:val="right"/>
            </w:pPr>
            <w:r>
              <w:rPr>
                <w:rFonts w:ascii="Calibri" w:hAnsi="Calibri"/>
                <w:b w:val="0"/>
                <w:sz w:val="19"/>
              </w:rPr>
              <w:t>2</w:t>
            </w:r>
          </w:p>
        </w:tc>
        <w:tc>
          <w:tcPr>
            <w:tcW w:type="dxa" w:w="1998"/>
            <w:vAlign w:val="center"/>
          </w:tcPr>
          <w:p>
            <w:pPr>
              <w:keepNext/>
              <w:spacing w:after="0" w:before="0" w:line="240" w:lineRule="auto"/>
              <w:jc w:val="right"/>
            </w:pPr>
            <w:r>
              <w:rPr>
                <w:rFonts w:ascii="Calibri" w:hAnsi="Calibri"/>
                <w:b w:val="0"/>
                <w:sz w:val="19"/>
              </w:rPr>
              <w:t>3</w:t>
            </w:r>
          </w:p>
        </w:tc>
        <w:tc>
          <w:tcPr>
            <w:tcW w:type="dxa" w:w="1998"/>
            <w:vAlign w:val="center"/>
          </w:tcPr>
          <w:p>
            <w:pPr>
              <w:keepNext/>
              <w:spacing w:after="0" w:before="0" w:line="240" w:lineRule="auto"/>
              <w:jc w:val="right"/>
            </w:pPr>
            <w:r>
              <w:rPr>
                <w:rFonts w:ascii="Calibri" w:hAnsi="Calibri"/>
                <w:b w:val="0"/>
                <w:sz w:val="19"/>
              </w:rPr>
              <w:t>0.0000</w:t>
            </w:r>
          </w:p>
        </w:tc>
        <w:tc>
          <w:tcPr>
            <w:tcW w:type="dxa" w:w="1998"/>
            <w:vAlign w:val="center"/>
          </w:tcPr>
          <w:p>
            <w:pPr>
              <w:keepNext/>
              <w:spacing w:after="0" w:before="0" w:line="240" w:lineRule="auto"/>
              <w:jc w:val="right"/>
            </w:pPr>
            <w:r>
              <w:rPr>
                <w:rFonts w:ascii="Calibri" w:hAnsi="Calibri"/>
                <w:b w:val="0"/>
                <w:sz w:val="19"/>
              </w:rPr>
              <w:t>0.0000</w:t>
            </w:r>
          </w:p>
        </w:tc>
      </w:tr>
    </w:tbl>
    <w:p>
      <w:pPr>
        <w:keepLines/>
        <w:spacing w:before="60" w:after="120"/>
      </w:pPr>
      <w:r>
        <w:rPr>
          <w:sz w:val="18"/>
        </w:rPr>
        <w:t>Controlled simulation.</w:t>
      </w:r>
    </w:p>
    <w:p>
      <w:r>
        <w:t>StateOnly cannot change router weights in response to availability because availability is invisible to the router. Availability-aware systems do change desired load, but the predefined redundant pair is not recovered consistently: the 1→0 outage shows positive substitute recruitment whereas 2→3 does not. The result supports state-dependent re-coordination, not recovery of human-designed synergy labels.</w:t>
      </w:r>
    </w:p>
    <w:p>
      <w:pPr>
        <w:keepNext/>
        <w:spacing w:after="60"/>
        <w:jc w:val="center"/>
      </w:pPr>
      <w:r>
        <w:drawing>
          <wp:inline xmlns:a="http://schemas.openxmlformats.org/drawingml/2006/main" xmlns:pic="http://schemas.openxmlformats.org/drawingml/2006/picture">
            <wp:extent cx="6309360" cy="3562933"/>
            <wp:docPr id="40" name="Picture 40"/>
            <wp:cNvGraphicFramePr>
              <a:graphicFrameLocks noChangeAspect="1"/>
            </wp:cNvGraphicFramePr>
            <a:graphic>
              <a:graphicData uri="http://schemas.openxmlformats.org/drawingml/2006/picture">
                <pic:pic>
                  <pic:nvPicPr>
                    <pic:cNvPr id="0" name="40_image40.png"/>
                    <pic:cNvPicPr/>
                  </pic:nvPicPr>
                  <pic:blipFill>
                    <a:blip r:embed="rId53"/>
                    <a:stretch>
                      <a:fillRect/>
                    </a:stretch>
                  </pic:blipFill>
                  <pic:spPr>
                    <a:xfrm>
                      <a:off x="0" y="0"/>
                      <a:ext cx="6309360" cy="3562933"/>
                    </a:xfrm>
                    <a:prstGeom prst="rect"/>
                  </pic:spPr>
                </pic:pic>
              </a:graphicData>
            </a:graphic>
          </wp:inline>
        </w:drawing>
      </w:r>
    </w:p>
    <w:p>
      <w:pPr>
        <w:pStyle w:val="Caption"/>
      </w:pPr>
      <w:r>
        <w:t>Figure 40. Time-resolved prediction error during scheduled module outages in the simulated availability experiment.</w:t>
      </w:r>
    </w:p>
    <w:p>
      <w:pPr>
        <w:pStyle w:val="Heading3"/>
      </w:pPr>
      <w:r>
        <w:t>7.2.6 Task state and resource state</w:t>
      </w:r>
    </w:p>
    <w:p>
      <w:r>
        <w:t>The coordinator uses two state descriptions: the information needed for prediction and the resources currently available to perform that computation.</w:t>
      </w:r>
    </w:p>
    <w:p>
      <w:r>
        <w:t>Runtime latency, queue depth, memory pressure, throttling, server loss and tool availability are possible application variables corresponding to the simulated availability state. Their benefit would require direct runtime evaluation.</w:t>
      </w:r>
    </w:p>
    <w:p>
      <w:r>
        <w:t>The result also separates two earlier findings. COORDINATED-EFFECTORS-015 showed that discrete substitute pathways can be trained by lesion experience. AVAILABILITY-AWARE-COORDINATION-016 shows that when degradation is continuous and current availability is directly observable, body-state observability can matter more than recurrent fatigue history.</w:t>
      </w:r>
    </w:p>
    <w:p>
      <w:pPr>
        <w:pStyle w:val="Heading3"/>
      </w:pPr>
      <w:r>
        <w:t>7.2.7 Training implications</w:t>
      </w:r>
    </w:p>
    <w:p>
      <w:r>
        <w:t>1. Expose current compute/body state to the coordinator. Availability-aware routing improved stressed-condition performance over a task-state-only router.</w:t>
      </w:r>
    </w:p>
    <w:p>
      <w:r>
        <w:t>2. Test future-sufficiency before adding fatigue memory. If current availability already predicts future computational capability, longer body-history machinery is redundant.</w:t>
      </w:r>
    </w:p>
    <w:p>
      <w:r>
        <w:t>3. Separate perturbation curriculum from body-state observability. Lesion experience teaches substitute pathways; availability inputs tell the router which pathways are currently usable.</w:t>
      </w:r>
    </w:p>
    <w:p>
      <w:r>
        <w:t>4. Train across realistic availability ranges before inventing a larger recurrent controller. Random availability training was already competitive or better here.</w:t>
      </w:r>
    </w:p>
    <w:p>
      <w:r>
        <w:t>5. Report late-horizon stress error. A coordinator can survive the first failure but exhaust substitutes later.</w:t>
      </w:r>
    </w:p>
    <w:p>
      <w:r>
        <w:t>6. Audit actual substitution, not only final MSE. Measure desired router-weight changes and realized-load changes after local degradation.</w:t>
      </w:r>
    </w:p>
    <w:p>
      <w:r>
        <w:t>7. Do not force human-designed synergy identities onto learned effectors. Functional roles should be defined by future effects.</w:t>
      </w:r>
    </w:p>
    <w:p>
      <w:r>
        <w:t>8. For production MoE systems, include runtime compute variables in the routing state: latency, queue depth, memory pressure, expert health, external-tool availability and cost.</w:t>
      </w:r>
    </w:p>
    <w:p>
      <w:r>
        <w:t>9. Add explicit planning over future fatigue only when current availability fails a future-sufficiency test.</w:t>
      </w:r>
    </w:p>
    <w:p>
      <w:pPr>
        <w:pStyle w:val="Heading3"/>
      </w:pPr>
      <w:r>
        <w:t>7.2.8 Results synthesis</w:t>
      </w:r>
    </w:p>
    <w:p>
      <w:r>
        <w:t>The experiment supports conditioning routing on observed availability. The additional value of resource history depends on whether current telemetry captures the information relevant to later capacity and prediction.</w:t>
      </w:r>
    </w:p>
    <w:p>
      <w:pPr>
        <w:pStyle w:val="Heading3"/>
      </w:pPr>
      <w:r>
        <w:t>7.2.9 Evidence records</w:t>
      </w:r>
    </w:p>
    <w:p>
      <w:pPr>
        <w:spacing w:after="40"/>
      </w:pPr>
      <w:r>
        <w:rPr>
          <w:sz w:val="18"/>
        </w:rPr>
        <w:t>AVAILABILITY_​COORDINATION_​016_​bundle.zip</w:t>
      </w:r>
    </w:p>
    <w:p>
      <w:pPr>
        <w:spacing w:after="40"/>
      </w:pPr>
      <w:r>
        <w:rPr>
          <w:sz w:val="18"/>
        </w:rPr>
        <w:t>AVAILABILITY_​COORDINATION_​016/​scenario_​summary.csv</w:t>
      </w:r>
    </w:p>
    <w:p>
      <w:pPr>
        <w:spacing w:after="40"/>
      </w:pPr>
      <w:r>
        <w:rPr>
          <w:sz w:val="18"/>
        </w:rPr>
        <w:t>AVAILABILITY_​COORDINATION_​016/​robustness_​summary.csv</w:t>
      </w:r>
    </w:p>
    <w:p>
      <w:pPr>
        <w:spacing w:after="40"/>
      </w:pPr>
      <w:r>
        <w:rPr>
          <w:sz w:val="18"/>
        </w:rPr>
        <w:t>AVAILABILITY_​COORDINATION_​016/​current_​availability_​sufficiency.csv</w:t>
      </w:r>
    </w:p>
    <w:p>
      <w:pPr>
        <w:spacing w:after="40"/>
      </w:pPr>
      <w:r>
        <w:rPr>
          <w:sz w:val="18"/>
        </w:rPr>
        <w:t>AVAILABILITY_​COORDINATION_​016/​substitution_​audit_​summary.csv</w:t>
      </w:r>
    </w:p>
    <w:p>
      <w:pPr>
        <w:spacing w:after="40"/>
      </w:pPr>
      <w:r>
        <w:rPr>
          <w:sz w:val="18"/>
        </w:rPr>
        <w:t>AVAILABILITY_​COORDINATION_​016/​scenario_​performance.png</w:t>
      </w:r>
    </w:p>
    <w:p>
      <w:pPr>
        <w:spacing w:after="40"/>
      </w:pPr>
      <w:r>
        <w:rPr>
          <w:sz w:val="18"/>
        </w:rPr>
        <w:t>AVAILABILITY_​COORDINATION_​016/​outage_​recovery.png</w:t>
      </w:r>
    </w:p>
    <w:p>
      <w:pPr>
        <w:pStyle w:val="Heading2"/>
      </w:pPr>
      <w:r>
        <w:t>7.3 ANTICIPATORY-COORDINATION-017 Routing under delayed resource depletion</w:t>
      </w:r>
    </w:p>
    <w:p>
      <w:pPr>
        <w:pStyle w:val="Heading3"/>
      </w:pPr>
      <w:r>
        <w:t>7.3.1 Question</w:t>
      </w:r>
    </w:p>
    <w:p>
      <w:r>
        <w:t>This experiment introduces a hidden cumulative-wear variable that can precede a delayed capacity reduction. Current availability can remain high even near the threshold. Present routing therefore influences both current prediction and the resources available for later predictions.</w:t>
      </w:r>
    </w:p>
    <w:p>
      <w:r>
        <w:t>Task state and estimated resource state determine routing; routing affects prediction and subsequent resource state.</w:t>
      </w:r>
    </w:p>
    <w:p>
      <w:pPr>
        <w:pStyle w:val="Heading3"/>
      </w:pPr>
      <w:r>
        <w:t>7.3.2 Hidden-future-risk control</w:t>
      </w:r>
    </w:p>
    <w:p>
      <w:r>
        <w:t>A pilot allowed current availability to reveal most of the wear reservoir, as measured by a linear probe. The reported control changes the availability function to isolate information available from history beyond the current value.</w:t>
      </w:r>
    </w:p>
    <w:p>
      <w:r>
        <w:t>Hidden wear q_t accumulates with module recruitment. Visible availability stays near one over a broad range and drops steeply near a threshold. Similar current availability can therefore coexist with different hidden wear. Current-state and history-based probes test whether the intended information difference is present.</w:t>
      </w:r>
    </w:p>
    <w:p>
      <w:pPr>
        <w:pStyle w:val="Heading3"/>
      </w:pPr>
      <w:r>
        <w:t>7.3.3 Models and training contracts</w:t>
      </w:r>
    </w:p>
    <w:p>
      <w:pPr>
        <w:pStyle w:val="ListBullet"/>
      </w:pPr>
      <w:r>
        <w:t>CurrentAvailability — task state + current availability only; trained on exogenous availability variation.</w:t>
      </w:r>
    </w:p>
    <w:p>
      <w:pPr>
        <w:pStyle w:val="ListBullet"/>
      </w:pPr>
      <w:r>
        <w:t>HistoryAware — recurrently sees task state, current availability and previous realized load; body-transition gradients are detached from current routing.</w:t>
      </w:r>
    </w:p>
    <w:p>
      <w:pPr>
        <w:pStyle w:val="ListBullet"/>
      </w:pPr>
      <w:r>
        <w:t>AnticipatoryCoordinator — identical recurrent architecture to HistoryAware, but trained end-to-end through delayed wear/capacity dynamics with late-weighted error and weak reserve costs.</w:t>
      </w:r>
    </w:p>
    <w:p>
      <w:r>
        <w:t>HistoryAware versus AnticipatoryCoordinator is the critical same-architecture comparison. Observable inputs and parameterization are matched; only the training contract differs.</w:t>
      </w:r>
    </w:p>
    <w:p>
      <w:pPr>
        <w:pStyle w:val="Heading3"/>
      </w:pPr>
      <w:r>
        <w:t>7.3.4 Prediction and reserve capacity</w:t>
      </w:r>
    </w:p>
    <w:p>
      <w:pPr>
        <w:pStyle w:val="Caption"/>
        <w:keepNext/>
      </w:pPr>
      <w:r>
        <w:t>Table 62. Prediction and final resource state.</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142"/>
        <w:gridCol w:w="1142"/>
        <w:gridCol w:w="1142"/>
        <w:gridCol w:w="1142"/>
        <w:gridCol w:w="1142"/>
        <w:gridCol w:w="1142"/>
        <w:gridCol w:w="1142"/>
      </w:tblGrid>
      <w:tr>
        <w:trPr>
          <w:cantSplit/>
          <w:tblHeader/>
        </w:trPr>
        <w:tc>
          <w:tcPr>
            <w:tcW w:type="dxa" w:w="2232"/>
            <w:vAlign w:val="center"/>
            <w:shd w:fill="F2F2F2"/>
          </w:tcPr>
          <w:p>
            <w:pPr>
              <w:keepNext/>
              <w:spacing w:after="0" w:before="0" w:line="240" w:lineRule="auto"/>
            </w:pPr>
            <w:r>
              <w:rPr>
                <w:rFonts w:ascii="Calibri" w:hAnsi="Calibri"/>
                <w:b/>
                <w:sz w:val="18"/>
              </w:rPr>
              <w:t>Model</w:t>
            </w:r>
          </w:p>
        </w:tc>
        <w:tc>
          <w:tcPr>
            <w:tcW w:type="dxa" w:w="1142"/>
            <w:vAlign w:val="center"/>
            <w:shd w:fill="F2F2F2"/>
          </w:tcPr>
          <w:p>
            <w:pPr>
              <w:keepNext/>
              <w:spacing w:after="0" w:before="0" w:line="240" w:lineRule="auto"/>
            </w:pPr>
            <w:r>
              <w:rPr>
                <w:rFonts w:ascii="Calibri" w:hAnsi="Calibri"/>
                <w:b/>
                <w:sz w:val="18"/>
              </w:rPr>
              <w:t>Parameters</w:t>
            </w:r>
          </w:p>
        </w:tc>
        <w:tc>
          <w:tcPr>
            <w:tcW w:type="dxa" w:w="1142"/>
            <w:vAlign w:val="center"/>
            <w:shd w:fill="F2F2F2"/>
          </w:tcPr>
          <w:p>
            <w:pPr>
              <w:keepNext/>
              <w:spacing w:after="0" w:before="0" w:line="240" w:lineRule="auto"/>
            </w:pPr>
            <w:r>
              <w:rPr>
                <w:rFonts w:ascii="Calibri" w:hAnsi="Calibri"/>
                <w:b/>
                <w:sz w:val="18"/>
              </w:rPr>
              <w:t>Mean MSE</w:t>
            </w:r>
          </w:p>
        </w:tc>
        <w:tc>
          <w:tcPr>
            <w:tcW w:type="dxa" w:w="1142"/>
            <w:vAlign w:val="center"/>
            <w:shd w:fill="F2F2F2"/>
          </w:tcPr>
          <w:p>
            <w:pPr>
              <w:keepNext/>
              <w:spacing w:after="0" w:before="0" w:line="240" w:lineRule="auto"/>
            </w:pPr>
            <w:r>
              <w:rPr>
                <w:rFonts w:ascii="Calibri" w:hAnsi="Calibri"/>
                <w:b/>
                <w:sz w:val="18"/>
              </w:rPr>
              <w:t>Early MSE</w:t>
            </w:r>
          </w:p>
        </w:tc>
        <w:tc>
          <w:tcPr>
            <w:tcW w:type="dxa" w:w="1142"/>
            <w:vAlign w:val="center"/>
            <w:shd w:fill="F2F2F2"/>
          </w:tcPr>
          <w:p>
            <w:pPr>
              <w:keepNext/>
              <w:spacing w:after="0" w:before="0" w:line="240" w:lineRule="auto"/>
            </w:pPr>
            <w:r>
              <w:rPr>
                <w:rFonts w:ascii="Calibri" w:hAnsi="Calibri"/>
                <w:b/>
                <w:sz w:val="18"/>
              </w:rPr>
              <w:t>Late MSE</w:t>
            </w:r>
          </w:p>
        </w:tc>
        <w:tc>
          <w:tcPr>
            <w:tcW w:type="dxa" w:w="1142"/>
            <w:vAlign w:val="center"/>
            <w:shd w:fill="F2F2F2"/>
          </w:tcPr>
          <w:p>
            <w:pPr>
              <w:keepNext/>
              <w:spacing w:after="0" w:before="0" w:line="240" w:lineRule="auto"/>
            </w:pPr>
            <w:r>
              <w:rPr>
                <w:rFonts w:ascii="Calibri" w:hAnsi="Calibri"/>
                <w:b/>
                <w:sz w:val="18"/>
              </w:rPr>
              <w:t>Worst MSE</w:t>
            </w:r>
          </w:p>
        </w:tc>
        <w:tc>
          <w:tcPr>
            <w:tcW w:type="dxa" w:w="1142"/>
            <w:vAlign w:val="center"/>
            <w:shd w:fill="F2F2F2"/>
          </w:tcPr>
          <w:p>
            <w:pPr>
              <w:keepNext/>
              <w:spacing w:after="0" w:before="0" w:line="240" w:lineRule="auto"/>
            </w:pPr>
            <w:r>
              <w:rPr>
                <w:rFonts w:ascii="Calibri" w:hAnsi="Calibri"/>
                <w:b/>
                <w:sz w:val="18"/>
              </w:rPr>
              <w:t>Final availability</w:t>
            </w:r>
          </w:p>
        </w:tc>
        <w:tc>
          <w:tcPr>
            <w:tcW w:type="dxa" w:w="1142"/>
            <w:vAlign w:val="center"/>
            <w:shd w:fill="F2F2F2"/>
          </w:tcPr>
          <w:p>
            <w:pPr>
              <w:keepNext/>
              <w:spacing w:after="0" w:before="0" w:line="240" w:lineRule="auto"/>
            </w:pPr>
            <w:r>
              <w:rPr>
                <w:rFonts w:ascii="Calibri" w:hAnsi="Calibri"/>
                <w:b/>
                <w:sz w:val="18"/>
              </w:rPr>
              <w:t>Final wear</w:t>
            </w:r>
          </w:p>
        </w:tc>
      </w:tr>
      <w:tr>
        <w:trPr>
          <w:cantSplit/>
        </w:trPr>
        <w:tc>
          <w:tcPr>
            <w:tcW w:type="dxa" w:w="2232"/>
            <w:vAlign w:val="center"/>
          </w:tcPr>
          <w:p>
            <w:pPr>
              <w:keepNext w:val="0"/>
              <w:spacing w:after="0" w:before="0" w:line="240" w:lineRule="auto"/>
            </w:pPr>
            <w:r>
              <w:rPr>
                <w:rFonts w:ascii="Calibri" w:hAnsi="Calibri"/>
                <w:b w:val="0"/>
                <w:sz w:val="18"/>
              </w:rPr>
              <w:t>Anticipatory​Coordinator</w:t>
            </w:r>
          </w:p>
        </w:tc>
        <w:tc>
          <w:tcPr>
            <w:tcW w:type="dxa" w:w="1142"/>
            <w:vAlign w:val="center"/>
          </w:tcPr>
          <w:p>
            <w:pPr>
              <w:keepNext w:val="0"/>
              <w:spacing w:after="0" w:before="0" w:line="240" w:lineRule="auto"/>
              <w:jc w:val="right"/>
            </w:pPr>
            <w:r>
              <w:rPr>
                <w:rFonts w:ascii="Calibri" w:hAnsi="Calibri"/>
                <w:b w:val="0"/>
                <w:sz w:val="18"/>
              </w:rPr>
              <w:t>7114</w:t>
            </w:r>
          </w:p>
        </w:tc>
        <w:tc>
          <w:tcPr>
            <w:tcW w:type="dxa" w:w="1142"/>
            <w:vAlign w:val="center"/>
          </w:tcPr>
          <w:p>
            <w:pPr>
              <w:keepNext w:val="0"/>
              <w:spacing w:after="0" w:before="0" w:line="240" w:lineRule="auto"/>
              <w:jc w:val="right"/>
            </w:pPr>
            <w:r>
              <w:rPr>
                <w:rFonts w:ascii="Calibri" w:hAnsi="Calibri"/>
                <w:b w:val="0"/>
                <w:sz w:val="18"/>
              </w:rPr>
              <w:t>0.0889</w:t>
            </w:r>
          </w:p>
        </w:tc>
        <w:tc>
          <w:tcPr>
            <w:tcW w:type="dxa" w:w="1142"/>
            <w:vAlign w:val="center"/>
          </w:tcPr>
          <w:p>
            <w:pPr>
              <w:keepNext w:val="0"/>
              <w:spacing w:after="0" w:before="0" w:line="240" w:lineRule="auto"/>
              <w:jc w:val="right"/>
            </w:pPr>
            <w:r>
              <w:rPr>
                <w:rFonts w:ascii="Calibri" w:hAnsi="Calibri"/>
                <w:b w:val="0"/>
                <w:sz w:val="18"/>
              </w:rPr>
              <w:t>0.1153</w:t>
            </w:r>
          </w:p>
        </w:tc>
        <w:tc>
          <w:tcPr>
            <w:tcW w:type="dxa" w:w="1142"/>
            <w:vAlign w:val="center"/>
          </w:tcPr>
          <w:p>
            <w:pPr>
              <w:keepNext w:val="0"/>
              <w:spacing w:after="0" w:before="0" w:line="240" w:lineRule="auto"/>
              <w:jc w:val="right"/>
            </w:pPr>
            <w:r>
              <w:rPr>
                <w:rFonts w:ascii="Calibri" w:hAnsi="Calibri"/>
                <w:b w:val="0"/>
                <w:sz w:val="18"/>
              </w:rPr>
              <w:t>0.0797</w:t>
            </w:r>
          </w:p>
        </w:tc>
        <w:tc>
          <w:tcPr>
            <w:tcW w:type="dxa" w:w="1142"/>
            <w:vAlign w:val="center"/>
          </w:tcPr>
          <w:p>
            <w:pPr>
              <w:keepNext w:val="0"/>
              <w:spacing w:after="0" w:before="0" w:line="240" w:lineRule="auto"/>
              <w:jc w:val="right"/>
            </w:pPr>
            <w:r>
              <w:rPr>
                <w:rFonts w:ascii="Calibri" w:hAnsi="Calibri"/>
                <w:b w:val="0"/>
                <w:sz w:val="18"/>
              </w:rPr>
              <w:t>0.1629</w:t>
            </w:r>
          </w:p>
        </w:tc>
        <w:tc>
          <w:tcPr>
            <w:tcW w:type="dxa" w:w="1142"/>
            <w:vAlign w:val="center"/>
          </w:tcPr>
          <w:p>
            <w:pPr>
              <w:keepNext w:val="0"/>
              <w:spacing w:after="0" w:before="0" w:line="240" w:lineRule="auto"/>
              <w:jc w:val="right"/>
            </w:pPr>
            <w:r>
              <w:rPr>
                <w:rFonts w:ascii="Calibri" w:hAnsi="Calibri"/>
                <w:b w:val="0"/>
                <w:sz w:val="18"/>
              </w:rPr>
              <w:t>0.9844</w:t>
            </w:r>
          </w:p>
        </w:tc>
        <w:tc>
          <w:tcPr>
            <w:tcW w:type="dxa" w:w="1142"/>
            <w:vAlign w:val="center"/>
          </w:tcPr>
          <w:p>
            <w:pPr>
              <w:keepNext w:val="0"/>
              <w:spacing w:after="0" w:before="0" w:line="240" w:lineRule="auto"/>
              <w:jc w:val="right"/>
            </w:pPr>
            <w:r>
              <w:rPr>
                <w:rFonts w:ascii="Calibri" w:hAnsi="Calibri"/>
                <w:b w:val="0"/>
                <w:sz w:val="18"/>
              </w:rPr>
              <w:t>0.1737</w:t>
            </w:r>
          </w:p>
        </w:tc>
      </w:tr>
      <w:tr>
        <w:trPr>
          <w:cantSplit/>
        </w:trPr>
        <w:tc>
          <w:tcPr>
            <w:tcW w:type="dxa" w:w="2232"/>
            <w:vAlign w:val="center"/>
          </w:tcPr>
          <w:p>
            <w:pPr>
              <w:keepNext w:val="0"/>
              <w:spacing w:after="0" w:before="0" w:line="240" w:lineRule="auto"/>
            </w:pPr>
            <w:r>
              <w:rPr>
                <w:rFonts w:ascii="Calibri" w:hAnsi="Calibri"/>
                <w:b w:val="0"/>
                <w:sz w:val="18"/>
              </w:rPr>
              <w:t>Current​Availability</w:t>
            </w:r>
          </w:p>
        </w:tc>
        <w:tc>
          <w:tcPr>
            <w:tcW w:type="dxa" w:w="1142"/>
            <w:vAlign w:val="center"/>
          </w:tcPr>
          <w:p>
            <w:pPr>
              <w:keepNext w:val="0"/>
              <w:spacing w:after="0" w:before="0" w:line="240" w:lineRule="auto"/>
              <w:jc w:val="right"/>
            </w:pPr>
            <w:r>
              <w:rPr>
                <w:rFonts w:ascii="Calibri" w:hAnsi="Calibri"/>
                <w:b w:val="0"/>
                <w:sz w:val="18"/>
              </w:rPr>
              <w:t>3540</w:t>
            </w:r>
          </w:p>
        </w:tc>
        <w:tc>
          <w:tcPr>
            <w:tcW w:type="dxa" w:w="1142"/>
            <w:vAlign w:val="center"/>
          </w:tcPr>
          <w:p>
            <w:pPr>
              <w:keepNext w:val="0"/>
              <w:spacing w:after="0" w:before="0" w:line="240" w:lineRule="auto"/>
              <w:jc w:val="right"/>
            </w:pPr>
            <w:r>
              <w:rPr>
                <w:rFonts w:ascii="Calibri" w:hAnsi="Calibri"/>
                <w:b w:val="0"/>
                <w:sz w:val="18"/>
              </w:rPr>
              <w:t>0.1165</w:t>
            </w:r>
          </w:p>
        </w:tc>
        <w:tc>
          <w:tcPr>
            <w:tcW w:type="dxa" w:w="1142"/>
            <w:vAlign w:val="center"/>
          </w:tcPr>
          <w:p>
            <w:pPr>
              <w:keepNext w:val="0"/>
              <w:spacing w:after="0" w:before="0" w:line="240" w:lineRule="auto"/>
              <w:jc w:val="right"/>
            </w:pPr>
            <w:r>
              <w:rPr>
                <w:rFonts w:ascii="Calibri" w:hAnsi="Calibri"/>
                <w:b w:val="0"/>
                <w:sz w:val="18"/>
              </w:rPr>
              <w:t>0.1328</w:t>
            </w:r>
          </w:p>
        </w:tc>
        <w:tc>
          <w:tcPr>
            <w:tcW w:type="dxa" w:w="1142"/>
            <w:vAlign w:val="center"/>
          </w:tcPr>
          <w:p>
            <w:pPr>
              <w:keepNext w:val="0"/>
              <w:spacing w:after="0" w:before="0" w:line="240" w:lineRule="auto"/>
              <w:jc w:val="right"/>
            </w:pPr>
            <w:r>
              <w:rPr>
                <w:rFonts w:ascii="Calibri" w:hAnsi="Calibri"/>
                <w:b w:val="0"/>
                <w:sz w:val="18"/>
              </w:rPr>
              <w:t>0.1114</w:t>
            </w:r>
          </w:p>
        </w:tc>
        <w:tc>
          <w:tcPr>
            <w:tcW w:type="dxa" w:w="1142"/>
            <w:vAlign w:val="center"/>
          </w:tcPr>
          <w:p>
            <w:pPr>
              <w:keepNext w:val="0"/>
              <w:spacing w:after="0" w:before="0" w:line="240" w:lineRule="auto"/>
              <w:jc w:val="right"/>
            </w:pPr>
            <w:r>
              <w:rPr>
                <w:rFonts w:ascii="Calibri" w:hAnsi="Calibri"/>
                <w:b w:val="0"/>
                <w:sz w:val="18"/>
              </w:rPr>
              <w:t>0.1675</w:t>
            </w:r>
          </w:p>
        </w:tc>
        <w:tc>
          <w:tcPr>
            <w:tcW w:type="dxa" w:w="1142"/>
            <w:vAlign w:val="center"/>
          </w:tcPr>
          <w:p>
            <w:pPr>
              <w:keepNext w:val="0"/>
              <w:spacing w:after="0" w:before="0" w:line="240" w:lineRule="auto"/>
              <w:jc w:val="right"/>
            </w:pPr>
            <w:r>
              <w:rPr>
                <w:rFonts w:ascii="Calibri" w:hAnsi="Calibri"/>
                <w:b w:val="0"/>
                <w:sz w:val="18"/>
              </w:rPr>
              <w:t>0.8986</w:t>
            </w:r>
          </w:p>
        </w:tc>
        <w:tc>
          <w:tcPr>
            <w:tcW w:type="dxa" w:w="1142"/>
            <w:vAlign w:val="center"/>
          </w:tcPr>
          <w:p>
            <w:pPr>
              <w:keepNext w:val="0"/>
              <w:spacing w:after="0" w:before="0" w:line="240" w:lineRule="auto"/>
              <w:jc w:val="right"/>
            </w:pPr>
            <w:r>
              <w:rPr>
                <w:rFonts w:ascii="Calibri" w:hAnsi="Calibri"/>
                <w:b w:val="0"/>
                <w:sz w:val="18"/>
              </w:rPr>
              <w:t>0.1528</w:t>
            </w:r>
          </w:p>
        </w:tc>
      </w:tr>
      <w:tr>
        <w:trPr>
          <w:cantSplit/>
        </w:trPr>
        <w:tc>
          <w:tcPr>
            <w:tcW w:type="dxa" w:w="2232"/>
            <w:vAlign w:val="center"/>
          </w:tcPr>
          <w:p>
            <w:pPr>
              <w:keepNext/>
              <w:spacing w:after="0" w:before="0" w:line="240" w:lineRule="auto"/>
            </w:pPr>
            <w:r>
              <w:rPr>
                <w:rFonts w:ascii="Calibri" w:hAnsi="Calibri"/>
                <w:b w:val="0"/>
                <w:sz w:val="18"/>
              </w:rPr>
              <w:t>HistoryAware</w:t>
            </w:r>
          </w:p>
        </w:tc>
        <w:tc>
          <w:tcPr>
            <w:tcW w:type="dxa" w:w="1142"/>
            <w:vAlign w:val="center"/>
          </w:tcPr>
          <w:p>
            <w:pPr>
              <w:keepNext/>
              <w:spacing w:after="0" w:before="0" w:line="240" w:lineRule="auto"/>
              <w:jc w:val="right"/>
            </w:pPr>
            <w:r>
              <w:rPr>
                <w:rFonts w:ascii="Calibri" w:hAnsi="Calibri"/>
                <w:b w:val="0"/>
                <w:sz w:val="18"/>
              </w:rPr>
              <w:t>7114</w:t>
            </w:r>
          </w:p>
        </w:tc>
        <w:tc>
          <w:tcPr>
            <w:tcW w:type="dxa" w:w="1142"/>
            <w:vAlign w:val="center"/>
          </w:tcPr>
          <w:p>
            <w:pPr>
              <w:keepNext/>
              <w:spacing w:after="0" w:before="0" w:line="240" w:lineRule="auto"/>
              <w:jc w:val="right"/>
            </w:pPr>
            <w:r>
              <w:rPr>
                <w:rFonts w:ascii="Calibri" w:hAnsi="Calibri"/>
                <w:b w:val="0"/>
                <w:sz w:val="18"/>
              </w:rPr>
              <w:t>0.1031</w:t>
            </w:r>
          </w:p>
        </w:tc>
        <w:tc>
          <w:tcPr>
            <w:tcW w:type="dxa" w:w="1142"/>
            <w:vAlign w:val="center"/>
          </w:tcPr>
          <w:p>
            <w:pPr>
              <w:keepNext/>
              <w:spacing w:after="0" w:before="0" w:line="240" w:lineRule="auto"/>
              <w:jc w:val="right"/>
            </w:pPr>
            <w:r>
              <w:rPr>
                <w:rFonts w:ascii="Calibri" w:hAnsi="Calibri"/>
                <w:b w:val="0"/>
                <w:sz w:val="18"/>
              </w:rPr>
              <w:t>0.1235</w:t>
            </w:r>
          </w:p>
        </w:tc>
        <w:tc>
          <w:tcPr>
            <w:tcW w:type="dxa" w:w="1142"/>
            <w:vAlign w:val="center"/>
          </w:tcPr>
          <w:p>
            <w:pPr>
              <w:keepNext/>
              <w:spacing w:after="0" w:before="0" w:line="240" w:lineRule="auto"/>
              <w:jc w:val="right"/>
            </w:pPr>
            <w:r>
              <w:rPr>
                <w:rFonts w:ascii="Calibri" w:hAnsi="Calibri"/>
                <w:b w:val="0"/>
                <w:sz w:val="18"/>
              </w:rPr>
              <w:t>0.0972</w:t>
            </w:r>
          </w:p>
        </w:tc>
        <w:tc>
          <w:tcPr>
            <w:tcW w:type="dxa" w:w="1142"/>
            <w:vAlign w:val="center"/>
          </w:tcPr>
          <w:p>
            <w:pPr>
              <w:keepNext/>
              <w:spacing w:after="0" w:before="0" w:line="240" w:lineRule="auto"/>
              <w:jc w:val="right"/>
            </w:pPr>
            <w:r>
              <w:rPr>
                <w:rFonts w:ascii="Calibri" w:hAnsi="Calibri"/>
                <w:b w:val="0"/>
                <w:sz w:val="18"/>
              </w:rPr>
              <w:t>0.1646</w:t>
            </w:r>
          </w:p>
        </w:tc>
        <w:tc>
          <w:tcPr>
            <w:tcW w:type="dxa" w:w="1142"/>
            <w:vAlign w:val="center"/>
          </w:tcPr>
          <w:p>
            <w:pPr>
              <w:keepNext/>
              <w:spacing w:after="0" w:before="0" w:line="240" w:lineRule="auto"/>
              <w:jc w:val="right"/>
            </w:pPr>
            <w:r>
              <w:rPr>
                <w:rFonts w:ascii="Calibri" w:hAnsi="Calibri"/>
                <w:b w:val="0"/>
                <w:sz w:val="18"/>
              </w:rPr>
              <w:t>0.8899</w:t>
            </w:r>
          </w:p>
        </w:tc>
        <w:tc>
          <w:tcPr>
            <w:tcW w:type="dxa" w:w="1142"/>
            <w:vAlign w:val="center"/>
          </w:tcPr>
          <w:p>
            <w:pPr>
              <w:keepNext/>
              <w:spacing w:after="0" w:before="0" w:line="240" w:lineRule="auto"/>
              <w:jc w:val="right"/>
            </w:pPr>
            <w:r>
              <w:rPr>
                <w:rFonts w:ascii="Calibri" w:hAnsi="Calibri"/>
                <w:b w:val="0"/>
                <w:sz w:val="18"/>
              </w:rPr>
              <w:t>0.1936</w:t>
            </w:r>
          </w:p>
        </w:tc>
      </w:tr>
    </w:tbl>
    <w:p>
      <w:pPr>
        <w:keepLines/>
        <w:spacing w:before="60" w:after="120"/>
      </w:pPr>
      <w:r>
        <w:rPr>
          <w:sz w:val="18"/>
        </w:rPr>
        <w:t>Controlled simulation. Lower MSE indicates lower prediction error within the same task and target scaling.</w:t>
      </w:r>
    </w:p>
    <w:p>
      <w:r>
        <w:t>AnticipatoryCoordinator has mean MSE 0.0889, versus 0.1031 for HistoryAware and 0.1165 for CurrentAvailability. Relative to the matched HistoryAware architecture, late MSE falls from 0.0972 to 0.0797, approximately 18.0%, and final availability rises from 0.8899 to 0.9844. Training through resource dynamics improves both outcomes in this construction.</w:t>
      </w:r>
    </w:p>
    <w:p>
      <w:pPr>
        <w:keepNext/>
        <w:spacing w:after="60"/>
        <w:jc w:val="center"/>
      </w:pPr>
      <w:r>
        <w:drawing>
          <wp:inline xmlns:a="http://schemas.openxmlformats.org/drawingml/2006/main" xmlns:pic="http://schemas.openxmlformats.org/drawingml/2006/picture">
            <wp:extent cx="6309360" cy="3623500"/>
            <wp:docPr id="41" name="Picture 41"/>
            <wp:cNvGraphicFramePr>
              <a:graphicFrameLocks noChangeAspect="1"/>
            </wp:cNvGraphicFramePr>
            <a:graphic>
              <a:graphicData uri="http://schemas.openxmlformats.org/drawingml/2006/picture">
                <pic:pic>
                  <pic:nvPicPr>
                    <pic:cNvPr id="0" name="41_image41.png"/>
                    <pic:cNvPicPr/>
                  </pic:nvPicPr>
                  <pic:blipFill>
                    <a:blip r:embed="rId54"/>
                    <a:stretch>
                      <a:fillRect/>
                    </a:stretch>
                  </pic:blipFill>
                  <pic:spPr>
                    <a:xfrm>
                      <a:off x="0" y="0"/>
                      <a:ext cx="6309360" cy="3623500"/>
                    </a:xfrm>
                    <a:prstGeom prst="rect"/>
                  </pic:spPr>
                </pic:pic>
              </a:graphicData>
            </a:graphic>
          </wp:inline>
        </w:drawing>
      </w:r>
    </w:p>
    <w:p>
      <w:pPr>
        <w:pStyle w:val="Caption"/>
      </w:pPr>
      <w:r>
        <w:t>Figure 41. Delayed capacity collapse: immediate versus anticipatory coordination.</w:t>
      </w:r>
    </w:p>
    <w:p>
      <w:pPr>
        <w:keepNext/>
        <w:spacing w:after="60"/>
        <w:jc w:val="center"/>
      </w:pPr>
      <w:r>
        <w:drawing>
          <wp:inline xmlns:a="http://schemas.openxmlformats.org/drawingml/2006/main" xmlns:pic="http://schemas.openxmlformats.org/drawingml/2006/picture">
            <wp:extent cx="6309360" cy="3623500"/>
            <wp:docPr id="42" name="Picture 42"/>
            <wp:cNvGraphicFramePr>
              <a:graphicFrameLocks noChangeAspect="1"/>
            </wp:cNvGraphicFramePr>
            <a:graphic>
              <a:graphicData uri="http://schemas.openxmlformats.org/drawingml/2006/picture">
                <pic:pic>
                  <pic:nvPicPr>
                    <pic:cNvPr id="0" name="42_image42.png"/>
                    <pic:cNvPicPr/>
                  </pic:nvPicPr>
                  <pic:blipFill>
                    <a:blip r:embed="rId55"/>
                    <a:stretch>
                      <a:fillRect/>
                    </a:stretch>
                  </pic:blipFill>
                  <pic:spPr>
                    <a:xfrm>
                      <a:off x="0" y="0"/>
                      <a:ext cx="6309360" cy="3623500"/>
                    </a:xfrm>
                    <a:prstGeom prst="rect"/>
                  </pic:spPr>
                </pic:pic>
              </a:graphicData>
            </a:graphic>
          </wp:inline>
        </w:drawing>
      </w:r>
    </w:p>
    <w:p>
      <w:pPr>
        <w:pStyle w:val="Caption"/>
      </w:pPr>
      <w:r>
        <w:t>Figure 42. Anticipatory training preserves future computational reserve.</w:t>
      </w:r>
    </w:p>
    <w:p>
      <w:pPr>
        <w:pStyle w:val="Heading3"/>
      </w:pPr>
      <w:r>
        <w:t>7.3.5 The mechanism is load shaping, not simply lower total work</w:t>
      </w:r>
    </w:p>
    <w:p>
      <w:pPr>
        <w:pStyle w:val="Caption"/>
        <w:keepNext/>
      </w:pPr>
      <w:r>
        <w:t>Table 63. Concentration of hidden wear.</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332"/>
        <w:gridCol w:w="1332"/>
        <w:gridCol w:w="1332"/>
        <w:gridCol w:w="1332"/>
        <w:gridCol w:w="1332"/>
        <w:gridCol w:w="1332"/>
      </w:tblGrid>
      <w:tr>
        <w:trPr>
          <w:cantSplit/>
          <w:tblHeader/>
        </w:trPr>
        <w:tc>
          <w:tcPr>
            <w:tcW w:type="dxa" w:w="2232"/>
            <w:vAlign w:val="center"/>
            <w:shd w:fill="F2F2F2"/>
          </w:tcPr>
          <w:p>
            <w:pPr>
              <w:keepNext/>
              <w:spacing w:after="0" w:before="0" w:line="240" w:lineRule="auto"/>
            </w:pPr>
            <w:r>
              <w:rPr>
                <w:rFonts w:ascii="Calibri" w:hAnsi="Calibri"/>
                <w:b/>
                <w:sz w:val="18"/>
              </w:rPr>
              <w:t>Model</w:t>
            </w:r>
          </w:p>
        </w:tc>
        <w:tc>
          <w:tcPr>
            <w:tcW w:type="dxa" w:w="1332"/>
            <w:vAlign w:val="center"/>
            <w:shd w:fill="F2F2F2"/>
          </w:tcPr>
          <w:p>
            <w:pPr>
              <w:keepNext/>
              <w:spacing w:after="0" w:before="0" w:line="240" w:lineRule="auto"/>
            </w:pPr>
            <w:r>
              <w:rPr>
                <w:rFonts w:ascii="Calibri" w:hAnsi="Calibri"/>
                <w:b/>
                <w:sz w:val="18"/>
              </w:rPr>
              <w:t>Mean maximum wear</w:t>
            </w:r>
          </w:p>
        </w:tc>
        <w:tc>
          <w:tcPr>
            <w:tcW w:type="dxa" w:w="1332"/>
            <w:vAlign w:val="center"/>
            <w:shd w:fill="F2F2F2"/>
          </w:tcPr>
          <w:p>
            <w:pPr>
              <w:keepNext/>
              <w:spacing w:after="0" w:before="0" w:line="240" w:lineRule="auto"/>
            </w:pPr>
            <w:r>
              <w:rPr>
                <w:rFonts w:ascii="Calibri" w:hAnsi="Calibri"/>
                <w:b/>
                <w:sz w:val="18"/>
              </w:rPr>
              <w:t>Late maximum wear</w:t>
            </w:r>
          </w:p>
        </w:tc>
        <w:tc>
          <w:tcPr>
            <w:tcW w:type="dxa" w:w="1332"/>
            <w:vAlign w:val="center"/>
            <w:shd w:fill="F2F2F2"/>
          </w:tcPr>
          <w:p>
            <w:pPr>
              <w:keepNext/>
              <w:spacing w:after="0" w:before="0" w:line="240" w:lineRule="auto"/>
            </w:pPr>
            <w:r>
              <w:rPr>
                <w:rFonts w:ascii="Calibri" w:hAnsi="Calibri"/>
                <w:b/>
                <w:sz w:val="18"/>
              </w:rPr>
              <w:t>Mean wear SD across modules</w:t>
            </w:r>
          </w:p>
        </w:tc>
        <w:tc>
          <w:tcPr>
            <w:tcW w:type="dxa" w:w="1332"/>
            <w:vAlign w:val="center"/>
            <w:shd w:fill="F2F2F2"/>
          </w:tcPr>
          <w:p>
            <w:pPr>
              <w:keepNext/>
              <w:spacing w:after="0" w:before="0" w:line="240" w:lineRule="auto"/>
            </w:pPr>
            <w:r>
              <w:rPr>
                <w:rFonts w:ascii="Calibri" w:hAnsi="Calibri"/>
                <w:b/>
                <w:sz w:val="18"/>
              </w:rPr>
              <w:t>Time above q&gt;0.34</w:t>
            </w:r>
          </w:p>
        </w:tc>
        <w:tc>
          <w:tcPr>
            <w:tcW w:type="dxa" w:w="1332"/>
            <w:vAlign w:val="center"/>
            <w:shd w:fill="F2F2F2"/>
          </w:tcPr>
          <w:p>
            <w:pPr>
              <w:keepNext/>
              <w:spacing w:after="0" w:before="0" w:line="240" w:lineRule="auto"/>
            </w:pPr>
            <w:r>
              <w:rPr>
                <w:rFonts w:ascii="Calibri" w:hAnsi="Calibri"/>
                <w:b/>
                <w:sz w:val="18"/>
              </w:rPr>
              <w:t>Time above q&gt;0.38</w:t>
            </w:r>
          </w:p>
        </w:tc>
        <w:tc>
          <w:tcPr>
            <w:tcW w:type="dxa" w:w="1332"/>
            <w:vAlign w:val="center"/>
            <w:shd w:fill="F2F2F2"/>
          </w:tcPr>
          <w:p>
            <w:pPr>
              <w:keepNext/>
              <w:spacing w:after="0" w:before="0" w:line="240" w:lineRule="auto"/>
            </w:pPr>
            <w:r>
              <w:rPr>
                <w:rFonts w:ascii="Calibri" w:hAnsi="Calibri"/>
                <w:b/>
                <w:sz w:val="18"/>
              </w:rPr>
              <w:t>Mean router entropy</w:t>
            </w:r>
          </w:p>
        </w:tc>
      </w:tr>
      <w:tr>
        <w:trPr>
          <w:cantSplit/>
        </w:trPr>
        <w:tc>
          <w:tcPr>
            <w:tcW w:type="dxa" w:w="2232"/>
            <w:vAlign w:val="center"/>
          </w:tcPr>
          <w:p>
            <w:pPr>
              <w:keepNext w:val="0"/>
              <w:spacing w:after="0" w:before="0" w:line="240" w:lineRule="auto"/>
            </w:pPr>
            <w:r>
              <w:rPr>
                <w:rFonts w:ascii="Calibri" w:hAnsi="Calibri"/>
                <w:b w:val="0"/>
                <w:sz w:val="18"/>
              </w:rPr>
              <w:t>Anticipatory​Coordinator</w:t>
            </w:r>
          </w:p>
        </w:tc>
        <w:tc>
          <w:tcPr>
            <w:tcW w:type="dxa" w:w="1332"/>
            <w:vAlign w:val="center"/>
          </w:tcPr>
          <w:p>
            <w:pPr>
              <w:keepNext w:val="0"/>
              <w:spacing w:after="0" w:before="0" w:line="240" w:lineRule="auto"/>
              <w:jc w:val="right"/>
            </w:pPr>
            <w:r>
              <w:rPr>
                <w:rFonts w:ascii="Calibri" w:hAnsi="Calibri"/>
                <w:b w:val="0"/>
                <w:sz w:val="18"/>
              </w:rPr>
              <w:t>0.2063</w:t>
            </w:r>
          </w:p>
        </w:tc>
        <w:tc>
          <w:tcPr>
            <w:tcW w:type="dxa" w:w="1332"/>
            <w:vAlign w:val="center"/>
          </w:tcPr>
          <w:p>
            <w:pPr>
              <w:keepNext w:val="0"/>
              <w:spacing w:after="0" w:before="0" w:line="240" w:lineRule="auto"/>
              <w:jc w:val="right"/>
            </w:pPr>
            <w:r>
              <w:rPr>
                <w:rFonts w:ascii="Calibri" w:hAnsi="Calibri"/>
                <w:b w:val="0"/>
                <w:sz w:val="18"/>
              </w:rPr>
              <w:t>0.3141</w:t>
            </w:r>
          </w:p>
        </w:tc>
        <w:tc>
          <w:tcPr>
            <w:tcW w:type="dxa" w:w="1332"/>
            <w:vAlign w:val="center"/>
          </w:tcPr>
          <w:p>
            <w:pPr>
              <w:keepNext w:val="0"/>
              <w:spacing w:after="0" w:before="0" w:line="240" w:lineRule="auto"/>
              <w:jc w:val="right"/>
            </w:pPr>
            <w:r>
              <w:rPr>
                <w:rFonts w:ascii="Calibri" w:hAnsi="Calibri"/>
                <w:b w:val="0"/>
                <w:sz w:val="18"/>
              </w:rPr>
              <w:t>0.0801</w:t>
            </w:r>
          </w:p>
        </w:tc>
        <w:tc>
          <w:tcPr>
            <w:tcW w:type="dxa" w:w="1332"/>
            <w:vAlign w:val="center"/>
          </w:tcPr>
          <w:p>
            <w:pPr>
              <w:keepNext w:val="0"/>
              <w:spacing w:after="0" w:before="0" w:line="240" w:lineRule="auto"/>
              <w:jc w:val="right"/>
            </w:pPr>
            <w:r>
              <w:rPr>
                <w:rFonts w:ascii="Calibri" w:hAnsi="Calibri"/>
                <w:b w:val="0"/>
                <w:sz w:val="18"/>
              </w:rPr>
              <w:t>0.0331</w:t>
            </w:r>
          </w:p>
        </w:tc>
        <w:tc>
          <w:tcPr>
            <w:tcW w:type="dxa" w:w="1332"/>
            <w:vAlign w:val="center"/>
          </w:tcPr>
          <w:p>
            <w:pPr>
              <w:keepNext w:val="0"/>
              <w:spacing w:after="0" w:before="0" w:line="240" w:lineRule="auto"/>
              <w:jc w:val="right"/>
            </w:pPr>
            <w:r>
              <w:rPr>
                <w:rFonts w:ascii="Calibri" w:hAnsi="Calibri"/>
                <w:b w:val="0"/>
                <w:sz w:val="18"/>
              </w:rPr>
              <w:t>0.0087</w:t>
            </w:r>
          </w:p>
        </w:tc>
        <w:tc>
          <w:tcPr>
            <w:tcW w:type="dxa" w:w="1332"/>
            <w:vAlign w:val="center"/>
          </w:tcPr>
          <w:p>
            <w:pPr>
              <w:keepNext w:val="0"/>
              <w:spacing w:after="0" w:before="0" w:line="240" w:lineRule="auto"/>
              <w:jc w:val="right"/>
            </w:pPr>
            <w:r>
              <w:rPr>
                <w:rFonts w:ascii="Calibri" w:hAnsi="Calibri"/>
                <w:b w:val="0"/>
                <w:sz w:val="18"/>
              </w:rPr>
              <w:t>1.3277</w:t>
            </w:r>
          </w:p>
        </w:tc>
      </w:tr>
      <w:tr>
        <w:trPr>
          <w:cantSplit/>
        </w:trPr>
        <w:tc>
          <w:tcPr>
            <w:tcW w:type="dxa" w:w="2232"/>
            <w:vAlign w:val="center"/>
          </w:tcPr>
          <w:p>
            <w:pPr>
              <w:keepNext w:val="0"/>
              <w:spacing w:after="0" w:before="0" w:line="240" w:lineRule="auto"/>
            </w:pPr>
            <w:r>
              <w:rPr>
                <w:rFonts w:ascii="Calibri" w:hAnsi="Calibri"/>
                <w:b w:val="0"/>
                <w:sz w:val="18"/>
              </w:rPr>
              <w:t>Current​Availability</w:t>
            </w:r>
          </w:p>
        </w:tc>
        <w:tc>
          <w:tcPr>
            <w:tcW w:type="dxa" w:w="1332"/>
            <w:vAlign w:val="center"/>
          </w:tcPr>
          <w:p>
            <w:pPr>
              <w:keepNext w:val="0"/>
              <w:spacing w:after="0" w:before="0" w:line="240" w:lineRule="auto"/>
              <w:jc w:val="right"/>
            </w:pPr>
            <w:r>
              <w:rPr>
                <w:rFonts w:ascii="Calibri" w:hAnsi="Calibri"/>
                <w:b w:val="0"/>
                <w:sz w:val="18"/>
              </w:rPr>
              <w:t>0.3476</w:t>
            </w:r>
          </w:p>
        </w:tc>
        <w:tc>
          <w:tcPr>
            <w:tcW w:type="dxa" w:w="1332"/>
            <w:vAlign w:val="center"/>
          </w:tcPr>
          <w:p>
            <w:pPr>
              <w:keepNext w:val="0"/>
              <w:spacing w:after="0" w:before="0" w:line="240" w:lineRule="auto"/>
              <w:jc w:val="right"/>
            </w:pPr>
            <w:r>
              <w:rPr>
                <w:rFonts w:ascii="Calibri" w:hAnsi="Calibri"/>
                <w:b w:val="0"/>
                <w:sz w:val="18"/>
              </w:rPr>
              <w:t>0.4044</w:t>
            </w:r>
          </w:p>
        </w:tc>
        <w:tc>
          <w:tcPr>
            <w:tcW w:type="dxa" w:w="1332"/>
            <w:vAlign w:val="center"/>
          </w:tcPr>
          <w:p>
            <w:pPr>
              <w:keepNext w:val="0"/>
              <w:spacing w:after="0" w:before="0" w:line="240" w:lineRule="auto"/>
              <w:jc w:val="right"/>
            </w:pPr>
            <w:r>
              <w:rPr>
                <w:rFonts w:ascii="Calibri" w:hAnsi="Calibri"/>
                <w:b w:val="0"/>
                <w:sz w:val="18"/>
              </w:rPr>
              <w:t>0.1447</w:t>
            </w:r>
          </w:p>
        </w:tc>
        <w:tc>
          <w:tcPr>
            <w:tcW w:type="dxa" w:w="1332"/>
            <w:vAlign w:val="center"/>
          </w:tcPr>
          <w:p>
            <w:pPr>
              <w:keepNext w:val="0"/>
              <w:spacing w:after="0" w:before="0" w:line="240" w:lineRule="auto"/>
              <w:jc w:val="right"/>
            </w:pPr>
            <w:r>
              <w:rPr>
                <w:rFonts w:ascii="Calibri" w:hAnsi="Calibri"/>
                <w:b w:val="0"/>
                <w:sz w:val="18"/>
              </w:rPr>
              <w:t>0.1998</w:t>
            </w:r>
          </w:p>
        </w:tc>
        <w:tc>
          <w:tcPr>
            <w:tcW w:type="dxa" w:w="1332"/>
            <w:vAlign w:val="center"/>
          </w:tcPr>
          <w:p>
            <w:pPr>
              <w:keepNext w:val="0"/>
              <w:spacing w:after="0" w:before="0" w:line="240" w:lineRule="auto"/>
              <w:jc w:val="right"/>
            </w:pPr>
            <w:r>
              <w:rPr>
                <w:rFonts w:ascii="Calibri" w:hAnsi="Calibri"/>
                <w:b w:val="0"/>
                <w:sz w:val="18"/>
              </w:rPr>
              <w:t>0.1728</w:t>
            </w:r>
          </w:p>
        </w:tc>
        <w:tc>
          <w:tcPr>
            <w:tcW w:type="dxa" w:w="1332"/>
            <w:vAlign w:val="center"/>
          </w:tcPr>
          <w:p>
            <w:pPr>
              <w:keepNext w:val="0"/>
              <w:spacing w:after="0" w:before="0" w:line="240" w:lineRule="auto"/>
              <w:jc w:val="right"/>
            </w:pPr>
            <w:r>
              <w:rPr>
                <w:rFonts w:ascii="Calibri" w:hAnsi="Calibri"/>
                <w:b w:val="0"/>
                <w:sz w:val="18"/>
              </w:rPr>
              <w:t>1.1568</w:t>
            </w:r>
          </w:p>
        </w:tc>
      </w:tr>
      <w:tr>
        <w:trPr>
          <w:cantSplit/>
        </w:trPr>
        <w:tc>
          <w:tcPr>
            <w:tcW w:type="dxa" w:w="2232"/>
            <w:vAlign w:val="center"/>
          </w:tcPr>
          <w:p>
            <w:pPr>
              <w:keepNext/>
              <w:spacing w:after="0" w:before="0" w:line="240" w:lineRule="auto"/>
            </w:pPr>
            <w:r>
              <w:rPr>
                <w:rFonts w:ascii="Calibri" w:hAnsi="Calibri"/>
                <w:b w:val="0"/>
                <w:sz w:val="18"/>
              </w:rPr>
              <w:t>HistoryAware</w:t>
            </w:r>
          </w:p>
        </w:tc>
        <w:tc>
          <w:tcPr>
            <w:tcW w:type="dxa" w:w="1332"/>
            <w:vAlign w:val="center"/>
          </w:tcPr>
          <w:p>
            <w:pPr>
              <w:keepNext/>
              <w:spacing w:after="0" w:before="0" w:line="240" w:lineRule="auto"/>
              <w:jc w:val="right"/>
            </w:pPr>
            <w:r>
              <w:rPr>
                <w:rFonts w:ascii="Calibri" w:hAnsi="Calibri"/>
                <w:b w:val="0"/>
                <w:sz w:val="18"/>
              </w:rPr>
              <w:t>0.3292</w:t>
            </w:r>
          </w:p>
        </w:tc>
        <w:tc>
          <w:tcPr>
            <w:tcW w:type="dxa" w:w="1332"/>
            <w:vAlign w:val="center"/>
          </w:tcPr>
          <w:p>
            <w:pPr>
              <w:keepNext/>
              <w:spacing w:after="0" w:before="0" w:line="240" w:lineRule="auto"/>
              <w:jc w:val="right"/>
            </w:pPr>
            <w:r>
              <w:rPr>
                <w:rFonts w:ascii="Calibri" w:hAnsi="Calibri"/>
                <w:b w:val="0"/>
                <w:sz w:val="18"/>
              </w:rPr>
              <w:t>0.4012</w:t>
            </w:r>
          </w:p>
        </w:tc>
        <w:tc>
          <w:tcPr>
            <w:tcW w:type="dxa" w:w="1332"/>
            <w:vAlign w:val="center"/>
          </w:tcPr>
          <w:p>
            <w:pPr>
              <w:keepNext/>
              <w:spacing w:after="0" w:before="0" w:line="240" w:lineRule="auto"/>
              <w:jc w:val="right"/>
            </w:pPr>
            <w:r>
              <w:rPr>
                <w:rFonts w:ascii="Calibri" w:hAnsi="Calibri"/>
                <w:b w:val="0"/>
                <w:sz w:val="18"/>
              </w:rPr>
              <w:t>0.1399</w:t>
            </w:r>
          </w:p>
        </w:tc>
        <w:tc>
          <w:tcPr>
            <w:tcW w:type="dxa" w:w="1332"/>
            <w:vAlign w:val="center"/>
          </w:tcPr>
          <w:p>
            <w:pPr>
              <w:keepNext/>
              <w:spacing w:after="0" w:before="0" w:line="240" w:lineRule="auto"/>
              <w:jc w:val="right"/>
            </w:pPr>
            <w:r>
              <w:rPr>
                <w:rFonts w:ascii="Calibri" w:hAnsi="Calibri"/>
                <w:b w:val="0"/>
                <w:sz w:val="18"/>
              </w:rPr>
              <w:t>0.2271</w:t>
            </w:r>
          </w:p>
        </w:tc>
        <w:tc>
          <w:tcPr>
            <w:tcW w:type="dxa" w:w="1332"/>
            <w:vAlign w:val="center"/>
          </w:tcPr>
          <w:p>
            <w:pPr>
              <w:keepNext/>
              <w:spacing w:after="0" w:before="0" w:line="240" w:lineRule="auto"/>
              <w:jc w:val="right"/>
            </w:pPr>
            <w:r>
              <w:rPr>
                <w:rFonts w:ascii="Calibri" w:hAnsi="Calibri"/>
                <w:b w:val="0"/>
                <w:sz w:val="18"/>
              </w:rPr>
              <w:t>0.1812</w:t>
            </w:r>
          </w:p>
        </w:tc>
        <w:tc>
          <w:tcPr>
            <w:tcW w:type="dxa" w:w="1332"/>
            <w:vAlign w:val="center"/>
          </w:tcPr>
          <w:p>
            <w:pPr>
              <w:keepNext/>
              <w:spacing w:after="0" w:before="0" w:line="240" w:lineRule="auto"/>
              <w:jc w:val="right"/>
            </w:pPr>
            <w:r>
              <w:rPr>
                <w:rFonts w:ascii="Calibri" w:hAnsi="Calibri"/>
                <w:b w:val="0"/>
                <w:sz w:val="18"/>
              </w:rPr>
              <w:t>1.1521</w:t>
            </w:r>
          </w:p>
        </w:tc>
      </w:tr>
    </w:tbl>
    <w:p>
      <w:pPr>
        <w:keepLines/>
        <w:spacing w:before="60" w:after="120"/>
      </w:pPr>
      <w:r>
        <w:rPr>
          <w:sz w:val="18"/>
        </w:rPr>
        <w:t>Controlled simulation.</w:t>
      </w:r>
    </w:p>
    <w:p>
      <w:r>
        <w:t>Because collapse is thresholded per effector, local concentration of wear matters more than mean wear alone. Relative to HistoryAware, AnticipatoryCoordinator reduces the fraction of effector-time above q&gt;0.34 by 85.4% and late maximum hidden wear by 21.7%. The result is best described as intertemporal load shaping: work is distributed so fewer local effectors cross the delayed failure threshold.</w:t>
      </w:r>
    </w:p>
    <w:p>
      <w:pPr>
        <w:pStyle w:val="Heading3"/>
      </w:pPr>
      <w:r>
        <w:t>7.3.6 Hidden-body-state audit</w:t>
      </w:r>
    </w:p>
    <w:p>
      <w:pPr>
        <w:pStyle w:val="Caption"/>
        <w:keepNext/>
      </w:pPr>
      <w:r>
        <w:t>Table 64. Hidden-wear probes.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Model</w:t>
            </w:r>
          </w:p>
        </w:tc>
        <w:tc>
          <w:tcPr>
            <w:tcW w:type="dxa" w:w="3240"/>
            <w:vAlign w:val="center"/>
            <w:shd w:fill="F2F2F2"/>
          </w:tcPr>
          <w:p>
            <w:pPr>
              <w:keepNext/>
              <w:spacing w:after="0" w:before="0" w:line="240" w:lineRule="auto"/>
            </w:pPr>
            <w:r>
              <w:rPr>
                <w:rFonts w:ascii="Calibri" w:hAnsi="Calibri"/>
                <w:b/>
                <w:sz w:val="19"/>
              </w:rPr>
              <w:t>Wear R² from history state</w:t>
            </w:r>
          </w:p>
        </w:tc>
        <w:tc>
          <w:tcPr>
            <w:tcW w:type="dxa" w:w="3240"/>
            <w:vAlign w:val="center"/>
            <w:shd w:fill="F2F2F2"/>
          </w:tcPr>
          <w:p>
            <w:pPr>
              <w:keepNext/>
              <w:spacing w:after="0" w:before="0" w:line="240" w:lineRule="auto"/>
            </w:pPr>
            <w:r>
              <w:rPr>
                <w:rFonts w:ascii="Calibri" w:hAnsi="Calibri"/>
                <w:b/>
                <w:sz w:val="19"/>
              </w:rPr>
              <w:t>Wear R² from current availability</w:t>
            </w:r>
          </w:p>
        </w:tc>
      </w:tr>
      <w:tr>
        <w:trPr>
          <w:cantSplit/>
        </w:trPr>
        <w:tc>
          <w:tcPr>
            <w:tcW w:type="dxa" w:w="3744"/>
            <w:vAlign w:val="center"/>
          </w:tcPr>
          <w:p>
            <w:pPr>
              <w:keepNext w:val="0"/>
              <w:spacing w:after="0" w:before="0" w:line="240" w:lineRule="auto"/>
            </w:pPr>
            <w:r>
              <w:rPr>
                <w:rFonts w:ascii="Calibri" w:hAnsi="Calibri"/>
                <w:b w:val="0"/>
                <w:sz w:val="19"/>
              </w:rPr>
              <w:t>Anticipatory​Coordinator</w:t>
            </w:r>
          </w:p>
        </w:tc>
        <w:tc>
          <w:tcPr>
            <w:tcW w:type="dxa" w:w="3240"/>
            <w:vAlign w:val="center"/>
          </w:tcPr>
          <w:p>
            <w:pPr>
              <w:keepNext w:val="0"/>
              <w:spacing w:after="0" w:before="0" w:line="240" w:lineRule="auto"/>
              <w:jc w:val="right"/>
            </w:pPr>
            <w:r>
              <w:rPr>
                <w:rFonts w:ascii="Calibri" w:hAnsi="Calibri"/>
                <w:b w:val="0"/>
                <w:sz w:val="19"/>
              </w:rPr>
              <w:t>0.4232</w:t>
            </w:r>
          </w:p>
        </w:tc>
        <w:tc>
          <w:tcPr>
            <w:tcW w:type="dxa" w:w="3240"/>
            <w:vAlign w:val="center"/>
          </w:tcPr>
          <w:p>
            <w:pPr>
              <w:keepNext w:val="0"/>
              <w:spacing w:after="0" w:before="0" w:line="240" w:lineRule="auto"/>
              <w:jc w:val="right"/>
            </w:pPr>
            <w:r>
              <w:rPr>
                <w:rFonts w:ascii="Calibri" w:hAnsi="Calibri"/>
                <w:b w:val="0"/>
                <w:sz w:val="19"/>
              </w:rPr>
              <w:t>0.1786</w:t>
            </w:r>
          </w:p>
        </w:tc>
      </w:tr>
      <w:tr>
        <w:trPr>
          <w:cantSplit/>
        </w:trPr>
        <w:tc>
          <w:tcPr>
            <w:tcW w:type="dxa" w:w="3744"/>
            <w:vAlign w:val="center"/>
          </w:tcPr>
          <w:p>
            <w:pPr>
              <w:keepNext/>
              <w:spacing w:after="0" w:before="0" w:line="240" w:lineRule="auto"/>
            </w:pPr>
            <w:r>
              <w:rPr>
                <w:rFonts w:ascii="Calibri" w:hAnsi="Calibri"/>
                <w:b w:val="0"/>
                <w:sz w:val="19"/>
              </w:rPr>
              <w:t>HistoryAware</w:t>
            </w:r>
          </w:p>
        </w:tc>
        <w:tc>
          <w:tcPr>
            <w:tcW w:type="dxa" w:w="3240"/>
            <w:vAlign w:val="center"/>
          </w:tcPr>
          <w:p>
            <w:pPr>
              <w:keepNext/>
              <w:spacing w:after="0" w:before="0" w:line="240" w:lineRule="auto"/>
              <w:jc w:val="right"/>
            </w:pPr>
            <w:r>
              <w:rPr>
                <w:rFonts w:ascii="Calibri" w:hAnsi="Calibri"/>
                <w:b w:val="0"/>
                <w:sz w:val="19"/>
              </w:rPr>
              <w:t>0.3707</w:t>
            </w:r>
          </w:p>
        </w:tc>
        <w:tc>
          <w:tcPr>
            <w:tcW w:type="dxa" w:w="3240"/>
            <w:vAlign w:val="center"/>
          </w:tcPr>
          <w:p>
            <w:pPr>
              <w:keepNext/>
              <w:spacing w:after="0" w:before="0" w:line="240" w:lineRule="auto"/>
              <w:jc w:val="right"/>
            </w:pPr>
            <w:r>
              <w:rPr>
                <w:rFonts w:ascii="Calibri" w:hAnsi="Calibri"/>
                <w:b w:val="0"/>
                <w:sz w:val="19"/>
              </w:rPr>
              <w:t>0.3614</w:t>
            </w:r>
          </w:p>
        </w:tc>
      </w:tr>
    </w:tbl>
    <w:p>
      <w:pPr>
        <w:keepLines/>
        <w:spacing w:before="60" w:after="120"/>
      </w:pPr>
      <w:r>
        <w:rPr>
          <w:sz w:val="18"/>
        </w:rPr>
        <w:t>Controlled simulation. Higher probe R² indicates more decodable target-state information.</w:t>
      </w:r>
    </w:p>
    <w:p>
      <w:r>
        <w:t>For AnticipatoryCoordinator, the recurrent coordination state decodes hidden wear at R²≈0.423, whereas current availability alone reaches only R²≈0.179. The corrected experiment therefore succeeds at the intended sufficiency manipulation. HistoryAware also contains some hidden-wear information, but state estimation and planning remain separate problems: knowing a risky body state is not equivalent to learning what action to take because of its future consequences.</w:t>
      </w:r>
    </w:p>
    <w:p>
      <w:pPr>
        <w:pStyle w:val="Heading3"/>
      </w:pPr>
      <w:r>
        <w:t>7.3.7 Matched-history probe</w:t>
      </w:r>
    </w:p>
    <w:p>
      <w:pPr>
        <w:pStyle w:val="Caption"/>
        <w:keepNext/>
      </w:pPr>
      <w:r>
        <w:t>Table 65. Matched-current-state history intervention.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998"/>
        <w:gridCol w:w="1998"/>
        <w:gridCol w:w="1998"/>
        <w:gridCol w:w="1998"/>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1998"/>
            <w:vAlign w:val="center"/>
            <w:shd w:fill="F2F2F2"/>
          </w:tcPr>
          <w:p>
            <w:pPr>
              <w:keepNext/>
              <w:spacing w:after="0" w:before="0" w:line="240" w:lineRule="auto"/>
            </w:pPr>
            <w:r>
              <w:rPr>
                <w:rFonts w:ascii="Calibri" w:hAnsi="Calibri"/>
                <w:b/>
                <w:sz w:val="19"/>
              </w:rPr>
              <w:t>Module 0 weight after heavy history</w:t>
            </w:r>
          </w:p>
        </w:tc>
        <w:tc>
          <w:tcPr>
            <w:tcW w:type="dxa" w:w="1998"/>
            <w:vAlign w:val="center"/>
            <w:shd w:fill="F2F2F2"/>
          </w:tcPr>
          <w:p>
            <w:pPr>
              <w:keepNext/>
              <w:spacing w:after="0" w:before="0" w:line="240" w:lineRule="auto"/>
            </w:pPr>
            <w:r>
              <w:rPr>
                <w:rFonts w:ascii="Calibri" w:hAnsi="Calibri"/>
                <w:b/>
                <w:sz w:val="19"/>
              </w:rPr>
              <w:t>Module 0 weight after balanced history</w:t>
            </w:r>
          </w:p>
        </w:tc>
        <w:tc>
          <w:tcPr>
            <w:tcW w:type="dxa" w:w="1998"/>
            <w:vAlign w:val="center"/>
            <w:shd w:fill="F2F2F2"/>
          </w:tcPr>
          <w:p>
            <w:pPr>
              <w:keepNext/>
              <w:spacing w:after="0" w:before="0" w:line="240" w:lineRule="auto"/>
            </w:pPr>
            <w:r>
              <w:rPr>
                <w:rFonts w:ascii="Calibri" w:hAnsi="Calibri"/>
                <w:b/>
                <w:sz w:val="19"/>
              </w:rPr>
              <w:t>Avoidance of module 0</w:t>
            </w:r>
          </w:p>
        </w:tc>
        <w:tc>
          <w:tcPr>
            <w:tcW w:type="dxa" w:w="1998"/>
            <w:vAlign w:val="center"/>
            <w:shd w:fill="F2F2F2"/>
          </w:tcPr>
          <w:p>
            <w:pPr>
              <w:keepNext/>
              <w:spacing w:after="0" w:before="0" w:line="240" w:lineRule="auto"/>
            </w:pPr>
            <w:r>
              <w:rPr>
                <w:rFonts w:ascii="Calibri" w:hAnsi="Calibri"/>
                <w:b/>
                <w:sz w:val="19"/>
              </w:rPr>
              <w:t>Routing L1 change</w:t>
            </w:r>
          </w:p>
        </w:tc>
      </w:tr>
      <w:tr>
        <w:trPr>
          <w:cantSplit/>
        </w:trPr>
        <w:tc>
          <w:tcPr>
            <w:tcW w:type="dxa" w:w="2232"/>
            <w:vAlign w:val="center"/>
          </w:tcPr>
          <w:p>
            <w:pPr>
              <w:keepNext w:val="0"/>
              <w:spacing w:after="0" w:before="0" w:line="240" w:lineRule="auto"/>
            </w:pPr>
            <w:r>
              <w:rPr>
                <w:rFonts w:ascii="Calibri" w:hAnsi="Calibri"/>
                <w:b w:val="0"/>
                <w:sz w:val="19"/>
              </w:rPr>
              <w:t>Anticipatory​Coordinator</w:t>
            </w:r>
          </w:p>
        </w:tc>
        <w:tc>
          <w:tcPr>
            <w:tcW w:type="dxa" w:w="1998"/>
            <w:vAlign w:val="center"/>
          </w:tcPr>
          <w:p>
            <w:pPr>
              <w:keepNext w:val="0"/>
              <w:spacing w:after="0" w:before="0" w:line="240" w:lineRule="auto"/>
              <w:jc w:val="right"/>
            </w:pPr>
            <w:r>
              <w:rPr>
                <w:rFonts w:ascii="Calibri" w:hAnsi="Calibri"/>
                <w:b w:val="0"/>
                <w:sz w:val="19"/>
              </w:rPr>
              <w:t>0.2460</w:t>
            </w:r>
          </w:p>
        </w:tc>
        <w:tc>
          <w:tcPr>
            <w:tcW w:type="dxa" w:w="1998"/>
            <w:vAlign w:val="center"/>
          </w:tcPr>
          <w:p>
            <w:pPr>
              <w:keepNext w:val="0"/>
              <w:spacing w:after="0" w:before="0" w:line="240" w:lineRule="auto"/>
              <w:jc w:val="right"/>
            </w:pPr>
            <w:r>
              <w:rPr>
                <w:rFonts w:ascii="Calibri" w:hAnsi="Calibri"/>
                <w:b w:val="0"/>
                <w:sz w:val="19"/>
              </w:rPr>
              <w:t>0.2493</w:t>
            </w:r>
          </w:p>
        </w:tc>
        <w:tc>
          <w:tcPr>
            <w:tcW w:type="dxa" w:w="1998"/>
            <w:vAlign w:val="center"/>
          </w:tcPr>
          <w:p>
            <w:pPr>
              <w:keepNext w:val="0"/>
              <w:spacing w:after="0" w:before="0" w:line="240" w:lineRule="auto"/>
              <w:jc w:val="right"/>
            </w:pPr>
            <w:r>
              <w:rPr>
                <w:rFonts w:ascii="Calibri" w:hAnsi="Calibri"/>
                <w:b w:val="0"/>
                <w:sz w:val="19"/>
              </w:rPr>
              <w:t>0.0033</w:t>
            </w:r>
          </w:p>
        </w:tc>
        <w:tc>
          <w:tcPr>
            <w:tcW w:type="dxa" w:w="1998"/>
            <w:vAlign w:val="center"/>
          </w:tcPr>
          <w:p>
            <w:pPr>
              <w:keepNext w:val="0"/>
              <w:spacing w:after="0" w:before="0" w:line="240" w:lineRule="auto"/>
              <w:jc w:val="right"/>
            </w:pPr>
            <w:r>
              <w:rPr>
                <w:rFonts w:ascii="Calibri" w:hAnsi="Calibri"/>
                <w:b w:val="0"/>
                <w:sz w:val="19"/>
              </w:rPr>
              <w:t>0.0254</w:t>
            </w:r>
          </w:p>
        </w:tc>
      </w:tr>
      <w:tr>
        <w:trPr>
          <w:cantSplit/>
        </w:trPr>
        <w:tc>
          <w:tcPr>
            <w:tcW w:type="dxa" w:w="2232"/>
            <w:vAlign w:val="center"/>
          </w:tcPr>
          <w:p>
            <w:pPr>
              <w:keepNext/>
              <w:spacing w:after="0" w:before="0" w:line="240" w:lineRule="auto"/>
            </w:pPr>
            <w:r>
              <w:rPr>
                <w:rFonts w:ascii="Calibri" w:hAnsi="Calibri"/>
                <w:b w:val="0"/>
                <w:sz w:val="19"/>
              </w:rPr>
              <w:t>HistoryAware</w:t>
            </w:r>
          </w:p>
        </w:tc>
        <w:tc>
          <w:tcPr>
            <w:tcW w:type="dxa" w:w="1998"/>
            <w:vAlign w:val="center"/>
          </w:tcPr>
          <w:p>
            <w:pPr>
              <w:keepNext/>
              <w:spacing w:after="0" w:before="0" w:line="240" w:lineRule="auto"/>
              <w:jc w:val="right"/>
            </w:pPr>
            <w:r>
              <w:rPr>
                <w:rFonts w:ascii="Calibri" w:hAnsi="Calibri"/>
                <w:b w:val="0"/>
                <w:sz w:val="19"/>
              </w:rPr>
              <w:t>0.2907</w:t>
            </w:r>
          </w:p>
        </w:tc>
        <w:tc>
          <w:tcPr>
            <w:tcW w:type="dxa" w:w="1998"/>
            <w:vAlign w:val="center"/>
          </w:tcPr>
          <w:p>
            <w:pPr>
              <w:keepNext/>
              <w:spacing w:after="0" w:before="0" w:line="240" w:lineRule="auto"/>
              <w:jc w:val="right"/>
            </w:pPr>
            <w:r>
              <w:rPr>
                <w:rFonts w:ascii="Calibri" w:hAnsi="Calibri"/>
                <w:b w:val="0"/>
                <w:sz w:val="19"/>
              </w:rPr>
              <w:t>0.2896</w:t>
            </w:r>
          </w:p>
        </w:tc>
        <w:tc>
          <w:tcPr>
            <w:tcW w:type="dxa" w:w="1998"/>
            <w:vAlign w:val="center"/>
          </w:tcPr>
          <w:p>
            <w:pPr>
              <w:keepNext/>
              <w:spacing w:after="0" w:before="0" w:line="240" w:lineRule="auto"/>
              <w:jc w:val="right"/>
            </w:pPr>
            <w:r>
              <w:rPr>
                <w:rFonts w:ascii="Calibri" w:hAnsi="Calibri"/>
                <w:b w:val="0"/>
                <w:sz w:val="19"/>
              </w:rPr>
              <w:t>-0.0010</w:t>
            </w:r>
          </w:p>
        </w:tc>
        <w:tc>
          <w:tcPr>
            <w:tcW w:type="dxa" w:w="1998"/>
            <w:vAlign w:val="center"/>
          </w:tcPr>
          <w:p>
            <w:pPr>
              <w:keepNext/>
              <w:spacing w:after="0" w:before="0" w:line="240" w:lineRule="auto"/>
              <w:jc w:val="right"/>
            </w:pPr>
            <w:r>
              <w:rPr>
                <w:rFonts w:ascii="Calibri" w:hAnsi="Calibri"/>
                <w:b w:val="0"/>
                <w:sz w:val="19"/>
              </w:rPr>
              <w:t>0.0184</w:t>
            </w:r>
          </w:p>
        </w:tc>
      </w:tr>
    </w:tbl>
    <w:p>
      <w:pPr>
        <w:keepLines/>
        <w:spacing w:before="60" w:after="120"/>
      </w:pPr>
      <w:r>
        <w:rPr>
          <w:sz w:val="18"/>
        </w:rPr>
        <w:t>Controlled simulation.</w:t>
      </w:r>
    </w:p>
    <w:p>
      <w:r>
        <w:t>The probe holds current task inputs and availability fixed and varies previous load history. AnticipatoryCoordinator changes its routing distribution more strongly and slightly reduces module-0 recruitment after concentrated module-0 use. The modest effect supports history dependence but does not establish exact recovery of the simulator wear variable q.</w:t>
      </w:r>
    </w:p>
    <w:p>
      <w:pPr>
        <w:pStyle w:val="Heading3"/>
      </w:pPr>
      <w:r>
        <w:t>7.3.8 Discussion of intertemporal resource allocation</w:t>
      </w:r>
    </w:p>
    <w:p>
      <w:r>
        <w:t>Experiments 015, 016 and 017 separately test compensation after module removal, reaction to current availability and anticipation of delayed depletion. In the third construction, present routing changes the capacity available later, making a sequence-level resource objective relevant.</w:t>
      </w:r>
    </w:p>
    <w:p>
      <w:r>
        <w:t>In an applied computing system, a similar dependency could involve future latency, thermal state, queue pressure, quotas or memory. These examples describe potential resource dynamics; the measured result here uses the specified wear simulator.</w:t>
      </w:r>
    </w:p>
    <w:p>
      <w:r>
        <w:t>Evaluate both future prediction error and the resource state left by current computation.</w:t>
      </w:r>
    </w:p>
    <w:p>
      <w:r>
        <w:t>The matched comparison supports training a coordinator through delayed resource consequences when such dynamics are part of the task. It is a specific resource-allocation result, not a general account of intelligence or reasoning.</w:t>
      </w:r>
    </w:p>
    <w:p>
      <w:pPr>
        <w:pStyle w:val="Heading3"/>
      </w:pPr>
      <w:r>
        <w:t>7.3.9 Training implications</w:t>
      </w:r>
    </w:p>
    <w:p>
      <w:r>
        <w:t>1. Run a future-sufficiency test on runtime resource telemetry. If current availability predicts future capacity, longer body memory is unnecessary; if delayed degradation remains, recurrent state becomes justified.</w:t>
      </w:r>
    </w:p>
    <w:p>
      <w:r>
        <w:t>2. Train through resource dynamics when current routing changes future compute health. Myopic dropout or IID availability augmentation cannot by itself teach the cost of spending future capacity.</w:t>
      </w:r>
    </w:p>
    <w:p>
      <w:r>
        <w:t>3. Use sequence-level and late-horizon objectives. Immediate prediction rewards consuming the strongest available expert; late-weighted losses expose delayed coordination failures.</w:t>
      </w:r>
    </w:p>
    <w:p>
      <w:r>
        <w:t>4. Separate body-state estimation from body planning. A recurrent state may infer hidden wear without learning to conserve capacity; same-architecture training-contract ablations should test these separately.</w:t>
      </w:r>
    </w:p>
    <w:p>
      <w:r>
        <w:t>5. Penalize local threshold risk, not only mean utilization. The current result is driven by reducing high-wear tails; mean load balance can miss catastrophic concentration.</w:t>
      </w:r>
    </w:p>
    <w:p>
      <w:r>
        <w:t>6. Report reserve metrics with task metrics: late-horizon error, final availability, maximum per-effector wear and the fraction of effector-time above a failure-risk threshold.</w:t>
      </w:r>
    </w:p>
    <w:p>
      <w:r>
        <w:t>7. Use matched-current-state / different-history probes. They reveal whether a router decision depends on future-relevant body history rather than only current task demand.</w:t>
      </w:r>
    </w:p>
    <w:p>
      <w:r>
        <w:t>8. Expose direct telemetry when available. Thermal sensors, queue backlog, rate-limit remaining or memory pressure may be cheaper and more reliable than forcing a recurrent model to infer them indirectly.</w:t>
      </w:r>
    </w:p>
    <w:p>
      <w:r>
        <w:t>9. For distributed MoE systems, treat compute scheduling as intertemporal control. Routing can affect later server health, cache state, queue length, network congestion or expert availability.</w:t>
      </w:r>
    </w:p>
    <w:p>
      <w:r>
        <w:t>10. Match the perturbation schedule to the measured resource process. Experiments 015–017 distinguish module removal, observed capacity and hidden delayed depletion.</w:t>
      </w:r>
    </w:p>
    <w:p>
      <w:pPr>
        <w:pStyle w:val="Heading3"/>
      </w:pPr>
      <w:r>
        <w:t>7.3.10 Results synthesis</w:t>
      </w:r>
    </w:p>
    <w:p>
      <w:r>
        <w:t>The positive result is not that recurrent routing is intrinsically superior. HistoryAware and AnticipatoryCoordinator share the same recurrent architecture. The advantage appears when training makes present routing responsible for delayed future body degradation.</w:t>
      </w:r>
    </w:p>
    <w:p>
      <w:r>
        <w:t>State estimation and training through delayed consequences make separate contributions to resource-aware prediction.</w:t>
      </w:r>
    </w:p>
    <w:p>
      <w:pPr>
        <w:pStyle w:val="Heading3"/>
      </w:pPr>
      <w:r>
        <w:t>7.3.11 Evidence records</w:t>
      </w:r>
    </w:p>
    <w:p>
      <w:pPr>
        <w:spacing w:after="40"/>
      </w:pPr>
      <w:r>
        <w:rPr>
          <w:sz w:val="18"/>
        </w:rPr>
        <w:t>ANTICIPATORY_​COORDINATION_​017_​CORRECTED_​bundle.zip</w:t>
      </w:r>
    </w:p>
    <w:p>
      <w:pPr>
        <w:spacing w:after="40"/>
      </w:pPr>
      <w:r>
        <w:rPr>
          <w:sz w:val="18"/>
        </w:rPr>
        <w:t>ANTICIPATORY_​COORDINATION_​017_​CORRECTED/​summary.csv</w:t>
      </w:r>
    </w:p>
    <w:p>
      <w:pPr>
        <w:spacing w:after="40"/>
      </w:pPr>
      <w:r>
        <w:rPr>
          <w:sz w:val="18"/>
        </w:rPr>
        <w:t>ANTICIPATORY_​COORDINATION_​017_​CORRECTED/​hidden_​wear_​probe_​summary.csv</w:t>
      </w:r>
    </w:p>
    <w:p>
      <w:pPr>
        <w:spacing w:after="40"/>
      </w:pPr>
      <w:r>
        <w:rPr>
          <w:sz w:val="18"/>
        </w:rPr>
        <w:t>ANTICIPATORY_​COORDINATION_​017_​CORRECTED/​wear_​distribution_​summary.csv</w:t>
      </w:r>
    </w:p>
    <w:p>
      <w:pPr>
        <w:spacing w:after="40"/>
      </w:pPr>
      <w:r>
        <w:rPr>
          <w:sz w:val="18"/>
        </w:rPr>
        <w:t>ANTICIPATORY_​COORDINATION_​017_​CORRECTED/​matched_​history_​probe_​summary.csv</w:t>
      </w:r>
    </w:p>
    <w:p>
      <w:pPr>
        <w:spacing w:after="40"/>
      </w:pPr>
      <w:r>
        <w:rPr>
          <w:sz w:val="18"/>
        </w:rPr>
        <w:t>ANTICIPATORY_​COORDINATION_​017_​CORRECTED/​anticipatory_​vs_​history_​direct.csv</w:t>
      </w:r>
    </w:p>
    <w:p>
      <w:pPr>
        <w:spacing w:after="40"/>
      </w:pPr>
      <w:r>
        <w:rPr>
          <w:sz w:val="18"/>
        </w:rPr>
        <w:t>ANTICIPATORY_​COORDINATION_​017_​CORRECTED/​mse_​timecourse.png</w:t>
      </w:r>
    </w:p>
    <w:p>
      <w:pPr>
        <w:spacing w:after="40"/>
      </w:pPr>
      <w:r>
        <w:rPr>
          <w:sz w:val="18"/>
        </w:rPr>
        <w:t>ANTICIPATORY_​COORDINATION_​017_​CORRECTED/​availability_​timecourse.png</w:t>
      </w:r>
    </w:p>
    <w:p>
      <w:pPr>
        <w:pStyle w:val="Heading2"/>
      </w:pPr>
      <w:r>
        <w:t>7.4 COMPUTATIONAL-BODY-WORLD-MODEL-018B Integrated resource-aware prediction</w:t>
      </w:r>
    </w:p>
    <w:p>
      <w:r>
        <w:t>The integrated prototype combines the mechanisms evaluated in 015–017 within an autoregressive state predictor: predictive state, resource state, conditional coordination and overlapping local modules. Evaluation concerns generation of the fixed target trajectory under internal resource perturbations.</w:t>
      </w:r>
    </w:p>
    <w:p>
      <w:pPr>
        <w:pStyle w:val="Heading3"/>
      </w:pPr>
      <w:r>
        <w:t>7.4.1 Architecture</w:t>
      </w:r>
    </w:p>
    <w:p>
      <w:r>
        <w:t>The prototype combines four mechanisms that had previously been tested separately:</w:t>
      </w:r>
    </w:p>
    <w:p>
      <w:pPr>
        <w:pStyle w:val="ListBullet"/>
      </w:pPr>
      <w:r>
        <w:t>a recurrent predictive state that carries the history needed to generate the next world;</w:t>
      </w:r>
    </w:p>
    <w:p>
      <w:pPr>
        <w:pStyle w:val="ListBullet"/>
      </w:pPr>
      <w:r>
        <w:t>a deliberately low-rank shared transition path for global/common dynamics;</w:t>
      </w:r>
    </w:p>
    <w:p>
      <w:pPr>
        <w:pStyle w:val="ListBullet"/>
      </w:pPr>
      <w:r>
        <w:t>four overlapping local effectors that carry most nonlinear transition capacity;</w:t>
      </w:r>
    </w:p>
    <w:p>
      <w:pPr>
        <w:pStyle w:val="ListBullet"/>
      </w:pPr>
      <w:r>
        <w:t>a coordination field that can condition on the world state and, in the full ComputationalBody version, on availability and recurrent body history.</w:t>
      </w:r>
    </w:p>
    <w:p>
      <w:r>
        <w:t>history → predictive world state → body state → coordination field → overlapping effectors → next world</w:t>
      </w:r>
    </w:p>
    <w:p>
      <w:pPr>
        <w:pStyle w:val="Heading3"/>
      </w:pPr>
      <w:r>
        <w:t>7.4.2 Controls for shared-path capacity and perturbation conditions</w:t>
      </w:r>
    </w:p>
    <w:p>
      <w:r>
        <w:t>A pilot had an overly capable shared backbone and identical healthy and depletion evaluation paths. The reported 018B comparison uses a rank-3 shared path and distinct healthy, depletion and module-removal resource dynamics. These controls make local module contribution and perturbation response separately measurable.</w:t>
      </w:r>
    </w:p>
    <w:p>
      <w:pPr>
        <w:pStyle w:val="Heading3"/>
      </w:pPr>
      <w:r>
        <w:t>7.4.3 Autoregressive world-generation result</w:t>
      </w:r>
    </w:p>
    <w:p>
      <w:r>
        <w:t>Each model receives four true initial frames and generates the next 16 autoregressively. All conditions use the same target trajectory; the intervention changes only the model's internal computational resources.</w:t>
      </w:r>
    </w:p>
    <w:p>
      <w:pPr>
        <w:pStyle w:val="Caption"/>
        <w:keepNext/>
      </w:pPr>
      <w:r>
        <w:t>Table 66. Autoregressive prediction under internal perturbations.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998"/>
        <w:gridCol w:w="1998"/>
        <w:gridCol w:w="1998"/>
        <w:gridCol w:w="1998"/>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1998"/>
            <w:vAlign w:val="center"/>
            <w:shd w:fill="F2F2F2"/>
          </w:tcPr>
          <w:p>
            <w:pPr>
              <w:keepNext/>
              <w:spacing w:after="0" w:before="0" w:line="240" w:lineRule="auto"/>
            </w:pPr>
            <w:r>
              <w:rPr>
                <w:rFonts w:ascii="Calibri" w:hAnsi="Calibri"/>
                <w:b/>
                <w:sz w:val="19"/>
              </w:rPr>
              <w:t>Body condition</w:t>
            </w:r>
          </w:p>
        </w:tc>
        <w:tc>
          <w:tcPr>
            <w:tcW w:type="dxa" w:w="1998"/>
            <w:vAlign w:val="center"/>
            <w:shd w:fill="F2F2F2"/>
          </w:tcPr>
          <w:p>
            <w:pPr>
              <w:keepNext/>
              <w:spacing w:after="0" w:before="0" w:line="240" w:lineRule="auto"/>
            </w:pPr>
            <w:r>
              <w:rPr>
                <w:rFonts w:ascii="Calibri" w:hAnsi="Calibri"/>
                <w:b/>
                <w:sz w:val="19"/>
              </w:rPr>
              <w:t>Mean rollout MSE</w:t>
            </w:r>
          </w:p>
        </w:tc>
        <w:tc>
          <w:tcPr>
            <w:tcW w:type="dxa" w:w="1998"/>
            <w:vAlign w:val="center"/>
            <w:shd w:fill="F2F2F2"/>
          </w:tcPr>
          <w:p>
            <w:pPr>
              <w:keepNext/>
              <w:spacing w:after="0" w:before="0" w:line="240" w:lineRule="auto"/>
            </w:pPr>
            <w:r>
              <w:rPr>
                <w:rFonts w:ascii="Calibri" w:hAnsi="Calibri"/>
                <w:b/>
                <w:sz w:val="19"/>
              </w:rPr>
              <w:t>Late MSE</w:t>
            </w:r>
          </w:p>
        </w:tc>
        <w:tc>
          <w:tcPr>
            <w:tcW w:type="dxa" w:w="1998"/>
            <w:vAlign w:val="center"/>
            <w:shd w:fill="F2F2F2"/>
          </w:tcPr>
          <w:p>
            <w:pPr>
              <w:keepNext/>
              <w:spacing w:after="0" w:before="0" w:line="240" w:lineRule="auto"/>
            </w:pPr>
            <w:r>
              <w:rPr>
                <w:rFonts w:ascii="Calibri" w:hAnsi="Calibri"/>
                <w:b/>
                <w:sz w:val="19"/>
              </w:rPr>
              <w:t>Final availability</w:t>
            </w:r>
          </w:p>
        </w:tc>
      </w:tr>
      <w:tr>
        <w:trPr>
          <w:cantSplit/>
        </w:trPr>
        <w:tc>
          <w:tcPr>
            <w:tcW w:type="dxa" w:w="2232"/>
            <w:vAlign w:val="center"/>
          </w:tcPr>
          <w:p>
            <w:pPr>
              <w:keepNext w:val="0"/>
              <w:spacing w:after="0" w:before="0" w:line="240" w:lineRule="auto"/>
            </w:pPr>
            <w:r>
              <w:rPr>
                <w:rFonts w:ascii="Calibri" w:hAnsi="Calibri"/>
                <w:b w:val="0"/>
                <w:sz w:val="19"/>
              </w:rPr>
              <w:t>DenseWorld</w:t>
            </w:r>
          </w:p>
        </w:tc>
        <w:tc>
          <w:tcPr>
            <w:tcW w:type="dxa" w:w="1998"/>
            <w:vAlign w:val="center"/>
          </w:tcPr>
          <w:p>
            <w:pPr>
              <w:keepNext w:val="0"/>
              <w:spacing w:after="0" w:before="0" w:line="240" w:lineRule="auto"/>
            </w:pPr>
            <w:r>
              <w:rPr>
                <w:rFonts w:ascii="Calibri" w:hAnsi="Calibri"/>
                <w:b w:val="0"/>
                <w:sz w:val="19"/>
              </w:rPr>
              <w:t>healthy</w:t>
            </w:r>
          </w:p>
        </w:tc>
        <w:tc>
          <w:tcPr>
            <w:tcW w:type="dxa" w:w="1998"/>
            <w:vAlign w:val="center"/>
          </w:tcPr>
          <w:p>
            <w:pPr>
              <w:keepNext w:val="0"/>
              <w:spacing w:after="0" w:before="0" w:line="240" w:lineRule="auto"/>
              <w:jc w:val="right"/>
            </w:pPr>
            <w:r>
              <w:rPr>
                <w:rFonts w:ascii="Calibri" w:hAnsi="Calibri"/>
                <w:b w:val="0"/>
                <w:sz w:val="19"/>
              </w:rPr>
              <w:t>0.0987</w:t>
            </w:r>
          </w:p>
        </w:tc>
        <w:tc>
          <w:tcPr>
            <w:tcW w:type="dxa" w:w="1998"/>
            <w:vAlign w:val="center"/>
          </w:tcPr>
          <w:p>
            <w:pPr>
              <w:keepNext w:val="0"/>
              <w:spacing w:after="0" w:before="0" w:line="240" w:lineRule="auto"/>
              <w:jc w:val="right"/>
            </w:pPr>
            <w:r>
              <w:rPr>
                <w:rFonts w:ascii="Calibri" w:hAnsi="Calibri"/>
                <w:b w:val="0"/>
                <w:sz w:val="19"/>
              </w:rPr>
              <w:t>0.1358</w:t>
            </w:r>
          </w:p>
        </w:tc>
        <w:tc>
          <w:tcPr>
            <w:tcW w:type="dxa" w:w="1998"/>
            <w:vAlign w:val="center"/>
          </w:tcPr>
          <w:p>
            <w:pPr>
              <w:keepNext w:val="0"/>
              <w:spacing w:after="0" w:before="0" w:line="240" w:lineRule="auto"/>
              <w:jc w:val="right"/>
            </w:pPr>
            <w:r>
              <w:rPr>
                <w:rFonts w:ascii="Calibri" w:hAnsi="Calibri"/>
                <w:b w:val="0"/>
                <w:sz w:val="19"/>
              </w:rPr>
              <w:t>-</w:t>
            </w:r>
          </w:p>
        </w:tc>
      </w:tr>
      <w:tr>
        <w:trPr>
          <w:cantSplit/>
        </w:trPr>
        <w:tc>
          <w:tcPr>
            <w:tcW w:type="dxa" w:w="2232"/>
            <w:vAlign w:val="center"/>
          </w:tcPr>
          <w:p>
            <w:pPr>
              <w:keepNext w:val="0"/>
              <w:spacing w:after="0" w:before="0" w:line="240" w:lineRule="auto"/>
            </w:pPr>
            <w:r>
              <w:rPr>
                <w:rFonts w:ascii="Calibri" w:hAnsi="Calibri"/>
                <w:b w:val="0"/>
                <w:sz w:val="19"/>
              </w:rPr>
              <w:t>DenseWorld</w:t>
            </w:r>
          </w:p>
        </w:tc>
        <w:tc>
          <w:tcPr>
            <w:tcW w:type="dxa" w:w="1998"/>
            <w:vAlign w:val="center"/>
          </w:tcPr>
          <w:p>
            <w:pPr>
              <w:keepNext w:val="0"/>
              <w:spacing w:after="0" w:before="0" w:line="240" w:lineRule="auto"/>
            </w:pPr>
            <w:r>
              <w:rPr>
                <w:rFonts w:ascii="Calibri" w:hAnsi="Calibri"/>
                <w:b w:val="0"/>
                <w:sz w:val="19"/>
              </w:rPr>
              <w:t>lesion1</w:t>
            </w:r>
          </w:p>
        </w:tc>
        <w:tc>
          <w:tcPr>
            <w:tcW w:type="dxa" w:w="1998"/>
            <w:vAlign w:val="center"/>
          </w:tcPr>
          <w:p>
            <w:pPr>
              <w:keepNext w:val="0"/>
              <w:spacing w:after="0" w:before="0" w:line="240" w:lineRule="auto"/>
              <w:jc w:val="right"/>
            </w:pPr>
            <w:r>
              <w:rPr>
                <w:rFonts w:ascii="Calibri" w:hAnsi="Calibri"/>
                <w:b w:val="0"/>
                <w:sz w:val="19"/>
              </w:rPr>
              <w:t>0.0987</w:t>
            </w:r>
          </w:p>
        </w:tc>
        <w:tc>
          <w:tcPr>
            <w:tcW w:type="dxa" w:w="1998"/>
            <w:vAlign w:val="center"/>
          </w:tcPr>
          <w:p>
            <w:pPr>
              <w:keepNext w:val="0"/>
              <w:spacing w:after="0" w:before="0" w:line="240" w:lineRule="auto"/>
              <w:jc w:val="right"/>
            </w:pPr>
            <w:r>
              <w:rPr>
                <w:rFonts w:ascii="Calibri" w:hAnsi="Calibri"/>
                <w:b w:val="0"/>
                <w:sz w:val="19"/>
              </w:rPr>
              <w:t>0.1358</w:t>
            </w:r>
          </w:p>
        </w:tc>
        <w:tc>
          <w:tcPr>
            <w:tcW w:type="dxa" w:w="1998"/>
            <w:vAlign w:val="center"/>
          </w:tcPr>
          <w:p>
            <w:pPr>
              <w:keepNext w:val="0"/>
              <w:spacing w:after="0" w:before="0" w:line="240" w:lineRule="auto"/>
              <w:jc w:val="right"/>
            </w:pPr>
            <w:r>
              <w:rPr>
                <w:rFonts w:ascii="Calibri" w:hAnsi="Calibri"/>
                <w:b w:val="0"/>
                <w:sz w:val="19"/>
              </w:rPr>
              <w:t>-</w:t>
            </w:r>
          </w:p>
        </w:tc>
      </w:tr>
      <w:tr>
        <w:trPr>
          <w:cantSplit/>
        </w:trPr>
        <w:tc>
          <w:tcPr>
            <w:tcW w:type="dxa" w:w="2232"/>
            <w:vAlign w:val="center"/>
          </w:tcPr>
          <w:p>
            <w:pPr>
              <w:keepNext w:val="0"/>
              <w:spacing w:after="0" w:before="0" w:line="240" w:lineRule="auto"/>
            </w:pPr>
            <w:r>
              <w:rPr>
                <w:rFonts w:ascii="Calibri" w:hAnsi="Calibri"/>
                <w:b w:val="0"/>
                <w:sz w:val="19"/>
              </w:rPr>
              <w:t>DenseWorld</w:t>
            </w:r>
          </w:p>
        </w:tc>
        <w:tc>
          <w:tcPr>
            <w:tcW w:type="dxa" w:w="1998"/>
            <w:vAlign w:val="center"/>
          </w:tcPr>
          <w:p>
            <w:pPr>
              <w:keepNext w:val="0"/>
              <w:spacing w:after="0" w:before="0" w:line="240" w:lineRule="auto"/>
            </w:pPr>
            <w:r>
              <w:rPr>
                <w:rFonts w:ascii="Calibri" w:hAnsi="Calibri"/>
                <w:b w:val="0"/>
                <w:sz w:val="19"/>
              </w:rPr>
              <w:t>lesion2</w:t>
            </w:r>
          </w:p>
        </w:tc>
        <w:tc>
          <w:tcPr>
            <w:tcW w:type="dxa" w:w="1998"/>
            <w:vAlign w:val="center"/>
          </w:tcPr>
          <w:p>
            <w:pPr>
              <w:keepNext w:val="0"/>
              <w:spacing w:after="0" w:before="0" w:line="240" w:lineRule="auto"/>
              <w:jc w:val="right"/>
            </w:pPr>
            <w:r>
              <w:rPr>
                <w:rFonts w:ascii="Calibri" w:hAnsi="Calibri"/>
                <w:b w:val="0"/>
                <w:sz w:val="19"/>
              </w:rPr>
              <w:t>0.0987</w:t>
            </w:r>
          </w:p>
        </w:tc>
        <w:tc>
          <w:tcPr>
            <w:tcW w:type="dxa" w:w="1998"/>
            <w:vAlign w:val="center"/>
          </w:tcPr>
          <w:p>
            <w:pPr>
              <w:keepNext w:val="0"/>
              <w:spacing w:after="0" w:before="0" w:line="240" w:lineRule="auto"/>
              <w:jc w:val="right"/>
            </w:pPr>
            <w:r>
              <w:rPr>
                <w:rFonts w:ascii="Calibri" w:hAnsi="Calibri"/>
                <w:b w:val="0"/>
                <w:sz w:val="19"/>
              </w:rPr>
              <w:t>0.1358</w:t>
            </w:r>
          </w:p>
        </w:tc>
        <w:tc>
          <w:tcPr>
            <w:tcW w:type="dxa" w:w="1998"/>
            <w:vAlign w:val="center"/>
          </w:tcPr>
          <w:p>
            <w:pPr>
              <w:keepNext w:val="0"/>
              <w:spacing w:after="0" w:before="0" w:line="240" w:lineRule="auto"/>
              <w:jc w:val="right"/>
            </w:pPr>
            <w:r>
              <w:rPr>
                <w:rFonts w:ascii="Calibri" w:hAnsi="Calibri"/>
                <w:b w:val="0"/>
                <w:sz w:val="19"/>
              </w:rPr>
              <w:t>-</w:t>
            </w:r>
          </w:p>
        </w:tc>
      </w:tr>
      <w:tr>
        <w:trPr>
          <w:cantSplit/>
        </w:trPr>
        <w:tc>
          <w:tcPr>
            <w:tcW w:type="dxa" w:w="2232"/>
            <w:vAlign w:val="center"/>
          </w:tcPr>
          <w:p>
            <w:pPr>
              <w:keepNext w:val="0"/>
              <w:spacing w:after="0" w:before="0" w:line="240" w:lineRule="auto"/>
            </w:pPr>
            <w:r>
              <w:rPr>
                <w:rFonts w:ascii="Calibri" w:hAnsi="Calibri"/>
                <w:b w:val="0"/>
                <w:sz w:val="19"/>
              </w:rPr>
              <w:t>DenseWorld</w:t>
            </w:r>
          </w:p>
        </w:tc>
        <w:tc>
          <w:tcPr>
            <w:tcW w:type="dxa" w:w="1998"/>
            <w:vAlign w:val="center"/>
          </w:tcPr>
          <w:p>
            <w:pPr>
              <w:keepNext w:val="0"/>
              <w:spacing w:after="0" w:before="0" w:line="240" w:lineRule="auto"/>
            </w:pPr>
            <w:r>
              <w:rPr>
                <w:rFonts w:ascii="Calibri" w:hAnsi="Calibri"/>
                <w:b w:val="0"/>
                <w:sz w:val="19"/>
              </w:rPr>
              <w:t>fatigue</w:t>
            </w:r>
          </w:p>
        </w:tc>
        <w:tc>
          <w:tcPr>
            <w:tcW w:type="dxa" w:w="1998"/>
            <w:vAlign w:val="center"/>
          </w:tcPr>
          <w:p>
            <w:pPr>
              <w:keepNext w:val="0"/>
              <w:spacing w:after="0" w:before="0" w:line="240" w:lineRule="auto"/>
              <w:jc w:val="right"/>
            </w:pPr>
            <w:r>
              <w:rPr>
                <w:rFonts w:ascii="Calibri" w:hAnsi="Calibri"/>
                <w:b w:val="0"/>
                <w:sz w:val="19"/>
              </w:rPr>
              <w:t>0.0987</w:t>
            </w:r>
          </w:p>
        </w:tc>
        <w:tc>
          <w:tcPr>
            <w:tcW w:type="dxa" w:w="1998"/>
            <w:vAlign w:val="center"/>
          </w:tcPr>
          <w:p>
            <w:pPr>
              <w:keepNext w:val="0"/>
              <w:spacing w:after="0" w:before="0" w:line="240" w:lineRule="auto"/>
              <w:jc w:val="right"/>
            </w:pPr>
            <w:r>
              <w:rPr>
                <w:rFonts w:ascii="Calibri" w:hAnsi="Calibri"/>
                <w:b w:val="0"/>
                <w:sz w:val="19"/>
              </w:rPr>
              <w:t>0.1358</w:t>
            </w:r>
          </w:p>
        </w:tc>
        <w:tc>
          <w:tcPr>
            <w:tcW w:type="dxa" w:w="1998"/>
            <w:vAlign w:val="center"/>
          </w:tcPr>
          <w:p>
            <w:pPr>
              <w:keepNext w:val="0"/>
              <w:spacing w:after="0" w:before="0" w:line="240" w:lineRule="auto"/>
              <w:jc w:val="right"/>
            </w:pPr>
            <w:r>
              <w:rPr>
                <w:rFonts w:ascii="Calibri" w:hAnsi="Calibri"/>
                <w:b w:val="0"/>
                <w:sz w:val="19"/>
              </w:rPr>
              <w:t>-</w:t>
            </w:r>
          </w:p>
        </w:tc>
      </w:tr>
      <w:tr>
        <w:trPr>
          <w:cantSplit/>
        </w:trPr>
        <w:tc>
          <w:tcPr>
            <w:tcW w:type="dxa" w:w="2232"/>
            <w:vAlign w:val="center"/>
          </w:tcPr>
          <w:p>
            <w:pPr>
              <w:keepNext w:val="0"/>
              <w:spacing w:after="0" w:before="0" w:line="240" w:lineRule="auto"/>
            </w:pPr>
            <w:r>
              <w:rPr>
                <w:rFonts w:ascii="Calibri" w:hAnsi="Calibri"/>
                <w:b w:val="0"/>
                <w:sz w:val="19"/>
              </w:rPr>
              <w:t>StaticWorldMoE</w:t>
            </w:r>
          </w:p>
        </w:tc>
        <w:tc>
          <w:tcPr>
            <w:tcW w:type="dxa" w:w="1998"/>
            <w:vAlign w:val="center"/>
          </w:tcPr>
          <w:p>
            <w:pPr>
              <w:keepNext w:val="0"/>
              <w:spacing w:after="0" w:before="0" w:line="240" w:lineRule="auto"/>
            </w:pPr>
            <w:r>
              <w:rPr>
                <w:rFonts w:ascii="Calibri" w:hAnsi="Calibri"/>
                <w:b w:val="0"/>
                <w:sz w:val="19"/>
              </w:rPr>
              <w:t>healthy</w:t>
            </w:r>
          </w:p>
        </w:tc>
        <w:tc>
          <w:tcPr>
            <w:tcW w:type="dxa" w:w="1998"/>
            <w:vAlign w:val="center"/>
          </w:tcPr>
          <w:p>
            <w:pPr>
              <w:keepNext w:val="0"/>
              <w:spacing w:after="0" w:before="0" w:line="240" w:lineRule="auto"/>
              <w:jc w:val="right"/>
            </w:pPr>
            <w:r>
              <w:rPr>
                <w:rFonts w:ascii="Calibri" w:hAnsi="Calibri"/>
                <w:b w:val="0"/>
                <w:sz w:val="19"/>
              </w:rPr>
              <w:t>0.1090</w:t>
            </w:r>
          </w:p>
        </w:tc>
        <w:tc>
          <w:tcPr>
            <w:tcW w:type="dxa" w:w="1998"/>
            <w:vAlign w:val="center"/>
          </w:tcPr>
          <w:p>
            <w:pPr>
              <w:keepNext w:val="0"/>
              <w:spacing w:after="0" w:before="0" w:line="240" w:lineRule="auto"/>
              <w:jc w:val="right"/>
            </w:pPr>
            <w:r>
              <w:rPr>
                <w:rFonts w:ascii="Calibri" w:hAnsi="Calibri"/>
                <w:b w:val="0"/>
                <w:sz w:val="19"/>
              </w:rPr>
              <w:t>0.1393</w:t>
            </w:r>
          </w:p>
        </w:tc>
        <w:tc>
          <w:tcPr>
            <w:tcW w:type="dxa" w:w="1998"/>
            <w:vAlign w:val="center"/>
          </w:tcPr>
          <w:p>
            <w:pPr>
              <w:keepNext w:val="0"/>
              <w:spacing w:after="0" w:before="0" w:line="240" w:lineRule="auto"/>
              <w:jc w:val="right"/>
            </w:pPr>
            <w:r>
              <w:rPr>
                <w:rFonts w:ascii="Calibri" w:hAnsi="Calibri"/>
                <w:b w:val="0"/>
                <w:sz w:val="19"/>
              </w:rPr>
              <w:t>1.000</w:t>
            </w:r>
          </w:p>
        </w:tc>
      </w:tr>
      <w:tr>
        <w:trPr>
          <w:cantSplit/>
        </w:trPr>
        <w:tc>
          <w:tcPr>
            <w:tcW w:type="dxa" w:w="2232"/>
            <w:vAlign w:val="center"/>
          </w:tcPr>
          <w:p>
            <w:pPr>
              <w:keepNext w:val="0"/>
              <w:spacing w:after="0" w:before="0" w:line="240" w:lineRule="auto"/>
            </w:pPr>
            <w:r>
              <w:rPr>
                <w:rFonts w:ascii="Calibri" w:hAnsi="Calibri"/>
                <w:b w:val="0"/>
                <w:sz w:val="19"/>
              </w:rPr>
              <w:t>StaticWorldMoE</w:t>
            </w:r>
          </w:p>
        </w:tc>
        <w:tc>
          <w:tcPr>
            <w:tcW w:type="dxa" w:w="1998"/>
            <w:vAlign w:val="center"/>
          </w:tcPr>
          <w:p>
            <w:pPr>
              <w:keepNext w:val="0"/>
              <w:spacing w:after="0" w:before="0" w:line="240" w:lineRule="auto"/>
            </w:pPr>
            <w:r>
              <w:rPr>
                <w:rFonts w:ascii="Calibri" w:hAnsi="Calibri"/>
                <w:b w:val="0"/>
                <w:sz w:val="19"/>
              </w:rPr>
              <w:t>lesion1</w:t>
            </w:r>
          </w:p>
        </w:tc>
        <w:tc>
          <w:tcPr>
            <w:tcW w:type="dxa" w:w="1998"/>
            <w:vAlign w:val="center"/>
          </w:tcPr>
          <w:p>
            <w:pPr>
              <w:keepNext w:val="0"/>
              <w:spacing w:after="0" w:before="0" w:line="240" w:lineRule="auto"/>
              <w:jc w:val="right"/>
            </w:pPr>
            <w:r>
              <w:rPr>
                <w:rFonts w:ascii="Calibri" w:hAnsi="Calibri"/>
                <w:b w:val="0"/>
                <w:sz w:val="19"/>
              </w:rPr>
              <w:t>0.1745</w:t>
            </w:r>
          </w:p>
        </w:tc>
        <w:tc>
          <w:tcPr>
            <w:tcW w:type="dxa" w:w="1998"/>
            <w:vAlign w:val="center"/>
          </w:tcPr>
          <w:p>
            <w:pPr>
              <w:keepNext w:val="0"/>
              <w:spacing w:after="0" w:before="0" w:line="240" w:lineRule="auto"/>
              <w:jc w:val="right"/>
            </w:pPr>
            <w:r>
              <w:rPr>
                <w:rFonts w:ascii="Calibri" w:hAnsi="Calibri"/>
                <w:b w:val="0"/>
                <w:sz w:val="19"/>
              </w:rPr>
              <w:t>0.2856</w:t>
            </w:r>
          </w:p>
        </w:tc>
        <w:tc>
          <w:tcPr>
            <w:tcW w:type="dxa" w:w="1998"/>
            <w:vAlign w:val="center"/>
          </w:tcPr>
          <w:p>
            <w:pPr>
              <w:keepNext w:val="0"/>
              <w:spacing w:after="0" w:before="0" w:line="240" w:lineRule="auto"/>
              <w:jc w:val="right"/>
            </w:pPr>
            <w:r>
              <w:rPr>
                <w:rFonts w:ascii="Calibri" w:hAnsi="Calibri"/>
                <w:b w:val="0"/>
                <w:sz w:val="19"/>
              </w:rPr>
              <w:t>0.765</w:t>
            </w:r>
          </w:p>
        </w:tc>
      </w:tr>
      <w:tr>
        <w:trPr>
          <w:cantSplit/>
        </w:trPr>
        <w:tc>
          <w:tcPr>
            <w:tcW w:type="dxa" w:w="2232"/>
            <w:vAlign w:val="center"/>
          </w:tcPr>
          <w:p>
            <w:pPr>
              <w:keepNext w:val="0"/>
              <w:spacing w:after="0" w:before="0" w:line="240" w:lineRule="auto"/>
            </w:pPr>
            <w:r>
              <w:rPr>
                <w:rFonts w:ascii="Calibri" w:hAnsi="Calibri"/>
                <w:b w:val="0"/>
                <w:sz w:val="19"/>
              </w:rPr>
              <w:t>StaticWorldMoE</w:t>
            </w:r>
          </w:p>
        </w:tc>
        <w:tc>
          <w:tcPr>
            <w:tcW w:type="dxa" w:w="1998"/>
            <w:vAlign w:val="center"/>
          </w:tcPr>
          <w:p>
            <w:pPr>
              <w:keepNext w:val="0"/>
              <w:spacing w:after="0" w:before="0" w:line="240" w:lineRule="auto"/>
            </w:pPr>
            <w:r>
              <w:rPr>
                <w:rFonts w:ascii="Calibri" w:hAnsi="Calibri"/>
                <w:b w:val="0"/>
                <w:sz w:val="19"/>
              </w:rPr>
              <w:t>lesion2</w:t>
            </w:r>
          </w:p>
        </w:tc>
        <w:tc>
          <w:tcPr>
            <w:tcW w:type="dxa" w:w="1998"/>
            <w:vAlign w:val="center"/>
          </w:tcPr>
          <w:p>
            <w:pPr>
              <w:keepNext w:val="0"/>
              <w:spacing w:after="0" w:before="0" w:line="240" w:lineRule="auto"/>
              <w:jc w:val="right"/>
            </w:pPr>
            <w:r>
              <w:rPr>
                <w:rFonts w:ascii="Calibri" w:hAnsi="Calibri"/>
                <w:b w:val="0"/>
                <w:sz w:val="19"/>
              </w:rPr>
              <w:t>0.2108</w:t>
            </w:r>
          </w:p>
        </w:tc>
        <w:tc>
          <w:tcPr>
            <w:tcW w:type="dxa" w:w="1998"/>
            <w:vAlign w:val="center"/>
          </w:tcPr>
          <w:p>
            <w:pPr>
              <w:keepNext w:val="0"/>
              <w:spacing w:after="0" w:before="0" w:line="240" w:lineRule="auto"/>
              <w:jc w:val="right"/>
            </w:pPr>
            <w:r>
              <w:rPr>
                <w:rFonts w:ascii="Calibri" w:hAnsi="Calibri"/>
                <w:b w:val="0"/>
                <w:sz w:val="19"/>
              </w:rPr>
              <w:t>0.3778</w:t>
            </w:r>
          </w:p>
        </w:tc>
        <w:tc>
          <w:tcPr>
            <w:tcW w:type="dxa" w:w="1998"/>
            <w:vAlign w:val="center"/>
          </w:tcPr>
          <w:p>
            <w:pPr>
              <w:keepNext w:val="0"/>
              <w:spacing w:after="0" w:before="0" w:line="240" w:lineRule="auto"/>
              <w:jc w:val="right"/>
            </w:pPr>
            <w:r>
              <w:rPr>
                <w:rFonts w:ascii="Calibri" w:hAnsi="Calibri"/>
                <w:b w:val="0"/>
                <w:sz w:val="19"/>
              </w:rPr>
              <w:t>0.765</w:t>
            </w:r>
          </w:p>
        </w:tc>
      </w:tr>
      <w:tr>
        <w:trPr>
          <w:cantSplit/>
        </w:trPr>
        <w:tc>
          <w:tcPr>
            <w:tcW w:type="dxa" w:w="2232"/>
            <w:vAlign w:val="center"/>
          </w:tcPr>
          <w:p>
            <w:pPr>
              <w:keepNext w:val="0"/>
              <w:spacing w:after="0" w:before="0" w:line="240" w:lineRule="auto"/>
            </w:pPr>
            <w:r>
              <w:rPr>
                <w:rFonts w:ascii="Calibri" w:hAnsi="Calibri"/>
                <w:b w:val="0"/>
                <w:sz w:val="19"/>
              </w:rPr>
              <w:t>StaticWorldMoE</w:t>
            </w:r>
          </w:p>
        </w:tc>
        <w:tc>
          <w:tcPr>
            <w:tcW w:type="dxa" w:w="1998"/>
            <w:vAlign w:val="center"/>
          </w:tcPr>
          <w:p>
            <w:pPr>
              <w:keepNext w:val="0"/>
              <w:spacing w:after="0" w:before="0" w:line="240" w:lineRule="auto"/>
            </w:pPr>
            <w:r>
              <w:rPr>
                <w:rFonts w:ascii="Calibri" w:hAnsi="Calibri"/>
                <w:b w:val="0"/>
                <w:sz w:val="19"/>
              </w:rPr>
              <w:t>fatigue</w:t>
            </w:r>
          </w:p>
        </w:tc>
        <w:tc>
          <w:tcPr>
            <w:tcW w:type="dxa" w:w="1998"/>
            <w:vAlign w:val="center"/>
          </w:tcPr>
          <w:p>
            <w:pPr>
              <w:keepNext w:val="0"/>
              <w:spacing w:after="0" w:before="0" w:line="240" w:lineRule="auto"/>
              <w:jc w:val="right"/>
            </w:pPr>
            <w:r>
              <w:rPr>
                <w:rFonts w:ascii="Calibri" w:hAnsi="Calibri"/>
                <w:b w:val="0"/>
                <w:sz w:val="19"/>
              </w:rPr>
              <w:t>0.0928</w:t>
            </w:r>
          </w:p>
        </w:tc>
        <w:tc>
          <w:tcPr>
            <w:tcW w:type="dxa" w:w="1998"/>
            <w:vAlign w:val="center"/>
          </w:tcPr>
          <w:p>
            <w:pPr>
              <w:keepNext w:val="0"/>
              <w:spacing w:after="0" w:before="0" w:line="240" w:lineRule="auto"/>
              <w:jc w:val="right"/>
            </w:pPr>
            <w:r>
              <w:rPr>
                <w:rFonts w:ascii="Calibri" w:hAnsi="Calibri"/>
                <w:b w:val="0"/>
                <w:sz w:val="19"/>
              </w:rPr>
              <w:t>0.1129</w:t>
            </w:r>
          </w:p>
        </w:tc>
        <w:tc>
          <w:tcPr>
            <w:tcW w:type="dxa" w:w="1998"/>
            <w:vAlign w:val="center"/>
          </w:tcPr>
          <w:p>
            <w:pPr>
              <w:keepNext w:val="0"/>
              <w:spacing w:after="0" w:before="0" w:line="240" w:lineRule="auto"/>
              <w:jc w:val="right"/>
            </w:pPr>
            <w:r>
              <w:rPr>
                <w:rFonts w:ascii="Calibri" w:hAnsi="Calibri"/>
                <w:b w:val="0"/>
                <w:sz w:val="19"/>
              </w:rPr>
              <w:t>0.984</w:t>
            </w:r>
          </w:p>
        </w:tc>
      </w:tr>
      <w:tr>
        <w:trPr>
          <w:cantSplit/>
        </w:trPr>
        <w:tc>
          <w:tcPr>
            <w:tcW w:type="dxa" w:w="2232"/>
            <w:vAlign w:val="center"/>
          </w:tcPr>
          <w:p>
            <w:pPr>
              <w:keepNext w:val="0"/>
              <w:spacing w:after="0" w:before="0" w:line="240" w:lineRule="auto"/>
            </w:pPr>
            <w:r>
              <w:rPr>
                <w:rFonts w:ascii="Calibri" w:hAnsi="Calibri"/>
                <w:b w:val="0"/>
                <w:sz w:val="19"/>
              </w:rPr>
              <w:t>Computational​Body</w:t>
            </w:r>
          </w:p>
        </w:tc>
        <w:tc>
          <w:tcPr>
            <w:tcW w:type="dxa" w:w="1998"/>
            <w:vAlign w:val="center"/>
          </w:tcPr>
          <w:p>
            <w:pPr>
              <w:keepNext w:val="0"/>
              <w:spacing w:after="0" w:before="0" w:line="240" w:lineRule="auto"/>
            </w:pPr>
            <w:r>
              <w:rPr>
                <w:rFonts w:ascii="Calibri" w:hAnsi="Calibri"/>
                <w:b w:val="0"/>
                <w:sz w:val="19"/>
              </w:rPr>
              <w:t>healthy</w:t>
            </w:r>
          </w:p>
        </w:tc>
        <w:tc>
          <w:tcPr>
            <w:tcW w:type="dxa" w:w="1998"/>
            <w:vAlign w:val="center"/>
          </w:tcPr>
          <w:p>
            <w:pPr>
              <w:keepNext w:val="0"/>
              <w:spacing w:after="0" w:before="0" w:line="240" w:lineRule="auto"/>
              <w:jc w:val="right"/>
            </w:pPr>
            <w:r>
              <w:rPr>
                <w:rFonts w:ascii="Calibri" w:hAnsi="Calibri"/>
                <w:b w:val="0"/>
                <w:sz w:val="19"/>
              </w:rPr>
              <w:t>0.1066</w:t>
            </w:r>
          </w:p>
        </w:tc>
        <w:tc>
          <w:tcPr>
            <w:tcW w:type="dxa" w:w="1998"/>
            <w:vAlign w:val="center"/>
          </w:tcPr>
          <w:p>
            <w:pPr>
              <w:keepNext w:val="0"/>
              <w:spacing w:after="0" w:before="0" w:line="240" w:lineRule="auto"/>
              <w:jc w:val="right"/>
            </w:pPr>
            <w:r>
              <w:rPr>
                <w:rFonts w:ascii="Calibri" w:hAnsi="Calibri"/>
                <w:b w:val="0"/>
                <w:sz w:val="19"/>
              </w:rPr>
              <w:t>0.1365</w:t>
            </w:r>
          </w:p>
        </w:tc>
        <w:tc>
          <w:tcPr>
            <w:tcW w:type="dxa" w:w="1998"/>
            <w:vAlign w:val="center"/>
          </w:tcPr>
          <w:p>
            <w:pPr>
              <w:keepNext w:val="0"/>
              <w:spacing w:after="0" w:before="0" w:line="240" w:lineRule="auto"/>
              <w:jc w:val="right"/>
            </w:pPr>
            <w:r>
              <w:rPr>
                <w:rFonts w:ascii="Calibri" w:hAnsi="Calibri"/>
                <w:b w:val="0"/>
                <w:sz w:val="19"/>
              </w:rPr>
              <w:t>1.000</w:t>
            </w:r>
          </w:p>
        </w:tc>
      </w:tr>
      <w:tr>
        <w:trPr>
          <w:cantSplit/>
        </w:trPr>
        <w:tc>
          <w:tcPr>
            <w:tcW w:type="dxa" w:w="2232"/>
            <w:vAlign w:val="center"/>
          </w:tcPr>
          <w:p>
            <w:pPr>
              <w:keepNext w:val="0"/>
              <w:spacing w:after="0" w:before="0" w:line="240" w:lineRule="auto"/>
            </w:pPr>
            <w:r>
              <w:rPr>
                <w:rFonts w:ascii="Calibri" w:hAnsi="Calibri"/>
                <w:b w:val="0"/>
                <w:sz w:val="19"/>
              </w:rPr>
              <w:t>Computational​Body</w:t>
            </w:r>
          </w:p>
        </w:tc>
        <w:tc>
          <w:tcPr>
            <w:tcW w:type="dxa" w:w="1998"/>
            <w:vAlign w:val="center"/>
          </w:tcPr>
          <w:p>
            <w:pPr>
              <w:keepNext w:val="0"/>
              <w:spacing w:after="0" w:before="0" w:line="240" w:lineRule="auto"/>
            </w:pPr>
            <w:r>
              <w:rPr>
                <w:rFonts w:ascii="Calibri" w:hAnsi="Calibri"/>
                <w:b w:val="0"/>
                <w:sz w:val="19"/>
              </w:rPr>
              <w:t>lesion1</w:t>
            </w:r>
          </w:p>
        </w:tc>
        <w:tc>
          <w:tcPr>
            <w:tcW w:type="dxa" w:w="1998"/>
            <w:vAlign w:val="center"/>
          </w:tcPr>
          <w:p>
            <w:pPr>
              <w:keepNext w:val="0"/>
              <w:spacing w:after="0" w:before="0" w:line="240" w:lineRule="auto"/>
              <w:jc w:val="right"/>
            </w:pPr>
            <w:r>
              <w:rPr>
                <w:rFonts w:ascii="Calibri" w:hAnsi="Calibri"/>
                <w:b w:val="0"/>
                <w:sz w:val="19"/>
              </w:rPr>
              <w:t>0.1235</w:t>
            </w:r>
          </w:p>
        </w:tc>
        <w:tc>
          <w:tcPr>
            <w:tcW w:type="dxa" w:w="1998"/>
            <w:vAlign w:val="center"/>
          </w:tcPr>
          <w:p>
            <w:pPr>
              <w:keepNext w:val="0"/>
              <w:spacing w:after="0" w:before="0" w:line="240" w:lineRule="auto"/>
              <w:jc w:val="right"/>
            </w:pPr>
            <w:r>
              <w:rPr>
                <w:rFonts w:ascii="Calibri" w:hAnsi="Calibri"/>
                <w:b w:val="0"/>
                <w:sz w:val="19"/>
              </w:rPr>
              <w:t>0.1819</w:t>
            </w:r>
          </w:p>
        </w:tc>
        <w:tc>
          <w:tcPr>
            <w:tcW w:type="dxa" w:w="1998"/>
            <w:vAlign w:val="center"/>
          </w:tcPr>
          <w:p>
            <w:pPr>
              <w:keepNext w:val="0"/>
              <w:spacing w:after="0" w:before="0" w:line="240" w:lineRule="auto"/>
              <w:jc w:val="right"/>
            </w:pPr>
            <w:r>
              <w:rPr>
                <w:rFonts w:ascii="Calibri" w:hAnsi="Calibri"/>
                <w:b w:val="0"/>
                <w:sz w:val="19"/>
              </w:rPr>
              <w:t>0.765</w:t>
            </w:r>
          </w:p>
        </w:tc>
      </w:tr>
      <w:tr>
        <w:trPr>
          <w:cantSplit/>
        </w:trPr>
        <w:tc>
          <w:tcPr>
            <w:tcW w:type="dxa" w:w="2232"/>
            <w:vAlign w:val="center"/>
          </w:tcPr>
          <w:p>
            <w:pPr>
              <w:keepNext w:val="0"/>
              <w:spacing w:after="0" w:before="0" w:line="240" w:lineRule="auto"/>
            </w:pPr>
            <w:r>
              <w:rPr>
                <w:rFonts w:ascii="Calibri" w:hAnsi="Calibri"/>
                <w:b w:val="0"/>
                <w:sz w:val="19"/>
              </w:rPr>
              <w:t>Computational​Body</w:t>
            </w:r>
          </w:p>
        </w:tc>
        <w:tc>
          <w:tcPr>
            <w:tcW w:type="dxa" w:w="1998"/>
            <w:vAlign w:val="center"/>
          </w:tcPr>
          <w:p>
            <w:pPr>
              <w:keepNext w:val="0"/>
              <w:spacing w:after="0" w:before="0" w:line="240" w:lineRule="auto"/>
            </w:pPr>
            <w:r>
              <w:rPr>
                <w:rFonts w:ascii="Calibri" w:hAnsi="Calibri"/>
                <w:b w:val="0"/>
                <w:sz w:val="19"/>
              </w:rPr>
              <w:t>lesion2</w:t>
            </w:r>
          </w:p>
        </w:tc>
        <w:tc>
          <w:tcPr>
            <w:tcW w:type="dxa" w:w="1998"/>
            <w:vAlign w:val="center"/>
          </w:tcPr>
          <w:p>
            <w:pPr>
              <w:keepNext w:val="0"/>
              <w:spacing w:after="0" w:before="0" w:line="240" w:lineRule="auto"/>
              <w:jc w:val="right"/>
            </w:pPr>
            <w:r>
              <w:rPr>
                <w:rFonts w:ascii="Calibri" w:hAnsi="Calibri"/>
                <w:b w:val="0"/>
                <w:sz w:val="19"/>
              </w:rPr>
              <w:t>0.1172</w:t>
            </w:r>
          </w:p>
        </w:tc>
        <w:tc>
          <w:tcPr>
            <w:tcW w:type="dxa" w:w="1998"/>
            <w:vAlign w:val="center"/>
          </w:tcPr>
          <w:p>
            <w:pPr>
              <w:keepNext w:val="0"/>
              <w:spacing w:after="0" w:before="0" w:line="240" w:lineRule="auto"/>
              <w:jc w:val="right"/>
            </w:pPr>
            <w:r>
              <w:rPr>
                <w:rFonts w:ascii="Calibri" w:hAnsi="Calibri"/>
                <w:b w:val="0"/>
                <w:sz w:val="19"/>
              </w:rPr>
              <w:t>0.1650</w:t>
            </w:r>
          </w:p>
        </w:tc>
        <w:tc>
          <w:tcPr>
            <w:tcW w:type="dxa" w:w="1998"/>
            <w:vAlign w:val="center"/>
          </w:tcPr>
          <w:p>
            <w:pPr>
              <w:keepNext w:val="0"/>
              <w:spacing w:after="0" w:before="0" w:line="240" w:lineRule="auto"/>
              <w:jc w:val="right"/>
            </w:pPr>
            <w:r>
              <w:rPr>
                <w:rFonts w:ascii="Calibri" w:hAnsi="Calibri"/>
                <w:b w:val="0"/>
                <w:sz w:val="19"/>
              </w:rPr>
              <w:t>0.765</w:t>
            </w:r>
          </w:p>
        </w:tc>
      </w:tr>
      <w:tr>
        <w:trPr>
          <w:cantSplit/>
        </w:trPr>
        <w:tc>
          <w:tcPr>
            <w:tcW w:type="dxa" w:w="2232"/>
            <w:vAlign w:val="center"/>
          </w:tcPr>
          <w:p>
            <w:pPr>
              <w:keepNext/>
              <w:spacing w:after="0" w:before="0" w:line="240" w:lineRule="auto"/>
            </w:pPr>
            <w:r>
              <w:rPr>
                <w:rFonts w:ascii="Calibri" w:hAnsi="Calibri"/>
                <w:b w:val="0"/>
                <w:sz w:val="19"/>
              </w:rPr>
              <w:t>Computational​Body</w:t>
            </w:r>
          </w:p>
        </w:tc>
        <w:tc>
          <w:tcPr>
            <w:tcW w:type="dxa" w:w="1998"/>
            <w:vAlign w:val="center"/>
          </w:tcPr>
          <w:p>
            <w:pPr>
              <w:keepNext/>
              <w:spacing w:after="0" w:before="0" w:line="240" w:lineRule="auto"/>
            </w:pPr>
            <w:r>
              <w:rPr>
                <w:rFonts w:ascii="Calibri" w:hAnsi="Calibri"/>
                <w:b w:val="0"/>
                <w:sz w:val="19"/>
              </w:rPr>
              <w:t>fatigue</w:t>
            </w:r>
          </w:p>
        </w:tc>
        <w:tc>
          <w:tcPr>
            <w:tcW w:type="dxa" w:w="1998"/>
            <w:vAlign w:val="center"/>
          </w:tcPr>
          <w:p>
            <w:pPr>
              <w:keepNext/>
              <w:spacing w:after="0" w:before="0" w:line="240" w:lineRule="auto"/>
              <w:jc w:val="right"/>
            </w:pPr>
            <w:r>
              <w:rPr>
                <w:rFonts w:ascii="Calibri" w:hAnsi="Calibri"/>
                <w:b w:val="0"/>
                <w:sz w:val="19"/>
              </w:rPr>
              <w:t>0.0999</w:t>
            </w:r>
          </w:p>
        </w:tc>
        <w:tc>
          <w:tcPr>
            <w:tcW w:type="dxa" w:w="1998"/>
            <w:vAlign w:val="center"/>
          </w:tcPr>
          <w:p>
            <w:pPr>
              <w:keepNext/>
              <w:spacing w:after="0" w:before="0" w:line="240" w:lineRule="auto"/>
              <w:jc w:val="right"/>
            </w:pPr>
            <w:r>
              <w:rPr>
                <w:rFonts w:ascii="Calibri" w:hAnsi="Calibri"/>
                <w:b w:val="0"/>
                <w:sz w:val="19"/>
              </w:rPr>
              <w:t>0.1208</w:t>
            </w:r>
          </w:p>
        </w:tc>
        <w:tc>
          <w:tcPr>
            <w:tcW w:type="dxa" w:w="1998"/>
            <w:vAlign w:val="center"/>
          </w:tcPr>
          <w:p>
            <w:pPr>
              <w:keepNext/>
              <w:spacing w:after="0" w:before="0" w:line="240" w:lineRule="auto"/>
              <w:jc w:val="right"/>
            </w:pPr>
            <w:r>
              <w:rPr>
                <w:rFonts w:ascii="Calibri" w:hAnsi="Calibri"/>
                <w:b w:val="0"/>
                <w:sz w:val="19"/>
              </w:rPr>
              <w:t>0.982</w:t>
            </w:r>
          </w:p>
        </w:tc>
      </w:tr>
    </w:tbl>
    <w:p>
      <w:pPr>
        <w:keepLines/>
        <w:spacing w:before="60" w:after="120"/>
      </w:pPr>
      <w:r>
        <w:rPr>
          <w:sz w:val="18"/>
        </w:rPr>
        <w:t>Controlled simulation. Lower MSE indicates lower prediction error within the same task and target scaling.</w:t>
      </w:r>
    </w:p>
    <w:p>
      <w:r>
        <w:t>The key comparison is StaticWorldMoE versus ComputationalBody. Their intact performance is nearly matched (0.1090 versus 0.1066), but StaticWorldMoE deteriorates by about 60% and 93% after lesion of effectors 1 and 2. ComputationalBody deteriorates by only about 16% and 10% under the same lesions. DenseWorld remains a strong monolithic baseline at 0.0987 mean rollout MSE.</w:t>
      </w:r>
    </w:p>
    <w:p>
      <w:pPr>
        <w:pStyle w:val="Heading3"/>
      </w:pPr>
      <w:r>
        <w:t>7.4.4 The effectors are now necessary computation</w:t>
      </w:r>
    </w:p>
    <w:p>
      <w:pPr>
        <w:pStyle w:val="Caption"/>
        <w:keepNext/>
      </w:pPr>
      <w:r>
        <w:t>Table 67. Shared-only ablation.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Model</w:t>
            </w:r>
          </w:p>
        </w:tc>
        <w:tc>
          <w:tcPr>
            <w:tcW w:type="dxa" w:w="6984"/>
            <w:vAlign w:val="center"/>
            <w:shd w:fill="F2F2F2"/>
          </w:tcPr>
          <w:p>
            <w:pPr>
              <w:keepNext/>
              <w:spacing w:after="0" w:before="0" w:line="240" w:lineRule="auto"/>
            </w:pPr>
            <w:r>
              <w:rPr>
                <w:rFonts w:ascii="Calibri" w:hAnsi="Calibri"/>
                <w:b/>
                <w:sz w:val="19"/>
              </w:rPr>
              <w:t>Shared-only rollout MSE</w:t>
            </w:r>
          </w:p>
        </w:tc>
      </w:tr>
      <w:tr>
        <w:trPr>
          <w:cantSplit/>
        </w:trPr>
        <w:tc>
          <w:tcPr>
            <w:tcW w:type="dxa" w:w="3240"/>
            <w:vAlign w:val="center"/>
          </w:tcPr>
          <w:p>
            <w:pPr>
              <w:keepNext w:val="0"/>
              <w:spacing w:after="0" w:before="0" w:line="240" w:lineRule="auto"/>
            </w:pPr>
            <w:r>
              <w:rPr>
                <w:rFonts w:ascii="Calibri" w:hAnsi="Calibri"/>
                <w:b w:val="0"/>
                <w:sz w:val="19"/>
              </w:rPr>
              <w:t>BodyAwareWorld</w:t>
            </w:r>
          </w:p>
        </w:tc>
        <w:tc>
          <w:tcPr>
            <w:tcW w:type="dxa" w:w="6984"/>
            <w:vAlign w:val="center"/>
          </w:tcPr>
          <w:p>
            <w:pPr>
              <w:keepNext w:val="0"/>
              <w:spacing w:after="0" w:before="0" w:line="240" w:lineRule="auto"/>
              <w:jc w:val="right"/>
            </w:pPr>
            <w:r>
              <w:rPr>
                <w:rFonts w:ascii="Calibri" w:hAnsi="Calibri"/>
                <w:b w:val="0"/>
                <w:sz w:val="19"/>
              </w:rPr>
              <w:t>0.5868</w:t>
            </w:r>
          </w:p>
        </w:tc>
      </w:tr>
      <w:tr>
        <w:trPr>
          <w:cantSplit/>
        </w:trPr>
        <w:tc>
          <w:tcPr>
            <w:tcW w:type="dxa" w:w="3240"/>
            <w:vAlign w:val="center"/>
          </w:tcPr>
          <w:p>
            <w:pPr>
              <w:keepNext w:val="0"/>
              <w:spacing w:after="0" w:before="0" w:line="240" w:lineRule="auto"/>
            </w:pPr>
            <w:r>
              <w:rPr>
                <w:rFonts w:ascii="Calibri" w:hAnsi="Calibri"/>
                <w:b w:val="0"/>
                <w:sz w:val="19"/>
              </w:rPr>
              <w:t>Computational​Body</w:t>
            </w:r>
          </w:p>
        </w:tc>
        <w:tc>
          <w:tcPr>
            <w:tcW w:type="dxa" w:w="6984"/>
            <w:vAlign w:val="center"/>
          </w:tcPr>
          <w:p>
            <w:pPr>
              <w:keepNext w:val="0"/>
              <w:spacing w:after="0" w:before="0" w:line="240" w:lineRule="auto"/>
              <w:jc w:val="right"/>
            </w:pPr>
            <w:r>
              <w:rPr>
                <w:rFonts w:ascii="Calibri" w:hAnsi="Calibri"/>
                <w:b w:val="0"/>
                <w:sz w:val="19"/>
              </w:rPr>
              <w:t>0.5530</w:t>
            </w:r>
          </w:p>
        </w:tc>
      </w:tr>
      <w:tr>
        <w:trPr>
          <w:cantSplit/>
        </w:trPr>
        <w:tc>
          <w:tcPr>
            <w:tcW w:type="dxa" w:w="3240"/>
            <w:vAlign w:val="center"/>
          </w:tcPr>
          <w:p>
            <w:pPr>
              <w:keepNext/>
              <w:spacing w:after="0" w:before="0" w:line="240" w:lineRule="auto"/>
            </w:pPr>
            <w:r>
              <w:rPr>
                <w:rFonts w:ascii="Calibri" w:hAnsi="Calibri"/>
                <w:b w:val="0"/>
                <w:sz w:val="19"/>
              </w:rPr>
              <w:t>StaticWorldMoE</w:t>
            </w:r>
          </w:p>
        </w:tc>
        <w:tc>
          <w:tcPr>
            <w:tcW w:type="dxa" w:w="6984"/>
            <w:vAlign w:val="center"/>
          </w:tcPr>
          <w:p>
            <w:pPr>
              <w:keepNext/>
              <w:spacing w:after="0" w:before="0" w:line="240" w:lineRule="auto"/>
              <w:jc w:val="right"/>
            </w:pPr>
            <w:r>
              <w:rPr>
                <w:rFonts w:ascii="Calibri" w:hAnsi="Calibri"/>
                <w:b w:val="0"/>
                <w:sz w:val="19"/>
              </w:rPr>
              <w:t>0.5917</w:t>
            </w:r>
          </w:p>
        </w:tc>
      </w:tr>
    </w:tbl>
    <w:p>
      <w:pPr>
        <w:keepLines/>
        <w:spacing w:before="60" w:after="120"/>
      </w:pPr>
      <w:r>
        <w:rPr>
          <w:sz w:val="18"/>
        </w:rPr>
        <w:t>Controlled simulation. Lower MSE indicates lower prediction error within the same task and target scaling.</w:t>
      </w:r>
    </w:p>
    <w:p>
      <w:r>
        <w:t>Removing all local effectors raises rollout MSE to approximately 0.55–0.59. Thus the shared path alone does not account for the predictor's performance, and the module-removal comparison tests redistribution among functionally relevant components.</w:t>
      </w:r>
    </w:p>
    <w:p>
      <w:pPr>
        <w:pStyle w:val="Heading3"/>
      </w:pPr>
      <w:r>
        <w:t>7.4.5 Internal redistribution after lesion</w:t>
      </w:r>
    </w:p>
    <w:p>
      <w:pPr>
        <w:pStyle w:val="Caption"/>
        <w:keepNext/>
      </w:pPr>
      <w:r>
        <w:t>Table 68. Redistribution after module removal.</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2664"/>
            <w:vAlign w:val="center"/>
            <w:shd w:fill="F2F2F2"/>
          </w:tcPr>
          <w:p>
            <w:pPr>
              <w:keepNext/>
              <w:spacing w:after="0" w:before="0" w:line="240" w:lineRule="auto"/>
            </w:pPr>
            <w:r>
              <w:rPr>
                <w:rFonts w:ascii="Calibri" w:hAnsi="Calibri"/>
                <w:b/>
                <w:sz w:val="19"/>
              </w:rPr>
              <w:t>Failed effector Δweight</w:t>
            </w:r>
          </w:p>
        </w:tc>
        <w:tc>
          <w:tcPr>
            <w:tcW w:type="dxa" w:w="2664"/>
            <w:vAlign w:val="center"/>
            <w:shd w:fill="F2F2F2"/>
          </w:tcPr>
          <w:p>
            <w:pPr>
              <w:keepNext/>
              <w:spacing w:after="0" w:before="0" w:line="240" w:lineRule="auto"/>
            </w:pPr>
            <w:r>
              <w:rPr>
                <w:rFonts w:ascii="Calibri" w:hAnsi="Calibri"/>
                <w:b/>
                <w:sz w:val="19"/>
              </w:rPr>
              <w:t>Nonfailed total Δweight</w:t>
            </w:r>
          </w:p>
        </w:tc>
        <w:tc>
          <w:tcPr>
            <w:tcW w:type="dxa" w:w="2664"/>
            <w:vAlign w:val="center"/>
            <w:shd w:fill="F2F2F2"/>
          </w:tcPr>
          <w:p>
            <w:pPr>
              <w:keepNext/>
              <w:spacing w:after="0" w:before="0" w:line="240" w:lineRule="auto"/>
            </w:pPr>
            <w:r>
              <w:rPr>
                <w:rFonts w:ascii="Calibri" w:hAnsi="Calibri"/>
                <w:b/>
                <w:sz w:val="19"/>
              </w:rPr>
              <w:t>Failed realized-load Δ</w:t>
            </w:r>
          </w:p>
        </w:tc>
      </w:tr>
      <w:tr>
        <w:trPr>
          <w:cantSplit/>
        </w:trPr>
        <w:tc>
          <w:tcPr>
            <w:tcW w:type="dxa" w:w="2232"/>
            <w:vAlign w:val="center"/>
          </w:tcPr>
          <w:p>
            <w:pPr>
              <w:keepNext w:val="0"/>
              <w:spacing w:after="0" w:before="0" w:line="240" w:lineRule="auto"/>
            </w:pPr>
            <w:r>
              <w:rPr>
                <w:rFonts w:ascii="Calibri" w:hAnsi="Calibri"/>
                <w:b w:val="0"/>
                <w:sz w:val="19"/>
              </w:rPr>
              <w:t>BodyAwareWorld</w:t>
            </w:r>
          </w:p>
        </w:tc>
        <w:tc>
          <w:tcPr>
            <w:tcW w:type="dxa" w:w="2664"/>
            <w:vAlign w:val="center"/>
          </w:tcPr>
          <w:p>
            <w:pPr>
              <w:keepNext w:val="0"/>
              <w:spacing w:after="0" w:before="0" w:line="240" w:lineRule="auto"/>
              <w:jc w:val="right"/>
            </w:pPr>
            <w:r>
              <w:rPr>
                <w:rFonts w:ascii="Calibri" w:hAnsi="Calibri"/>
                <w:b w:val="0"/>
                <w:sz w:val="19"/>
              </w:rPr>
              <w:t>-0.0292</w:t>
            </w:r>
          </w:p>
        </w:tc>
        <w:tc>
          <w:tcPr>
            <w:tcW w:type="dxa" w:w="2664"/>
            <w:vAlign w:val="center"/>
          </w:tcPr>
          <w:p>
            <w:pPr>
              <w:keepNext w:val="0"/>
              <w:spacing w:after="0" w:before="0" w:line="240" w:lineRule="auto"/>
              <w:jc w:val="right"/>
            </w:pPr>
            <w:r>
              <w:rPr>
                <w:rFonts w:ascii="Calibri" w:hAnsi="Calibri"/>
                <w:b w:val="0"/>
                <w:sz w:val="19"/>
              </w:rPr>
              <w:t>+0.0292</w:t>
            </w:r>
          </w:p>
        </w:tc>
        <w:tc>
          <w:tcPr>
            <w:tcW w:type="dxa" w:w="2664"/>
            <w:vAlign w:val="center"/>
          </w:tcPr>
          <w:p>
            <w:pPr>
              <w:keepNext w:val="0"/>
              <w:spacing w:after="0" w:before="0" w:line="240" w:lineRule="auto"/>
              <w:jc w:val="right"/>
            </w:pPr>
            <w:r>
              <w:rPr>
                <w:rFonts w:ascii="Calibri" w:hAnsi="Calibri"/>
                <w:b w:val="0"/>
                <w:sz w:val="19"/>
              </w:rPr>
              <w:t>-0.2727</w:t>
            </w:r>
          </w:p>
        </w:tc>
      </w:tr>
      <w:tr>
        <w:trPr>
          <w:cantSplit/>
        </w:trPr>
        <w:tc>
          <w:tcPr>
            <w:tcW w:type="dxa" w:w="2232"/>
            <w:vAlign w:val="center"/>
          </w:tcPr>
          <w:p>
            <w:pPr>
              <w:keepNext w:val="0"/>
              <w:spacing w:after="0" w:before="0" w:line="240" w:lineRule="auto"/>
            </w:pPr>
            <w:r>
              <w:rPr>
                <w:rFonts w:ascii="Calibri" w:hAnsi="Calibri"/>
                <w:b w:val="0"/>
                <w:sz w:val="19"/>
              </w:rPr>
              <w:t>Computational​Body</w:t>
            </w:r>
          </w:p>
        </w:tc>
        <w:tc>
          <w:tcPr>
            <w:tcW w:type="dxa" w:w="2664"/>
            <w:vAlign w:val="center"/>
          </w:tcPr>
          <w:p>
            <w:pPr>
              <w:keepNext w:val="0"/>
              <w:spacing w:after="0" w:before="0" w:line="240" w:lineRule="auto"/>
              <w:jc w:val="right"/>
            </w:pPr>
            <w:r>
              <w:rPr>
                <w:rFonts w:ascii="Calibri" w:hAnsi="Calibri"/>
                <w:b w:val="0"/>
                <w:sz w:val="19"/>
              </w:rPr>
              <w:t>-0.0479</w:t>
            </w:r>
          </w:p>
        </w:tc>
        <w:tc>
          <w:tcPr>
            <w:tcW w:type="dxa" w:w="2664"/>
            <w:vAlign w:val="center"/>
          </w:tcPr>
          <w:p>
            <w:pPr>
              <w:keepNext w:val="0"/>
              <w:spacing w:after="0" w:before="0" w:line="240" w:lineRule="auto"/>
              <w:jc w:val="right"/>
            </w:pPr>
            <w:r>
              <w:rPr>
                <w:rFonts w:ascii="Calibri" w:hAnsi="Calibri"/>
                <w:b w:val="0"/>
                <w:sz w:val="19"/>
              </w:rPr>
              <w:t>+0.0479</w:t>
            </w:r>
          </w:p>
        </w:tc>
        <w:tc>
          <w:tcPr>
            <w:tcW w:type="dxa" w:w="2664"/>
            <w:vAlign w:val="center"/>
          </w:tcPr>
          <w:p>
            <w:pPr>
              <w:keepNext w:val="0"/>
              <w:spacing w:after="0" w:before="0" w:line="240" w:lineRule="auto"/>
              <w:jc w:val="right"/>
            </w:pPr>
            <w:r>
              <w:rPr>
                <w:rFonts w:ascii="Calibri" w:hAnsi="Calibri"/>
                <w:b w:val="0"/>
                <w:sz w:val="19"/>
              </w:rPr>
              <w:t>-0.3077</w:t>
            </w:r>
          </w:p>
        </w:tc>
      </w:tr>
      <w:tr>
        <w:trPr>
          <w:cantSplit/>
        </w:trPr>
        <w:tc>
          <w:tcPr>
            <w:tcW w:type="dxa" w:w="2232"/>
            <w:vAlign w:val="center"/>
          </w:tcPr>
          <w:p>
            <w:pPr>
              <w:keepNext/>
              <w:spacing w:after="0" w:before="0" w:line="240" w:lineRule="auto"/>
            </w:pPr>
            <w:r>
              <w:rPr>
                <w:rFonts w:ascii="Calibri" w:hAnsi="Calibri"/>
                <w:b w:val="0"/>
                <w:sz w:val="19"/>
              </w:rPr>
              <w:t>StaticWorldMoE</w:t>
            </w:r>
          </w:p>
        </w:tc>
        <w:tc>
          <w:tcPr>
            <w:tcW w:type="dxa" w:w="2664"/>
            <w:vAlign w:val="center"/>
          </w:tcPr>
          <w:p>
            <w:pPr>
              <w:keepNext/>
              <w:spacing w:after="0" w:before="0" w:line="240" w:lineRule="auto"/>
              <w:jc w:val="right"/>
            </w:pPr>
            <w:r>
              <w:rPr>
                <w:rFonts w:ascii="Calibri" w:hAnsi="Calibri"/>
                <w:b w:val="0"/>
                <w:sz w:val="19"/>
              </w:rPr>
              <w:t>-0.0307</w:t>
            </w:r>
          </w:p>
        </w:tc>
        <w:tc>
          <w:tcPr>
            <w:tcW w:type="dxa" w:w="2664"/>
            <w:vAlign w:val="center"/>
          </w:tcPr>
          <w:p>
            <w:pPr>
              <w:keepNext/>
              <w:spacing w:after="0" w:before="0" w:line="240" w:lineRule="auto"/>
              <w:jc w:val="right"/>
            </w:pPr>
            <w:r>
              <w:rPr>
                <w:rFonts w:ascii="Calibri" w:hAnsi="Calibri"/>
                <w:b w:val="0"/>
                <w:sz w:val="19"/>
              </w:rPr>
              <w:t>+0.0307</w:t>
            </w:r>
          </w:p>
        </w:tc>
        <w:tc>
          <w:tcPr>
            <w:tcW w:type="dxa" w:w="2664"/>
            <w:vAlign w:val="center"/>
          </w:tcPr>
          <w:p>
            <w:pPr>
              <w:keepNext/>
              <w:spacing w:after="0" w:before="0" w:line="240" w:lineRule="auto"/>
              <w:jc w:val="right"/>
            </w:pPr>
            <w:r>
              <w:rPr>
                <w:rFonts w:ascii="Calibri" w:hAnsi="Calibri"/>
                <w:b w:val="0"/>
                <w:sz w:val="19"/>
              </w:rPr>
              <w:t>-0.2661</w:t>
            </w:r>
          </w:p>
        </w:tc>
      </w:tr>
    </w:tbl>
    <w:p>
      <w:pPr>
        <w:keepLines/>
        <w:spacing w:before="60" w:after="120"/>
      </w:pPr>
      <w:r>
        <w:rPr>
          <w:sz w:val="18"/>
        </w:rPr>
        <w:t>Controlled simulation.</w:t>
      </w:r>
    </w:p>
    <w:p>
      <w:r>
        <w:t>ComputationalBody shows the largest explicit redistribution in this audit: failed-module weight decreases by approximately 0.048 and the remaining modules gain the same total weight. Internal perturbation therefore changes the allocation of computation as well as the realized module outputs.</w:t>
      </w:r>
    </w:p>
    <w:p>
      <w:pPr>
        <w:pStyle w:val="Heading3"/>
      </w:pPr>
      <w:r>
        <w:t>7.4.6 Dependence on the training objective</w:t>
      </w:r>
    </w:p>
    <w:p>
      <w:r>
        <w:t>BodyAwareWorld has intact mean rollout MSE approximately 0.375 and improves to approximately 0.125 after a lesion. Availability inputs alone therefore do not ensure a useful allocation. The anomalous ordering identifies an interaction between the training distribution, objective and intact configuration.</w:t>
      </w:r>
    </w:p>
    <w:p>
      <w:pPr>
        <w:keepNext/>
        <w:spacing w:after="60"/>
        <w:jc w:val="center"/>
      </w:pPr>
      <w:r>
        <w:drawing>
          <wp:inline xmlns:a="http://schemas.openxmlformats.org/drawingml/2006/main" xmlns:pic="http://schemas.openxmlformats.org/drawingml/2006/picture">
            <wp:extent cx="6309360" cy="3441469"/>
            <wp:docPr id="43" name="Picture 43"/>
            <wp:cNvGraphicFramePr>
              <a:graphicFrameLocks noChangeAspect="1"/>
            </wp:cNvGraphicFramePr>
            <a:graphic>
              <a:graphicData uri="http://schemas.openxmlformats.org/drawingml/2006/picture">
                <pic:pic>
                  <pic:nvPicPr>
                    <pic:cNvPr id="0" name="43_image43.png"/>
                    <pic:cNvPicPr/>
                  </pic:nvPicPr>
                  <pic:blipFill>
                    <a:blip r:embed="rId56"/>
                    <a:stretch>
                      <a:fillRect/>
                    </a:stretch>
                  </pic:blipFill>
                  <pic:spPr>
                    <a:xfrm>
                      <a:off x="0" y="0"/>
                      <a:ext cx="6309360" cy="3441469"/>
                    </a:xfrm>
                    <a:prstGeom prst="rect"/>
                  </pic:spPr>
                </pic:pic>
              </a:graphicData>
            </a:graphic>
          </wp:inline>
        </w:drawing>
      </w:r>
    </w:p>
    <w:p>
      <w:pPr>
        <w:pStyle w:val="Caption"/>
      </w:pPr>
      <w:r>
        <w:t>Figure 43. Long autoregressive world-generation error after effector-1 lesion.</w:t>
      </w:r>
    </w:p>
    <w:p>
      <w:pPr>
        <w:keepNext/>
        <w:spacing w:after="60"/>
        <w:jc w:val="center"/>
      </w:pPr>
      <w:r>
        <w:drawing>
          <wp:inline xmlns:a="http://schemas.openxmlformats.org/drawingml/2006/main" xmlns:pic="http://schemas.openxmlformats.org/drawingml/2006/picture">
            <wp:extent cx="6309360" cy="3441469"/>
            <wp:docPr id="44" name="Picture 44"/>
            <wp:cNvGraphicFramePr>
              <a:graphicFrameLocks noChangeAspect="1"/>
            </wp:cNvGraphicFramePr>
            <a:graphic>
              <a:graphicData uri="http://schemas.openxmlformats.org/drawingml/2006/picture">
                <pic:pic>
                  <pic:nvPicPr>
                    <pic:cNvPr id="0" name="44_image44.png"/>
                    <pic:cNvPicPr/>
                  </pic:nvPicPr>
                  <pic:blipFill>
                    <a:blip r:embed="rId57"/>
                    <a:stretch>
                      <a:fillRect/>
                    </a:stretch>
                  </pic:blipFill>
                  <pic:spPr>
                    <a:xfrm>
                      <a:off x="0" y="0"/>
                      <a:ext cx="6309360" cy="3441469"/>
                    </a:xfrm>
                    <a:prstGeom prst="rect"/>
                  </pic:spPr>
                </pic:pic>
              </a:graphicData>
            </a:graphic>
          </wp:inline>
        </w:drawing>
      </w:r>
    </w:p>
    <w:p>
      <w:pPr>
        <w:pStyle w:val="Caption"/>
      </w:pPr>
      <w:r>
        <w:t>Figure 44. Long autoregressive world-generation error under cumulative computational fatigue.</w:t>
      </w:r>
    </w:p>
    <w:p>
      <w:pPr>
        <w:pStyle w:val="Heading3"/>
      </w:pPr>
      <w:r>
        <w:t>7.4.7 Discussion of the integrated predictor</w:t>
      </w:r>
    </w:p>
    <w:p>
      <w:r>
        <w:t>The experiment combines predictive recurrence and resource-conditioned computation in one generator. A module perturbation changes the internal implementation of prediction without changing the external target.</w:t>
      </w:r>
    </w:p>
    <w:p>
      <w:r>
        <w:t>The demonstrated design can preserve prediction under local module loss by reallocating contributions among the remaining modules, with the reported accuracy and resource costs.</w:t>
      </w:r>
    </w:p>
    <w:p>
      <w:r>
        <w:t>Module roles are operationally defined by their state-dependent effects on output and by the extent to which alternatives preserve prediction after removal.</w:t>
      </w:r>
    </w:p>
    <w:p>
      <w:pPr>
        <w:pStyle w:val="Heading3"/>
      </w:pPr>
      <w:r>
        <w:t>7.4.8 Training implications</w:t>
      </w:r>
    </w:p>
    <w:p>
      <w:r>
        <w:t>1. Make local effectors functionally necessary before interpreting robustness. A shared-only ablation should fail substantially if compensation is genuine.</w:t>
      </w:r>
    </w:p>
    <w:p>
      <w:r>
        <w:t>2. Use a deliberately limited shared backbone for globally reusable world dynamics; allocate nonlinear local transition capacity to overlapping effectors.</w:t>
      </w:r>
    </w:p>
    <w:p>
      <w:r>
        <w:t>3. Train the world model and coordination system as one loop whenever expert availability changes the effective forward computation.</w:t>
      </w:r>
    </w:p>
    <w:p>
      <w:r>
        <w:t>4. Expose temporary expert lesions during training if graceful degradation is a deployment requirement; intact-only training does not teach substitute computation.</w:t>
      </w:r>
    </w:p>
    <w:p>
      <w:r>
        <w:t>5. Evaluate long autoregressive trajectories. One-step teacher forcing can conceal internal-body instability that compounds over generated future frames.</w:t>
      </w:r>
    </w:p>
    <w:p>
      <w:r>
        <w:t>6. Hold the target trajectory fixed when perturbing internal resources. This separates prediction difficulty from the resource intervention.</w:t>
      </w:r>
    </w:p>
    <w:p>
      <w:r>
        <w:t>7. Measure redistribution as well as MSE: failed-effector weight, realized load and compensating weight on surviving effectors.</w:t>
      </w:r>
    </w:p>
    <w:p>
      <w:r>
        <w:t>8. Examine interactions between the training objective and resource inputs when intact prediction is worse than perturbed prediction.</w:t>
      </w:r>
    </w:p>
    <w:p>
      <w:r>
        <w:t>9. State the evaluation objective explicitly. This experiment tests autoregressive prediction and internal resource coordination.</w:t>
      </w:r>
    </w:p>
    <w:p>
      <w:pPr>
        <w:pStyle w:val="Heading3"/>
      </w:pPr>
      <w:r>
        <w:t>7.4.9 Results synthesis</w:t>
      </w:r>
    </w:p>
    <w:p>
      <w:r>
        <w:t>The running prototype implements a recurrent predictor, a limited shared transition path and overlapping modules coordinated under changing availability. The reported evidence is the intact, removal and depletion comparison, together with shared-only and redistribution controls.</w:t>
      </w:r>
    </w:p>
    <w:p>
      <w:r>
        <w:t>Prediction quality, functional module contribution and perturbation response are evaluated as distinct outcomes.</w:t>
      </w:r>
    </w:p>
    <w:p>
      <w:pPr>
        <w:pStyle w:val="Heading3"/>
      </w:pPr>
      <w:r>
        <w:t>7.4.10 Evidence records</w:t>
      </w:r>
    </w:p>
    <w:p>
      <w:pPr>
        <w:spacing w:after="40"/>
      </w:pPr>
      <w:r>
        <w:rPr>
          <w:sz w:val="18"/>
        </w:rPr>
        <w:t>COMPUTATIONAL_​BODY_​WORLD_​MODEL_​018B_​bundle.zip</w:t>
      </w:r>
    </w:p>
    <w:p>
      <w:pPr>
        <w:spacing w:after="40"/>
      </w:pPr>
      <w:r>
        <w:rPr>
          <w:sz w:val="18"/>
        </w:rPr>
        <w:t>COMPUTATIONAL_​BODY_​WORLD_​MODEL_​018B/​scenario_​summary.csv</w:t>
      </w:r>
    </w:p>
    <w:p>
      <w:pPr>
        <w:spacing w:after="40"/>
      </w:pPr>
      <w:r>
        <w:rPr>
          <w:sz w:val="18"/>
        </w:rPr>
        <w:t>COMPUTATIONAL_​BODY_​WORLD_​MODEL_​018B/​robustness.csv</w:t>
      </w:r>
    </w:p>
    <w:p>
      <w:pPr>
        <w:spacing w:after="40"/>
      </w:pPr>
      <w:r>
        <w:rPr>
          <w:sz w:val="18"/>
        </w:rPr>
        <w:t>COMPUTATIONAL_​BODY_​WORLD_​MODEL_​018B/​redistribution.csv</w:t>
      </w:r>
    </w:p>
    <w:p>
      <w:pPr>
        <w:spacing w:after="40"/>
      </w:pPr>
      <w:r>
        <w:rPr>
          <w:sz w:val="18"/>
        </w:rPr>
        <w:t>COMPUTATIONAL_​BODY_​WORLD_​MODEL_​018B/​effector_​necessity.csv</w:t>
      </w:r>
    </w:p>
    <w:p>
      <w:pPr>
        <w:spacing w:after="40"/>
      </w:pPr>
      <w:r>
        <w:rPr>
          <w:sz w:val="18"/>
        </w:rPr>
        <w:t>COMPUTATIONAL_​BODY_​WORLD_​MODEL_​018B/​lesion_​rollout.png</w:t>
      </w:r>
    </w:p>
    <w:p>
      <w:pPr>
        <w:spacing w:after="40"/>
      </w:pPr>
      <w:r>
        <w:rPr>
          <w:sz w:val="18"/>
        </w:rPr>
        <w:t>COMPUTATIONAL_​BODY_​WORLD_​MODEL_​018B/​fatigue_​rollout.png</w:t>
      </w:r>
    </w:p>
    <w:p>
      <w:pPr>
        <w:pStyle w:val="Heading2"/>
      </w:pPr>
      <w:r>
        <w:t>7.5 CROSS-WORLD-STRESS-BATTERY-019 Prediction across transition regimes</w:t>
      </w:r>
    </w:p>
    <w:p>
      <w:r>
        <w:t>The same integrated architecture is evaluated across several controlled transition regimes to measure its operating range.</w:t>
      </w:r>
    </w:p>
    <w:p>
      <w:r>
        <w:t>Fixed architecture: predictive recurrent state → low-rank shared dynamics → overlapping effectors → recurrent body-aware coordination.</w:t>
      </w:r>
    </w:p>
    <w:p>
      <w:pPr>
        <w:pStyle w:val="Heading3"/>
      </w:pPr>
      <w:r>
        <w:t>7.5.1 World battery</w:t>
      </w:r>
    </w:p>
    <w:p>
      <w:pPr>
        <w:pStyle w:val="ListBullet"/>
      </w:pPr>
      <w:r>
        <w:t>smooth — stationary continuous dynamics;</w:t>
      </w:r>
    </w:p>
    <w:p>
      <w:pPr>
        <w:pStyle w:val="ListBullet"/>
      </w:pPr>
      <w:r>
        <w:t>switch — transition mechanism changes abruptly halfway through the trajectory;</w:t>
      </w:r>
    </w:p>
    <w:p>
      <w:pPr>
        <w:pStyle w:val="ListBullet"/>
      </w:pPr>
      <w:r>
        <w:t>curved — strongly state-dependent local curvature;</w:t>
      </w:r>
    </w:p>
    <w:p>
      <w:pPr>
        <w:pStyle w:val="ListBullet"/>
      </w:pPr>
      <w:r>
        <w:t>hidden_memory — a slowly evolving latent driver influences visible dynamics but is not directly observed.</w:t>
      </w:r>
    </w:p>
    <w:p>
      <w:pPr>
        <w:pStyle w:val="Heading3"/>
      </w:pPr>
      <w:r>
        <w:t>7.5.2 Controlling total contribution under availability gating</w:t>
      </w:r>
    </w:p>
    <w:p>
      <w:r>
        <w:t>An initial implementation coupled availability-dependent allocation to the total strength of local transitions, so removing a module could improve calibration by reducing amplitude. The normalized comparison below separates these effects more directly.</w:t>
      </w:r>
    </w:p>
    <w:p>
      <w:pPr>
        <w:pStyle w:val="Heading3"/>
      </w:pPr>
      <w:r>
        <w:t>7.5.3 Normalized recruitment</w:t>
      </w:r>
    </w:p>
    <w:p>
      <w:r>
        <w:t>The realized coordination field was changed from raw (wᵢaᵢ) to normalized recruitment ŵᵢ = wᵢaᵢ / Σⱼ wⱼaⱼ. Availability now primarily redistributes local computation rather than turning total local mechanism strength down.</w:t>
      </w:r>
    </w:p>
    <w:p>
      <w:pPr>
        <w:pStyle w:val="Heading3"/>
      </w:pPr>
      <w:r>
        <w:t>7.5.4 Corrected cross-world result</w:t>
      </w:r>
    </w:p>
    <w:p>
      <w:pPr>
        <w:pStyle w:val="Caption"/>
        <w:keepNext/>
      </w:pPr>
      <w:r>
        <w:t>Table 69. Cross-regime prediction after gain normalization.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230"/>
        <w:gridCol w:w="1230"/>
        <w:gridCol w:w="1230"/>
        <w:gridCol w:w="1230"/>
        <w:gridCol w:w="1230"/>
        <w:gridCol w:w="1230"/>
        <w:gridCol w:w="1230"/>
      </w:tblGrid>
      <w:tr>
        <w:trPr>
          <w:cantSplit/>
          <w:tblHeader/>
        </w:trPr>
        <w:tc>
          <w:tcPr>
            <w:tcW w:type="dxa" w:w="1613"/>
            <w:vAlign w:val="center"/>
            <w:shd w:fill="F2F2F2"/>
          </w:tcPr>
          <w:p>
            <w:pPr>
              <w:keepNext/>
              <w:spacing w:after="0" w:before="0" w:line="240" w:lineRule="auto"/>
            </w:pPr>
            <w:r>
              <w:rPr>
                <w:rFonts w:ascii="Calibri" w:hAnsi="Calibri"/>
                <w:b/>
                <w:sz w:val="18"/>
              </w:rPr>
              <w:t>World</w:t>
            </w:r>
          </w:p>
        </w:tc>
        <w:tc>
          <w:tcPr>
            <w:tcW w:type="dxa" w:w="1230"/>
            <w:vAlign w:val="center"/>
            <w:shd w:fill="F2F2F2"/>
          </w:tcPr>
          <w:p>
            <w:pPr>
              <w:keepNext/>
              <w:spacing w:after="0" w:before="0" w:line="240" w:lineRule="auto"/>
            </w:pPr>
            <w:r>
              <w:rPr>
                <w:rFonts w:ascii="Calibri" w:hAnsi="Calibri"/>
                <w:b/>
                <w:sz w:val="18"/>
              </w:rPr>
              <w:t>Dense MSE</w:t>
            </w:r>
          </w:p>
        </w:tc>
        <w:tc>
          <w:tcPr>
            <w:tcW w:type="dxa" w:w="1230"/>
            <w:vAlign w:val="center"/>
            <w:shd w:fill="F2F2F2"/>
          </w:tcPr>
          <w:p>
            <w:pPr>
              <w:keepNext/>
              <w:spacing w:after="0" w:before="0" w:line="240" w:lineRule="auto"/>
            </w:pPr>
            <w:r>
              <w:rPr>
                <w:rFonts w:ascii="Calibri" w:hAnsi="Calibri"/>
                <w:b/>
                <w:sz w:val="18"/>
              </w:rPr>
              <w:t>Body healthy</w:t>
            </w:r>
          </w:p>
        </w:tc>
        <w:tc>
          <w:tcPr>
            <w:tcW w:type="dxa" w:w="1230"/>
            <w:vAlign w:val="center"/>
            <w:shd w:fill="F2F2F2"/>
          </w:tcPr>
          <w:p>
            <w:pPr>
              <w:keepNext/>
              <w:spacing w:after="0" w:before="0" w:line="240" w:lineRule="auto"/>
            </w:pPr>
            <w:r>
              <w:rPr>
                <w:rFonts w:ascii="Calibri" w:hAnsi="Calibri"/>
                <w:b/>
                <w:sz w:val="18"/>
              </w:rPr>
              <w:t>Body lesion</w:t>
            </w:r>
          </w:p>
        </w:tc>
        <w:tc>
          <w:tcPr>
            <w:tcW w:type="dxa" w:w="1230"/>
            <w:vAlign w:val="center"/>
            <w:shd w:fill="F2F2F2"/>
          </w:tcPr>
          <w:p>
            <w:pPr>
              <w:keepNext/>
              <w:spacing w:after="0" w:before="0" w:line="240" w:lineRule="auto"/>
            </w:pPr>
            <w:r>
              <w:rPr>
                <w:rFonts w:ascii="Calibri" w:hAnsi="Calibri"/>
                <w:b/>
                <w:sz w:val="18"/>
              </w:rPr>
              <w:t>Body fatigue</w:t>
            </w:r>
          </w:p>
        </w:tc>
        <w:tc>
          <w:tcPr>
            <w:tcW w:type="dxa" w:w="1230"/>
            <w:vAlign w:val="center"/>
            <w:shd w:fill="F2F2F2"/>
          </w:tcPr>
          <w:p>
            <w:pPr>
              <w:keepNext/>
              <w:spacing w:after="0" w:before="0" w:line="240" w:lineRule="auto"/>
            </w:pPr>
            <w:r>
              <w:rPr>
                <w:rFonts w:ascii="Calibri" w:hAnsi="Calibri"/>
                <w:b/>
                <w:sz w:val="18"/>
              </w:rPr>
              <w:t>Healthy gain vs dense (%)</w:t>
            </w:r>
          </w:p>
        </w:tc>
        <w:tc>
          <w:tcPr>
            <w:tcW w:type="dxa" w:w="1230"/>
            <w:vAlign w:val="center"/>
            <w:shd w:fill="F2F2F2"/>
          </w:tcPr>
          <w:p>
            <w:pPr>
              <w:keepNext/>
              <w:spacing w:after="0" w:before="0" w:line="240" w:lineRule="auto"/>
            </w:pPr>
            <w:r>
              <w:rPr>
                <w:rFonts w:ascii="Calibri" w:hAnsi="Calibri"/>
                <w:b/>
                <w:sz w:val="18"/>
              </w:rPr>
              <w:t>Lesion degradation (%)</w:t>
            </w:r>
          </w:p>
        </w:tc>
        <w:tc>
          <w:tcPr>
            <w:tcW w:type="dxa" w:w="1230"/>
            <w:vAlign w:val="center"/>
            <w:shd w:fill="F2F2F2"/>
          </w:tcPr>
          <w:p>
            <w:pPr>
              <w:keepNext/>
              <w:spacing w:after="0" w:before="0" w:line="240" w:lineRule="auto"/>
            </w:pPr>
            <w:r>
              <w:rPr>
                <w:rFonts w:ascii="Calibri" w:hAnsi="Calibri"/>
                <w:b/>
                <w:sz w:val="18"/>
              </w:rPr>
              <w:t>Fatigue degradation (%)</w:t>
            </w:r>
          </w:p>
        </w:tc>
      </w:tr>
      <w:tr>
        <w:trPr>
          <w:cantSplit/>
        </w:trPr>
        <w:tc>
          <w:tcPr>
            <w:tcW w:type="dxa" w:w="1613"/>
            <w:vAlign w:val="center"/>
          </w:tcPr>
          <w:p>
            <w:pPr>
              <w:keepNext w:val="0"/>
              <w:spacing w:after="0" w:before="0" w:line="240" w:lineRule="auto"/>
            </w:pPr>
            <w:r>
              <w:rPr>
                <w:rFonts w:ascii="Calibri" w:hAnsi="Calibri"/>
                <w:b w:val="0"/>
                <w:sz w:val="18"/>
              </w:rPr>
              <w:t>smooth</w:t>
            </w:r>
          </w:p>
        </w:tc>
        <w:tc>
          <w:tcPr>
            <w:tcW w:type="dxa" w:w="1230"/>
            <w:vAlign w:val="center"/>
          </w:tcPr>
          <w:p>
            <w:pPr>
              <w:keepNext w:val="0"/>
              <w:spacing w:after="0" w:before="0" w:line="240" w:lineRule="auto"/>
              <w:jc w:val="right"/>
            </w:pPr>
            <w:r>
              <w:rPr>
                <w:rFonts w:ascii="Calibri" w:hAnsi="Calibri"/>
                <w:b w:val="0"/>
                <w:sz w:val="18"/>
              </w:rPr>
              <w:t>0.164</w:t>
            </w:r>
          </w:p>
        </w:tc>
        <w:tc>
          <w:tcPr>
            <w:tcW w:type="dxa" w:w="1230"/>
            <w:vAlign w:val="center"/>
          </w:tcPr>
          <w:p>
            <w:pPr>
              <w:keepNext w:val="0"/>
              <w:spacing w:after="0" w:before="0" w:line="240" w:lineRule="auto"/>
              <w:jc w:val="right"/>
            </w:pPr>
            <w:r>
              <w:rPr>
                <w:rFonts w:ascii="Calibri" w:hAnsi="Calibri"/>
                <w:b w:val="0"/>
                <w:sz w:val="18"/>
              </w:rPr>
              <w:t>0.169</w:t>
            </w:r>
          </w:p>
        </w:tc>
        <w:tc>
          <w:tcPr>
            <w:tcW w:type="dxa" w:w="1230"/>
            <w:vAlign w:val="center"/>
          </w:tcPr>
          <w:p>
            <w:pPr>
              <w:keepNext w:val="0"/>
              <w:spacing w:after="0" w:before="0" w:line="240" w:lineRule="auto"/>
              <w:jc w:val="right"/>
            </w:pPr>
            <w:r>
              <w:rPr>
                <w:rFonts w:ascii="Calibri" w:hAnsi="Calibri"/>
                <w:b w:val="0"/>
                <w:sz w:val="18"/>
              </w:rPr>
              <w:t>0.170</w:t>
            </w:r>
          </w:p>
        </w:tc>
        <w:tc>
          <w:tcPr>
            <w:tcW w:type="dxa" w:w="1230"/>
            <w:vAlign w:val="center"/>
          </w:tcPr>
          <w:p>
            <w:pPr>
              <w:keepNext w:val="0"/>
              <w:spacing w:after="0" w:before="0" w:line="240" w:lineRule="auto"/>
              <w:jc w:val="right"/>
            </w:pPr>
            <w:r>
              <w:rPr>
                <w:rFonts w:ascii="Calibri" w:hAnsi="Calibri"/>
                <w:b w:val="0"/>
                <w:sz w:val="18"/>
              </w:rPr>
              <w:t>0.151</w:t>
            </w:r>
          </w:p>
        </w:tc>
        <w:tc>
          <w:tcPr>
            <w:tcW w:type="dxa" w:w="1230"/>
            <w:vAlign w:val="center"/>
          </w:tcPr>
          <w:p>
            <w:pPr>
              <w:keepNext w:val="0"/>
              <w:spacing w:after="0" w:before="0" w:line="240" w:lineRule="auto"/>
              <w:jc w:val="right"/>
            </w:pPr>
            <w:r>
              <w:rPr>
                <w:rFonts w:ascii="Calibri" w:hAnsi="Calibri"/>
                <w:b w:val="0"/>
                <w:sz w:val="18"/>
              </w:rPr>
              <w:t>-3.104</w:t>
            </w:r>
          </w:p>
        </w:tc>
        <w:tc>
          <w:tcPr>
            <w:tcW w:type="dxa" w:w="1230"/>
            <w:vAlign w:val="center"/>
          </w:tcPr>
          <w:p>
            <w:pPr>
              <w:keepNext w:val="0"/>
              <w:spacing w:after="0" w:before="0" w:line="240" w:lineRule="auto"/>
              <w:jc w:val="right"/>
            </w:pPr>
            <w:r>
              <w:rPr>
                <w:rFonts w:ascii="Calibri" w:hAnsi="Calibri"/>
                <w:b w:val="0"/>
                <w:sz w:val="18"/>
              </w:rPr>
              <w:t>0.281</w:t>
            </w:r>
          </w:p>
        </w:tc>
        <w:tc>
          <w:tcPr>
            <w:tcW w:type="dxa" w:w="1230"/>
            <w:vAlign w:val="center"/>
          </w:tcPr>
          <w:p>
            <w:pPr>
              <w:keepNext w:val="0"/>
              <w:spacing w:after="0" w:before="0" w:line="240" w:lineRule="auto"/>
              <w:jc w:val="right"/>
            </w:pPr>
            <w:r>
              <w:rPr>
                <w:rFonts w:ascii="Calibri" w:hAnsi="Calibri"/>
                <w:b w:val="0"/>
                <w:sz w:val="18"/>
              </w:rPr>
              <w:t>-10.801</w:t>
            </w:r>
          </w:p>
        </w:tc>
      </w:tr>
      <w:tr>
        <w:trPr>
          <w:cantSplit/>
        </w:trPr>
        <w:tc>
          <w:tcPr>
            <w:tcW w:type="dxa" w:w="1613"/>
            <w:vAlign w:val="center"/>
          </w:tcPr>
          <w:p>
            <w:pPr>
              <w:keepNext w:val="0"/>
              <w:spacing w:after="0" w:before="0" w:line="240" w:lineRule="auto"/>
            </w:pPr>
            <w:r>
              <w:rPr>
                <w:rFonts w:ascii="Calibri" w:hAnsi="Calibri"/>
                <w:b w:val="0"/>
                <w:sz w:val="18"/>
              </w:rPr>
              <w:t>switch</w:t>
            </w:r>
          </w:p>
        </w:tc>
        <w:tc>
          <w:tcPr>
            <w:tcW w:type="dxa" w:w="1230"/>
            <w:vAlign w:val="center"/>
          </w:tcPr>
          <w:p>
            <w:pPr>
              <w:keepNext w:val="0"/>
              <w:spacing w:after="0" w:before="0" w:line="240" w:lineRule="auto"/>
              <w:jc w:val="right"/>
            </w:pPr>
            <w:r>
              <w:rPr>
                <w:rFonts w:ascii="Calibri" w:hAnsi="Calibri"/>
                <w:b w:val="0"/>
                <w:sz w:val="18"/>
              </w:rPr>
              <w:t>0.224</w:t>
            </w:r>
          </w:p>
        </w:tc>
        <w:tc>
          <w:tcPr>
            <w:tcW w:type="dxa" w:w="1230"/>
            <w:vAlign w:val="center"/>
          </w:tcPr>
          <w:p>
            <w:pPr>
              <w:keepNext w:val="0"/>
              <w:spacing w:after="0" w:before="0" w:line="240" w:lineRule="auto"/>
              <w:jc w:val="right"/>
            </w:pPr>
            <w:r>
              <w:rPr>
                <w:rFonts w:ascii="Calibri" w:hAnsi="Calibri"/>
                <w:b w:val="0"/>
                <w:sz w:val="18"/>
              </w:rPr>
              <w:t>0.228</w:t>
            </w:r>
          </w:p>
        </w:tc>
        <w:tc>
          <w:tcPr>
            <w:tcW w:type="dxa" w:w="1230"/>
            <w:vAlign w:val="center"/>
          </w:tcPr>
          <w:p>
            <w:pPr>
              <w:keepNext w:val="0"/>
              <w:spacing w:after="0" w:before="0" w:line="240" w:lineRule="auto"/>
              <w:jc w:val="right"/>
            </w:pPr>
            <w:r>
              <w:rPr>
                <w:rFonts w:ascii="Calibri" w:hAnsi="Calibri"/>
                <w:b w:val="0"/>
                <w:sz w:val="18"/>
              </w:rPr>
              <w:t>0.205</w:t>
            </w:r>
          </w:p>
        </w:tc>
        <w:tc>
          <w:tcPr>
            <w:tcW w:type="dxa" w:w="1230"/>
            <w:vAlign w:val="center"/>
          </w:tcPr>
          <w:p>
            <w:pPr>
              <w:keepNext w:val="0"/>
              <w:spacing w:after="0" w:before="0" w:line="240" w:lineRule="auto"/>
              <w:jc w:val="right"/>
            </w:pPr>
            <w:r>
              <w:rPr>
                <w:rFonts w:ascii="Calibri" w:hAnsi="Calibri"/>
                <w:b w:val="0"/>
                <w:sz w:val="18"/>
              </w:rPr>
              <w:t>0.200</w:t>
            </w:r>
          </w:p>
        </w:tc>
        <w:tc>
          <w:tcPr>
            <w:tcW w:type="dxa" w:w="1230"/>
            <w:vAlign w:val="center"/>
          </w:tcPr>
          <w:p>
            <w:pPr>
              <w:keepNext w:val="0"/>
              <w:spacing w:after="0" w:before="0" w:line="240" w:lineRule="auto"/>
              <w:jc w:val="right"/>
            </w:pPr>
            <w:r>
              <w:rPr>
                <w:rFonts w:ascii="Calibri" w:hAnsi="Calibri"/>
                <w:b w:val="0"/>
                <w:sz w:val="18"/>
              </w:rPr>
              <w:t>-1.433</w:t>
            </w:r>
          </w:p>
        </w:tc>
        <w:tc>
          <w:tcPr>
            <w:tcW w:type="dxa" w:w="1230"/>
            <w:vAlign w:val="center"/>
          </w:tcPr>
          <w:p>
            <w:pPr>
              <w:keepNext w:val="0"/>
              <w:spacing w:after="0" w:before="0" w:line="240" w:lineRule="auto"/>
              <w:jc w:val="right"/>
            </w:pPr>
            <w:r>
              <w:rPr>
                <w:rFonts w:ascii="Calibri" w:hAnsi="Calibri"/>
                <w:b w:val="0"/>
                <w:sz w:val="18"/>
              </w:rPr>
              <w:t>-9.804</w:t>
            </w:r>
          </w:p>
        </w:tc>
        <w:tc>
          <w:tcPr>
            <w:tcW w:type="dxa" w:w="1230"/>
            <w:vAlign w:val="center"/>
          </w:tcPr>
          <w:p>
            <w:pPr>
              <w:keepNext w:val="0"/>
              <w:spacing w:after="0" w:before="0" w:line="240" w:lineRule="auto"/>
              <w:jc w:val="right"/>
            </w:pPr>
            <w:r>
              <w:rPr>
                <w:rFonts w:ascii="Calibri" w:hAnsi="Calibri"/>
                <w:b w:val="0"/>
                <w:sz w:val="18"/>
              </w:rPr>
              <w:t>-11.910</w:t>
            </w:r>
          </w:p>
        </w:tc>
      </w:tr>
      <w:tr>
        <w:trPr>
          <w:cantSplit/>
        </w:trPr>
        <w:tc>
          <w:tcPr>
            <w:tcW w:type="dxa" w:w="1613"/>
            <w:vAlign w:val="center"/>
          </w:tcPr>
          <w:p>
            <w:pPr>
              <w:keepNext w:val="0"/>
              <w:spacing w:after="0" w:before="0" w:line="240" w:lineRule="auto"/>
            </w:pPr>
            <w:r>
              <w:rPr>
                <w:rFonts w:ascii="Calibri" w:hAnsi="Calibri"/>
                <w:b w:val="0"/>
                <w:sz w:val="18"/>
              </w:rPr>
              <w:t>curved</w:t>
            </w:r>
          </w:p>
        </w:tc>
        <w:tc>
          <w:tcPr>
            <w:tcW w:type="dxa" w:w="1230"/>
            <w:vAlign w:val="center"/>
          </w:tcPr>
          <w:p>
            <w:pPr>
              <w:keepNext w:val="0"/>
              <w:spacing w:after="0" w:before="0" w:line="240" w:lineRule="auto"/>
              <w:jc w:val="right"/>
            </w:pPr>
            <w:r>
              <w:rPr>
                <w:rFonts w:ascii="Calibri" w:hAnsi="Calibri"/>
                <w:b w:val="0"/>
                <w:sz w:val="18"/>
              </w:rPr>
              <w:t>0.463</w:t>
            </w:r>
          </w:p>
        </w:tc>
        <w:tc>
          <w:tcPr>
            <w:tcW w:type="dxa" w:w="1230"/>
            <w:vAlign w:val="center"/>
          </w:tcPr>
          <w:p>
            <w:pPr>
              <w:keepNext w:val="0"/>
              <w:spacing w:after="0" w:before="0" w:line="240" w:lineRule="auto"/>
              <w:jc w:val="right"/>
            </w:pPr>
            <w:r>
              <w:rPr>
                <w:rFonts w:ascii="Calibri" w:hAnsi="Calibri"/>
                <w:b w:val="0"/>
                <w:sz w:val="18"/>
              </w:rPr>
              <w:t>0.583</w:t>
            </w:r>
          </w:p>
        </w:tc>
        <w:tc>
          <w:tcPr>
            <w:tcW w:type="dxa" w:w="1230"/>
            <w:vAlign w:val="center"/>
          </w:tcPr>
          <w:p>
            <w:pPr>
              <w:keepNext w:val="0"/>
              <w:spacing w:after="0" w:before="0" w:line="240" w:lineRule="auto"/>
              <w:jc w:val="right"/>
            </w:pPr>
            <w:r>
              <w:rPr>
                <w:rFonts w:ascii="Calibri" w:hAnsi="Calibri"/>
                <w:b w:val="0"/>
                <w:sz w:val="18"/>
              </w:rPr>
              <w:t>0.593</w:t>
            </w:r>
          </w:p>
        </w:tc>
        <w:tc>
          <w:tcPr>
            <w:tcW w:type="dxa" w:w="1230"/>
            <w:vAlign w:val="center"/>
          </w:tcPr>
          <w:p>
            <w:pPr>
              <w:keepNext w:val="0"/>
              <w:spacing w:after="0" w:before="0" w:line="240" w:lineRule="auto"/>
              <w:jc w:val="right"/>
            </w:pPr>
            <w:r>
              <w:rPr>
                <w:rFonts w:ascii="Calibri" w:hAnsi="Calibri"/>
                <w:b w:val="0"/>
                <w:sz w:val="18"/>
              </w:rPr>
              <w:t>0.546</w:t>
            </w:r>
          </w:p>
        </w:tc>
        <w:tc>
          <w:tcPr>
            <w:tcW w:type="dxa" w:w="1230"/>
            <w:vAlign w:val="center"/>
          </w:tcPr>
          <w:p>
            <w:pPr>
              <w:keepNext w:val="0"/>
              <w:spacing w:after="0" w:before="0" w:line="240" w:lineRule="auto"/>
              <w:jc w:val="right"/>
            </w:pPr>
            <w:r>
              <w:rPr>
                <w:rFonts w:ascii="Calibri" w:hAnsi="Calibri"/>
                <w:b w:val="0"/>
                <w:sz w:val="18"/>
              </w:rPr>
              <w:t>-25.997</w:t>
            </w:r>
          </w:p>
        </w:tc>
        <w:tc>
          <w:tcPr>
            <w:tcW w:type="dxa" w:w="1230"/>
            <w:vAlign w:val="center"/>
          </w:tcPr>
          <w:p>
            <w:pPr>
              <w:keepNext w:val="0"/>
              <w:spacing w:after="0" w:before="0" w:line="240" w:lineRule="auto"/>
              <w:jc w:val="right"/>
            </w:pPr>
            <w:r>
              <w:rPr>
                <w:rFonts w:ascii="Calibri" w:hAnsi="Calibri"/>
                <w:b w:val="0"/>
                <w:sz w:val="18"/>
              </w:rPr>
              <w:t>1.711</w:t>
            </w:r>
          </w:p>
        </w:tc>
        <w:tc>
          <w:tcPr>
            <w:tcW w:type="dxa" w:w="1230"/>
            <w:vAlign w:val="center"/>
          </w:tcPr>
          <w:p>
            <w:pPr>
              <w:keepNext w:val="0"/>
              <w:spacing w:after="0" w:before="0" w:line="240" w:lineRule="auto"/>
              <w:jc w:val="right"/>
            </w:pPr>
            <w:r>
              <w:rPr>
                <w:rFonts w:ascii="Calibri" w:hAnsi="Calibri"/>
                <w:b w:val="0"/>
                <w:sz w:val="18"/>
              </w:rPr>
              <w:t>-6.337</w:t>
            </w:r>
          </w:p>
        </w:tc>
      </w:tr>
      <w:tr>
        <w:trPr>
          <w:cantSplit/>
        </w:trPr>
        <w:tc>
          <w:tcPr>
            <w:tcW w:type="dxa" w:w="1613"/>
            <w:vAlign w:val="center"/>
          </w:tcPr>
          <w:p>
            <w:pPr>
              <w:keepNext/>
              <w:spacing w:after="0" w:before="0" w:line="240" w:lineRule="auto"/>
            </w:pPr>
            <w:r>
              <w:rPr>
                <w:rFonts w:ascii="Calibri" w:hAnsi="Calibri"/>
                <w:b w:val="0"/>
                <w:sz w:val="18"/>
              </w:rPr>
              <w:t>hidden_memory</w:t>
            </w:r>
          </w:p>
        </w:tc>
        <w:tc>
          <w:tcPr>
            <w:tcW w:type="dxa" w:w="1230"/>
            <w:vAlign w:val="center"/>
          </w:tcPr>
          <w:p>
            <w:pPr>
              <w:keepNext/>
              <w:spacing w:after="0" w:before="0" w:line="240" w:lineRule="auto"/>
              <w:jc w:val="right"/>
            </w:pPr>
            <w:r>
              <w:rPr>
                <w:rFonts w:ascii="Calibri" w:hAnsi="Calibri"/>
                <w:b w:val="0"/>
                <w:sz w:val="18"/>
              </w:rPr>
              <w:t>0.291</w:t>
            </w:r>
          </w:p>
        </w:tc>
        <w:tc>
          <w:tcPr>
            <w:tcW w:type="dxa" w:w="1230"/>
            <w:vAlign w:val="center"/>
          </w:tcPr>
          <w:p>
            <w:pPr>
              <w:keepNext/>
              <w:spacing w:after="0" w:before="0" w:line="240" w:lineRule="auto"/>
              <w:jc w:val="right"/>
            </w:pPr>
            <w:r>
              <w:rPr>
                <w:rFonts w:ascii="Calibri" w:hAnsi="Calibri"/>
                <w:b w:val="0"/>
                <w:sz w:val="18"/>
              </w:rPr>
              <w:t>0.361</w:t>
            </w:r>
          </w:p>
        </w:tc>
        <w:tc>
          <w:tcPr>
            <w:tcW w:type="dxa" w:w="1230"/>
            <w:vAlign w:val="center"/>
          </w:tcPr>
          <w:p>
            <w:pPr>
              <w:keepNext/>
              <w:spacing w:after="0" w:before="0" w:line="240" w:lineRule="auto"/>
              <w:jc w:val="right"/>
            </w:pPr>
            <w:r>
              <w:rPr>
                <w:rFonts w:ascii="Calibri" w:hAnsi="Calibri"/>
                <w:b w:val="0"/>
                <w:sz w:val="18"/>
              </w:rPr>
              <w:t>0.364</w:t>
            </w:r>
          </w:p>
        </w:tc>
        <w:tc>
          <w:tcPr>
            <w:tcW w:type="dxa" w:w="1230"/>
            <w:vAlign w:val="center"/>
          </w:tcPr>
          <w:p>
            <w:pPr>
              <w:keepNext/>
              <w:spacing w:after="0" w:before="0" w:line="240" w:lineRule="auto"/>
              <w:jc w:val="right"/>
            </w:pPr>
            <w:r>
              <w:rPr>
                <w:rFonts w:ascii="Calibri" w:hAnsi="Calibri"/>
                <w:b w:val="0"/>
                <w:sz w:val="18"/>
              </w:rPr>
              <w:t>0.330</w:t>
            </w:r>
          </w:p>
        </w:tc>
        <w:tc>
          <w:tcPr>
            <w:tcW w:type="dxa" w:w="1230"/>
            <w:vAlign w:val="center"/>
          </w:tcPr>
          <w:p>
            <w:pPr>
              <w:keepNext/>
              <w:spacing w:after="0" w:before="0" w:line="240" w:lineRule="auto"/>
              <w:jc w:val="right"/>
            </w:pPr>
            <w:r>
              <w:rPr>
                <w:rFonts w:ascii="Calibri" w:hAnsi="Calibri"/>
                <w:b w:val="0"/>
                <w:sz w:val="18"/>
              </w:rPr>
              <w:t>-24.111</w:t>
            </w:r>
          </w:p>
        </w:tc>
        <w:tc>
          <w:tcPr>
            <w:tcW w:type="dxa" w:w="1230"/>
            <w:vAlign w:val="center"/>
          </w:tcPr>
          <w:p>
            <w:pPr>
              <w:keepNext/>
              <w:spacing w:after="0" w:before="0" w:line="240" w:lineRule="auto"/>
              <w:jc w:val="right"/>
            </w:pPr>
            <w:r>
              <w:rPr>
                <w:rFonts w:ascii="Calibri" w:hAnsi="Calibri"/>
                <w:b w:val="0"/>
                <w:sz w:val="18"/>
              </w:rPr>
              <w:t>0.792</w:t>
            </w:r>
          </w:p>
        </w:tc>
        <w:tc>
          <w:tcPr>
            <w:tcW w:type="dxa" w:w="1230"/>
            <w:vAlign w:val="center"/>
          </w:tcPr>
          <w:p>
            <w:pPr>
              <w:keepNext/>
              <w:spacing w:after="0" w:before="0" w:line="240" w:lineRule="auto"/>
              <w:jc w:val="right"/>
            </w:pPr>
            <w:r>
              <w:rPr>
                <w:rFonts w:ascii="Calibri" w:hAnsi="Calibri"/>
                <w:b w:val="0"/>
                <w:sz w:val="18"/>
              </w:rPr>
              <w:t>-8.747</w:t>
            </w:r>
          </w:p>
        </w:tc>
      </w:tr>
    </w:tbl>
    <w:p>
      <w:pPr>
        <w:keepLines/>
        <w:spacing w:before="60" w:after="120"/>
      </w:pPr>
      <w:r>
        <w:rPr>
          <w:sz w:val="18"/>
        </w:rPr>
        <w:t>Controlled simulation. Lower MSE indicates lower prediction error within the same task and target scaling.</w:t>
      </w:r>
    </w:p>
    <w:p>
      <w:r>
        <w:t>After normalization, the integrated model has accuracy close to DenseWorld on smooth and switching dynamics and higher error on the high-curvature and hidden-memory conditions. The battery measures these regime-dependent differences separately from removal sensitivity.</w:t>
      </w:r>
    </w:p>
    <w:p>
      <w:pPr>
        <w:pStyle w:val="ListBullet"/>
      </w:pPr>
      <w:r>
        <w:t>Smooth: healthy body MSE 0.169 versus DenseWorld 0.164; lesion degradation ≈ 0.3%.</w:t>
      </w:r>
    </w:p>
    <w:p>
      <w:pPr>
        <w:pStyle w:val="ListBullet"/>
      </w:pPr>
      <w:r>
        <w:t>Switch: healthy body MSE 0.228 versus DenseWorld 0.224; lesion still improves performance (~9.8%), so this regime retains a calibration/regularization interaction.</w:t>
      </w:r>
    </w:p>
    <w:p>
      <w:pPr>
        <w:pStyle w:val="ListBullet"/>
      </w:pPr>
      <w:r>
        <w:t>Curved: healthy body MSE 0.583 versus DenseWorld 0.463; lesion degradation ≈ 1.7%.</w:t>
      </w:r>
    </w:p>
    <w:p>
      <w:pPr>
        <w:pStyle w:val="ListBullet"/>
      </w:pPr>
      <w:r>
        <w:t>Hidden-memory: healthy body MSE 0.361 versus DenseWorld 0.291; lesion degradation ≈ 0.8%.</w:t>
      </w:r>
    </w:p>
    <w:p>
      <w:pPr>
        <w:pStyle w:val="ListBullet"/>
      </w:pPr>
      <w:r>
        <w:t>Across all four worlds, lesion routing moves about 0.20–0.27 total weight away from the failed effector into the remaining effectors.</w:t>
      </w:r>
    </w:p>
    <w:p>
      <w:pPr>
        <w:pStyle w:val="Heading3"/>
      </w:pPr>
      <w:r>
        <w:t>7.5.5 Redistribution audit</w:t>
      </w:r>
    </w:p>
    <w:p>
      <w:pPr>
        <w:pStyle w:val="Caption"/>
        <w:keepNext/>
      </w:pPr>
      <w:r>
        <w:t>Table 70. Redistribution across transition regimes.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870"/>
        <w:gridCol w:w="2870"/>
        <w:gridCol w:w="2870"/>
      </w:tblGrid>
      <w:tr>
        <w:trPr>
          <w:cantSplit/>
          <w:tblHeader/>
        </w:trPr>
        <w:tc>
          <w:tcPr>
            <w:tcW w:type="dxa" w:w="1613"/>
            <w:vAlign w:val="center"/>
            <w:shd w:fill="F2F2F2"/>
          </w:tcPr>
          <w:p>
            <w:pPr>
              <w:keepNext/>
              <w:spacing w:after="0" w:before="0" w:line="240" w:lineRule="auto"/>
            </w:pPr>
            <w:r>
              <w:rPr>
                <w:rFonts w:ascii="Calibri" w:hAnsi="Calibri"/>
                <w:b/>
                <w:sz w:val="19"/>
              </w:rPr>
              <w:t>World</w:t>
            </w:r>
          </w:p>
        </w:tc>
        <w:tc>
          <w:tcPr>
            <w:tcW w:type="dxa" w:w="2870"/>
            <w:vAlign w:val="center"/>
            <w:shd w:fill="F2F2F2"/>
          </w:tcPr>
          <w:p>
            <w:pPr>
              <w:keepNext/>
              <w:spacing w:after="0" w:before="0" w:line="240" w:lineRule="auto"/>
            </w:pPr>
            <w:r>
              <w:rPr>
                <w:rFonts w:ascii="Calibri" w:hAnsi="Calibri"/>
                <w:b/>
                <w:sz w:val="19"/>
              </w:rPr>
              <w:t>Failed weight Δ</w:t>
            </w:r>
          </w:p>
        </w:tc>
        <w:tc>
          <w:tcPr>
            <w:tcW w:type="dxa" w:w="2870"/>
            <w:vAlign w:val="center"/>
            <w:shd w:fill="F2F2F2"/>
          </w:tcPr>
          <w:p>
            <w:pPr>
              <w:keepNext/>
              <w:spacing w:after="0" w:before="0" w:line="240" w:lineRule="auto"/>
            </w:pPr>
            <w:r>
              <w:rPr>
                <w:rFonts w:ascii="Calibri" w:hAnsi="Calibri"/>
                <w:b/>
                <w:sz w:val="19"/>
              </w:rPr>
              <w:t>Nonfailed weight gain</w:t>
            </w:r>
          </w:p>
        </w:tc>
        <w:tc>
          <w:tcPr>
            <w:tcW w:type="dxa" w:w="2870"/>
            <w:vAlign w:val="center"/>
            <w:shd w:fill="F2F2F2"/>
          </w:tcPr>
          <w:p>
            <w:pPr>
              <w:keepNext/>
              <w:spacing w:after="0" w:before="0" w:line="240" w:lineRule="auto"/>
            </w:pPr>
            <w:r>
              <w:rPr>
                <w:rFonts w:ascii="Calibri" w:hAnsi="Calibri"/>
                <w:b/>
                <w:sz w:val="19"/>
              </w:rPr>
              <w:t>Failed realized-load Δ</w:t>
            </w:r>
          </w:p>
        </w:tc>
      </w:tr>
      <w:tr>
        <w:trPr>
          <w:cantSplit/>
        </w:trPr>
        <w:tc>
          <w:tcPr>
            <w:tcW w:type="dxa" w:w="1613"/>
            <w:vAlign w:val="center"/>
          </w:tcPr>
          <w:p>
            <w:pPr>
              <w:keepNext w:val="0"/>
              <w:spacing w:after="0" w:before="0" w:line="240" w:lineRule="auto"/>
            </w:pPr>
            <w:r>
              <w:rPr>
                <w:rFonts w:ascii="Calibri" w:hAnsi="Calibri"/>
                <w:b w:val="0"/>
                <w:sz w:val="19"/>
              </w:rPr>
              <w:t>curved</w:t>
            </w:r>
          </w:p>
        </w:tc>
        <w:tc>
          <w:tcPr>
            <w:tcW w:type="dxa" w:w="2870"/>
            <w:vAlign w:val="center"/>
          </w:tcPr>
          <w:p>
            <w:pPr>
              <w:keepNext w:val="0"/>
              <w:spacing w:after="0" w:before="0" w:line="240" w:lineRule="auto"/>
              <w:jc w:val="right"/>
            </w:pPr>
            <w:r>
              <w:rPr>
                <w:rFonts w:ascii="Calibri" w:hAnsi="Calibri"/>
                <w:b w:val="0"/>
                <w:sz w:val="19"/>
              </w:rPr>
              <w:t>-0.256</w:t>
            </w:r>
          </w:p>
        </w:tc>
        <w:tc>
          <w:tcPr>
            <w:tcW w:type="dxa" w:w="2870"/>
            <w:vAlign w:val="center"/>
          </w:tcPr>
          <w:p>
            <w:pPr>
              <w:keepNext w:val="0"/>
              <w:spacing w:after="0" w:before="0" w:line="240" w:lineRule="auto"/>
              <w:jc w:val="right"/>
            </w:pPr>
            <w:r>
              <w:rPr>
                <w:rFonts w:ascii="Calibri" w:hAnsi="Calibri"/>
                <w:b w:val="0"/>
                <w:sz w:val="19"/>
              </w:rPr>
              <w:t>0.256</w:t>
            </w:r>
          </w:p>
        </w:tc>
        <w:tc>
          <w:tcPr>
            <w:tcW w:type="dxa" w:w="2870"/>
            <w:vAlign w:val="center"/>
          </w:tcPr>
          <w:p>
            <w:pPr>
              <w:keepNext w:val="0"/>
              <w:spacing w:after="0" w:before="0" w:line="240" w:lineRule="auto"/>
              <w:jc w:val="right"/>
            </w:pPr>
            <w:r>
              <w:rPr>
                <w:rFonts w:ascii="Calibri" w:hAnsi="Calibri"/>
                <w:b w:val="0"/>
                <w:sz w:val="19"/>
              </w:rPr>
              <w:t>-0.300</w:t>
            </w:r>
          </w:p>
        </w:tc>
      </w:tr>
      <w:tr>
        <w:trPr>
          <w:cantSplit/>
        </w:trPr>
        <w:tc>
          <w:tcPr>
            <w:tcW w:type="dxa" w:w="1613"/>
            <w:vAlign w:val="center"/>
          </w:tcPr>
          <w:p>
            <w:pPr>
              <w:keepNext w:val="0"/>
              <w:spacing w:after="0" w:before="0" w:line="240" w:lineRule="auto"/>
            </w:pPr>
            <w:r>
              <w:rPr>
                <w:rFonts w:ascii="Calibri" w:hAnsi="Calibri"/>
                <w:b w:val="0"/>
                <w:sz w:val="19"/>
              </w:rPr>
              <w:t>hidden_memory</w:t>
            </w:r>
          </w:p>
        </w:tc>
        <w:tc>
          <w:tcPr>
            <w:tcW w:type="dxa" w:w="2870"/>
            <w:vAlign w:val="center"/>
          </w:tcPr>
          <w:p>
            <w:pPr>
              <w:keepNext w:val="0"/>
              <w:spacing w:after="0" w:before="0" w:line="240" w:lineRule="auto"/>
              <w:jc w:val="right"/>
            </w:pPr>
            <w:r>
              <w:rPr>
                <w:rFonts w:ascii="Calibri" w:hAnsi="Calibri"/>
                <w:b w:val="0"/>
                <w:sz w:val="19"/>
              </w:rPr>
              <w:t>-0.199</w:t>
            </w:r>
          </w:p>
        </w:tc>
        <w:tc>
          <w:tcPr>
            <w:tcW w:type="dxa" w:w="2870"/>
            <w:vAlign w:val="center"/>
          </w:tcPr>
          <w:p>
            <w:pPr>
              <w:keepNext w:val="0"/>
              <w:spacing w:after="0" w:before="0" w:line="240" w:lineRule="auto"/>
              <w:jc w:val="right"/>
            </w:pPr>
            <w:r>
              <w:rPr>
                <w:rFonts w:ascii="Calibri" w:hAnsi="Calibri"/>
                <w:b w:val="0"/>
                <w:sz w:val="19"/>
              </w:rPr>
              <w:t>0.199</w:t>
            </w:r>
          </w:p>
        </w:tc>
        <w:tc>
          <w:tcPr>
            <w:tcW w:type="dxa" w:w="2870"/>
            <w:vAlign w:val="center"/>
          </w:tcPr>
          <w:p>
            <w:pPr>
              <w:keepNext w:val="0"/>
              <w:spacing w:after="0" w:before="0" w:line="240" w:lineRule="auto"/>
              <w:jc w:val="right"/>
            </w:pPr>
            <w:r>
              <w:rPr>
                <w:rFonts w:ascii="Calibri" w:hAnsi="Calibri"/>
                <w:b w:val="0"/>
                <w:sz w:val="19"/>
              </w:rPr>
              <w:t>-0.231</w:t>
            </w:r>
          </w:p>
        </w:tc>
      </w:tr>
      <w:tr>
        <w:trPr>
          <w:cantSplit/>
        </w:trPr>
        <w:tc>
          <w:tcPr>
            <w:tcW w:type="dxa" w:w="1613"/>
            <w:vAlign w:val="center"/>
          </w:tcPr>
          <w:p>
            <w:pPr>
              <w:keepNext w:val="0"/>
              <w:spacing w:after="0" w:before="0" w:line="240" w:lineRule="auto"/>
            </w:pPr>
            <w:r>
              <w:rPr>
                <w:rFonts w:ascii="Calibri" w:hAnsi="Calibri"/>
                <w:b w:val="0"/>
                <w:sz w:val="19"/>
              </w:rPr>
              <w:t>smooth</w:t>
            </w:r>
          </w:p>
        </w:tc>
        <w:tc>
          <w:tcPr>
            <w:tcW w:type="dxa" w:w="2870"/>
            <w:vAlign w:val="center"/>
          </w:tcPr>
          <w:p>
            <w:pPr>
              <w:keepNext w:val="0"/>
              <w:spacing w:after="0" w:before="0" w:line="240" w:lineRule="auto"/>
              <w:jc w:val="right"/>
            </w:pPr>
            <w:r>
              <w:rPr>
                <w:rFonts w:ascii="Calibri" w:hAnsi="Calibri"/>
                <w:b w:val="0"/>
                <w:sz w:val="19"/>
              </w:rPr>
              <w:t>-0.271</w:t>
            </w:r>
          </w:p>
        </w:tc>
        <w:tc>
          <w:tcPr>
            <w:tcW w:type="dxa" w:w="2870"/>
            <w:vAlign w:val="center"/>
          </w:tcPr>
          <w:p>
            <w:pPr>
              <w:keepNext w:val="0"/>
              <w:spacing w:after="0" w:before="0" w:line="240" w:lineRule="auto"/>
              <w:jc w:val="right"/>
            </w:pPr>
            <w:r>
              <w:rPr>
                <w:rFonts w:ascii="Calibri" w:hAnsi="Calibri"/>
                <w:b w:val="0"/>
                <w:sz w:val="19"/>
              </w:rPr>
              <w:t>0.271</w:t>
            </w:r>
          </w:p>
        </w:tc>
        <w:tc>
          <w:tcPr>
            <w:tcW w:type="dxa" w:w="2870"/>
            <w:vAlign w:val="center"/>
          </w:tcPr>
          <w:p>
            <w:pPr>
              <w:keepNext w:val="0"/>
              <w:spacing w:after="0" w:before="0" w:line="240" w:lineRule="auto"/>
              <w:jc w:val="right"/>
            </w:pPr>
            <w:r>
              <w:rPr>
                <w:rFonts w:ascii="Calibri" w:hAnsi="Calibri"/>
                <w:b w:val="0"/>
                <w:sz w:val="19"/>
              </w:rPr>
              <w:t>-0.295</w:t>
            </w:r>
          </w:p>
        </w:tc>
      </w:tr>
      <w:tr>
        <w:trPr>
          <w:cantSplit/>
        </w:trPr>
        <w:tc>
          <w:tcPr>
            <w:tcW w:type="dxa" w:w="1613"/>
            <w:vAlign w:val="center"/>
          </w:tcPr>
          <w:p>
            <w:pPr>
              <w:keepNext/>
              <w:spacing w:after="0" w:before="0" w:line="240" w:lineRule="auto"/>
            </w:pPr>
            <w:r>
              <w:rPr>
                <w:rFonts w:ascii="Calibri" w:hAnsi="Calibri"/>
                <w:b w:val="0"/>
                <w:sz w:val="19"/>
              </w:rPr>
              <w:t>switch</w:t>
            </w:r>
          </w:p>
        </w:tc>
        <w:tc>
          <w:tcPr>
            <w:tcW w:type="dxa" w:w="2870"/>
            <w:vAlign w:val="center"/>
          </w:tcPr>
          <w:p>
            <w:pPr>
              <w:keepNext/>
              <w:spacing w:after="0" w:before="0" w:line="240" w:lineRule="auto"/>
              <w:jc w:val="right"/>
            </w:pPr>
            <w:r>
              <w:rPr>
                <w:rFonts w:ascii="Calibri" w:hAnsi="Calibri"/>
                <w:b w:val="0"/>
                <w:sz w:val="19"/>
              </w:rPr>
              <w:t>-0.204</w:t>
            </w:r>
          </w:p>
        </w:tc>
        <w:tc>
          <w:tcPr>
            <w:tcW w:type="dxa" w:w="2870"/>
            <w:vAlign w:val="center"/>
          </w:tcPr>
          <w:p>
            <w:pPr>
              <w:keepNext/>
              <w:spacing w:after="0" w:before="0" w:line="240" w:lineRule="auto"/>
              <w:jc w:val="right"/>
            </w:pPr>
            <w:r>
              <w:rPr>
                <w:rFonts w:ascii="Calibri" w:hAnsi="Calibri"/>
                <w:b w:val="0"/>
                <w:sz w:val="19"/>
              </w:rPr>
              <w:t>0.204</w:t>
            </w:r>
          </w:p>
        </w:tc>
        <w:tc>
          <w:tcPr>
            <w:tcW w:type="dxa" w:w="2870"/>
            <w:vAlign w:val="center"/>
          </w:tcPr>
          <w:p>
            <w:pPr>
              <w:keepNext/>
              <w:spacing w:after="0" w:before="0" w:line="240" w:lineRule="auto"/>
              <w:jc w:val="right"/>
            </w:pPr>
            <w:r>
              <w:rPr>
                <w:rFonts w:ascii="Calibri" w:hAnsi="Calibri"/>
                <w:b w:val="0"/>
                <w:sz w:val="19"/>
              </w:rPr>
              <w:t>-0.228</w:t>
            </w:r>
          </w:p>
        </w:tc>
      </w:tr>
    </w:tbl>
    <w:p>
      <w:pPr>
        <w:keepLines/>
        <w:spacing w:before="60" w:after="120"/>
      </w:pPr>
      <w:r>
        <w:rPr>
          <w:sz w:val="18"/>
        </w:rPr>
        <w:t>Controlled simulation.</w:t>
      </w:r>
    </w:p>
    <w:p>
      <w:pPr>
        <w:keepNext/>
        <w:spacing w:after="60"/>
        <w:jc w:val="center"/>
      </w:pPr>
      <w:r>
        <w:drawing>
          <wp:inline xmlns:a="http://schemas.openxmlformats.org/drawingml/2006/main" xmlns:pic="http://schemas.openxmlformats.org/drawingml/2006/picture">
            <wp:extent cx="6309360" cy="3785616"/>
            <wp:docPr id="45" name="Picture 45"/>
            <wp:cNvGraphicFramePr>
              <a:graphicFrameLocks noChangeAspect="1"/>
            </wp:cNvGraphicFramePr>
            <a:graphic>
              <a:graphicData uri="http://schemas.openxmlformats.org/drawingml/2006/picture">
                <pic:pic>
                  <pic:nvPicPr>
                    <pic:cNvPr id="0" name="45_image45.png"/>
                    <pic:cNvPicPr/>
                  </pic:nvPicPr>
                  <pic:blipFill>
                    <a:blip r:embed="rId58"/>
                    <a:stretch>
                      <a:fillRect/>
                    </a:stretch>
                  </pic:blipFill>
                  <pic:spPr>
                    <a:xfrm>
                      <a:off x="0" y="0"/>
                      <a:ext cx="6309360" cy="3785616"/>
                    </a:xfrm>
                    <a:prstGeom prst="rect"/>
                  </pic:spPr>
                </pic:pic>
              </a:graphicData>
            </a:graphic>
          </wp:inline>
        </w:drawing>
      </w:r>
    </w:p>
    <w:p>
      <w:pPr>
        <w:pStyle w:val="Caption"/>
      </w:pPr>
      <w:r>
        <w:t>Figure 45. Healthy prediction error across four synthetic transition regimes using the fixed integrated architecture and DenseWorld baseline.</w:t>
      </w:r>
    </w:p>
    <w:p>
      <w:pPr>
        <w:keepNext/>
        <w:spacing w:after="60"/>
        <w:jc w:val="center"/>
      </w:pPr>
      <w:r>
        <w:drawing>
          <wp:inline xmlns:a="http://schemas.openxmlformats.org/drawingml/2006/main" xmlns:pic="http://schemas.openxmlformats.org/drawingml/2006/picture">
            <wp:extent cx="6309360" cy="3785616"/>
            <wp:docPr id="46" name="Picture 46"/>
            <wp:cNvGraphicFramePr>
              <a:graphicFrameLocks noChangeAspect="1"/>
            </wp:cNvGraphicFramePr>
            <a:graphic>
              <a:graphicData uri="http://schemas.openxmlformats.org/drawingml/2006/picture">
                <pic:pic>
                  <pic:nvPicPr>
                    <pic:cNvPr id="0" name="46_image46.png"/>
                    <pic:cNvPicPr/>
                  </pic:nvPicPr>
                  <pic:blipFill>
                    <a:blip r:embed="rId59"/>
                    <a:stretch>
                      <a:fillRect/>
                    </a:stretch>
                  </pic:blipFill>
                  <pic:spPr>
                    <a:xfrm>
                      <a:off x="0" y="0"/>
                      <a:ext cx="6309360" cy="3785616"/>
                    </a:xfrm>
                    <a:prstGeom prst="rect"/>
                  </pic:spPr>
                </pic:pic>
              </a:graphicData>
            </a:graphic>
          </wp:inline>
        </w:drawing>
      </w:r>
    </w:p>
    <w:p>
      <w:pPr>
        <w:pStyle w:val="Caption"/>
      </w:pPr>
      <w:r>
        <w:t>Figure 46. Prediction under module removal and depletion across the four synthetic regimes. The external target dynamics are held fixed within each regime.</w:t>
      </w:r>
    </w:p>
    <w:p>
      <w:pPr>
        <w:keepNext/>
        <w:spacing w:after="60"/>
        <w:jc w:val="center"/>
      </w:pPr>
      <w:r>
        <w:drawing>
          <wp:inline xmlns:a="http://schemas.openxmlformats.org/drawingml/2006/main" xmlns:pic="http://schemas.openxmlformats.org/drawingml/2006/picture">
            <wp:extent cx="6309360" cy="3562933"/>
            <wp:docPr id="47" name="Picture 47"/>
            <wp:cNvGraphicFramePr>
              <a:graphicFrameLocks noChangeAspect="1"/>
            </wp:cNvGraphicFramePr>
            <a:graphic>
              <a:graphicData uri="http://schemas.openxmlformats.org/drawingml/2006/picture">
                <pic:pic>
                  <pic:nvPicPr>
                    <pic:cNvPr id="0" name="47_image47.png"/>
                    <pic:cNvPicPr/>
                  </pic:nvPicPr>
                  <pic:blipFill>
                    <a:blip r:embed="rId60"/>
                    <a:stretch>
                      <a:fillRect/>
                    </a:stretch>
                  </pic:blipFill>
                  <pic:spPr>
                    <a:xfrm>
                      <a:off x="0" y="0"/>
                      <a:ext cx="6309360" cy="3562933"/>
                    </a:xfrm>
                    <a:prstGeom prst="rect"/>
                  </pic:spPr>
                </pic:pic>
              </a:graphicData>
            </a:graphic>
          </wp:inline>
        </w:drawing>
      </w:r>
    </w:p>
    <w:p>
      <w:pPr>
        <w:pStyle w:val="Caption"/>
      </w:pPr>
      <w:r>
        <w:t>Figure 47. Effect of normalizing availability-weighted recruitment. The comparison diagnoses coupling between module allocation and total transition amplitude.</w:t>
      </w:r>
    </w:p>
    <w:p>
      <w:pPr>
        <w:pStyle w:val="Heading3"/>
      </w:pPr>
      <w:r>
        <w:t>7.5.6 Interpretation</w:t>
      </w:r>
    </w:p>
    <w:p>
      <w:r>
        <w:t>The four-regime comparison defines an empirical operating range for this prototype.</w:t>
      </w:r>
    </w:p>
    <w:p>
      <w:r>
        <w:t>The key correction from 019 is structural: when experts jointly represent one conserved functional contribution, body-state gating must separate allocation from total functional gain.</w:t>
      </w:r>
    </w:p>
    <w:p>
      <w:r>
        <w:t>A useful comparison of added components should report whether improvements in difficult regimes also preserve prediction under module removal.</w:t>
      </w:r>
    </w:p>
    <w:p>
      <w:pPr>
        <w:pStyle w:val="Heading3"/>
      </w:pPr>
      <w:r>
        <w:t>7.5.7 Training implications</w:t>
      </w:r>
    </w:p>
    <w:p>
      <w:r>
        <w:t>1. Keep one core architecture fixed across the stress battery; per-domain hand tuning is not evidence of generality.</w:t>
      </w:r>
    </w:p>
    <w:p>
      <w:r>
        <w:t>2. Measure healthy accuracy and internal-body robustness separately. A model can be robust yet systematically underfit a world regime.</w:t>
      </w:r>
    </w:p>
    <w:p>
      <w:r>
        <w:t>3. Preserve functional invariants under internal damage. If availability only reallocates responsibility, normalize or explicitly model total mechanism gain.</w:t>
      </w:r>
    </w:p>
    <w:p>
      <w:r>
        <w:t>4. Treat lesion-improves-accuracy as a red flag for a confounded stress test.</w:t>
      </w:r>
    </w:p>
    <w:p>
      <w:r>
        <w:t>5. Keep smooth, abrupt-switch, high-curvature and hidden-memory worlds as a permanent regression suite.</w:t>
      </w:r>
    </w:p>
    <w:p>
      <w:r>
        <w:t>6. Assess high-curvature and hidden-memory conditions separately when selecting local capacity or state timescales.</w:t>
      </w:r>
    </w:p>
    <w:p>
      <w:r>
        <w:t>7. Evaluate an added component across repeated seeds and regimes, including both intact and perturbed predictions.</w:t>
      </w:r>
    </w:p>
    <w:p>
      <w:pPr>
        <w:pStyle w:val="Heading3"/>
      </w:pPr>
      <w:r>
        <w:t>7.5.8 Results synthesis</w:t>
      </w:r>
    </w:p>
    <w:p>
      <w:r>
        <w:t>Module loss redistributes approximately 0.20–0.27 total weight and produces little rollout deterioration in three regimes. In the switching condition, removal improves error, indicating a remaining calibration interaction. High-curvature and hidden-memory conditions have higher intact error than DenseWorld. Experiment 020 tests targeted changes to those two representation demands.</w:t>
      </w:r>
    </w:p>
    <w:p>
      <w:pPr>
        <w:pStyle w:val="Heading2"/>
      </w:pPr>
      <w:r>
        <w:t>7.6 TARGETED-FAILURE-REPAIR-020 Curvature + Slow-State Repair</w:t>
      </w:r>
    </w:p>
    <w:p>
      <w:r>
        <w:t>This experiment tests local nonlinear features and a slow predictive state in the high-curvature and hidden-memory conditions identified in 019. The central coordination design is held fixed, and the selected combination is evaluated with a second initialization across the four-regime battery.</w:t>
      </w:r>
    </w:p>
    <w:p>
      <w:pPr>
        <w:pStyle w:val="Heading3"/>
      </w:pPr>
      <w:r>
        <w:t>7.6.1 Architectural comparisons</w:t>
      </w:r>
    </w:p>
    <w:p>
      <w:pPr>
        <w:pStyle w:val="ListBullet"/>
      </w:pPr>
      <w:r>
        <w:t>Curvature Patch — local effectors receive a compact squared nonlinear feature channel; the low-rank shared pathway is unchanged.</w:t>
      </w:r>
    </w:p>
    <w:p>
      <w:pPr>
        <w:pStyle w:val="ListBullet"/>
      </w:pPr>
      <w:r>
        <w:t>Slow-State Patch — predictive state gains a low-dimensional slow component beside the fast recurrent state.</w:t>
      </w:r>
    </w:p>
    <w:p>
      <w:pPr>
        <w:pStyle w:val="ListBullet"/>
      </w:pPr>
      <w:r>
        <w:t>Dual Patch — combines both repairs with no change to body-state routing, gain normalization or lesion training.</w:t>
      </w:r>
    </w:p>
    <w:p>
      <w:pPr>
        <w:pStyle w:val="ListBullet"/>
      </w:pPr>
      <w:r>
        <w:t>AdaptiveDual adds a resettable slow-state component after a seed-specific switch-regime deterioration. Its results are retained as a comparison with the simpler fixed-slow Dual model.</w:t>
      </w:r>
    </w:p>
    <w:p>
      <w:pPr>
        <w:pStyle w:val="Heading3"/>
      </w:pPr>
      <w:r>
        <w:t>7.6.2 Two-seed regression result</w:t>
      </w:r>
    </w:p>
    <w:p>
      <w:pPr>
        <w:pStyle w:val="Caption"/>
        <w:keepNext/>
      </w:pPr>
      <w:r>
        <w:t>Table 71. Two-seed comparison of the Dual model.</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World</w:t>
            </w:r>
          </w:p>
        </w:tc>
        <w:tc>
          <w:tcPr>
            <w:tcW w:type="dxa" w:w="1722"/>
            <w:vAlign w:val="center"/>
            <w:shd w:fill="F2F2F2"/>
          </w:tcPr>
          <w:p>
            <w:pPr>
              <w:keepNext/>
              <w:spacing w:after="0" w:before="0" w:line="240" w:lineRule="auto"/>
            </w:pPr>
            <w:r>
              <w:rPr>
                <w:rFonts w:ascii="Calibri" w:hAnsi="Calibri"/>
                <w:b/>
                <w:sz w:val="19"/>
              </w:rPr>
              <w:t>Dense MSE</w:t>
            </w:r>
          </w:p>
        </w:tc>
        <w:tc>
          <w:tcPr>
            <w:tcW w:type="dxa" w:w="1722"/>
            <w:vAlign w:val="center"/>
            <w:shd w:fill="F2F2F2"/>
          </w:tcPr>
          <w:p>
            <w:pPr>
              <w:keepNext/>
              <w:spacing w:after="0" w:before="0" w:line="240" w:lineRule="auto"/>
            </w:pPr>
            <w:r>
              <w:rPr>
                <w:rFonts w:ascii="Calibri" w:hAnsi="Calibri"/>
                <w:b/>
                <w:sz w:val="19"/>
              </w:rPr>
              <w:t>Baseline</w:t>
            </w:r>
          </w:p>
        </w:tc>
        <w:tc>
          <w:tcPr>
            <w:tcW w:type="dxa" w:w="1722"/>
            <w:vAlign w:val="center"/>
            <w:shd w:fill="F2F2F2"/>
          </w:tcPr>
          <w:p>
            <w:pPr>
              <w:keepNext/>
              <w:spacing w:after="0" w:before="0" w:line="240" w:lineRule="auto"/>
            </w:pPr>
            <w:r>
              <w:rPr>
                <w:rFonts w:ascii="Calibri" w:hAnsi="Calibri"/>
                <w:b/>
                <w:sz w:val="19"/>
              </w:rPr>
              <w:t>Dual</w:t>
            </w:r>
          </w:p>
        </w:tc>
        <w:tc>
          <w:tcPr>
            <w:tcW w:type="dxa" w:w="1722"/>
            <w:vAlign w:val="center"/>
            <w:shd w:fill="F2F2F2"/>
          </w:tcPr>
          <w:p>
            <w:pPr>
              <w:keepNext/>
              <w:spacing w:after="0" w:before="0" w:line="240" w:lineRule="auto"/>
            </w:pPr>
            <w:r>
              <w:rPr>
                <w:rFonts w:ascii="Calibri" w:hAnsi="Calibri"/>
                <w:b/>
                <w:sz w:val="19"/>
              </w:rPr>
              <w:t>Dual vs Dense</w:t>
            </w:r>
          </w:p>
        </w:tc>
        <w:tc>
          <w:tcPr>
            <w:tcW w:type="dxa" w:w="1722"/>
            <w:vAlign w:val="center"/>
            <w:shd w:fill="F2F2F2"/>
          </w:tcPr>
          <w:p>
            <w:pPr>
              <w:keepNext/>
              <w:spacing w:after="0" w:before="0" w:line="240" w:lineRule="auto"/>
            </w:pPr>
            <w:r>
              <w:rPr>
                <w:rFonts w:ascii="Calibri" w:hAnsi="Calibri"/>
                <w:b/>
                <w:sz w:val="19"/>
              </w:rPr>
              <w:t>Lesion Δ</w:t>
            </w:r>
          </w:p>
        </w:tc>
      </w:tr>
      <w:tr>
        <w:trPr>
          <w:cantSplit/>
        </w:trPr>
        <w:tc>
          <w:tcPr>
            <w:tcW w:type="dxa" w:w="1613"/>
            <w:vAlign w:val="center"/>
          </w:tcPr>
          <w:p>
            <w:pPr>
              <w:keepNext w:val="0"/>
              <w:spacing w:after="0" w:before="0" w:line="240" w:lineRule="auto"/>
            </w:pPr>
            <w:r>
              <w:rPr>
                <w:rFonts w:ascii="Calibri" w:hAnsi="Calibri"/>
                <w:b w:val="0"/>
                <w:sz w:val="19"/>
              </w:rPr>
              <w:t>smooth</w:t>
            </w:r>
          </w:p>
        </w:tc>
        <w:tc>
          <w:tcPr>
            <w:tcW w:type="dxa" w:w="1722"/>
            <w:vAlign w:val="center"/>
          </w:tcPr>
          <w:p>
            <w:pPr>
              <w:keepNext w:val="0"/>
              <w:spacing w:after="0" w:before="0" w:line="240" w:lineRule="auto"/>
              <w:jc w:val="right"/>
            </w:pPr>
            <w:r>
              <w:rPr>
                <w:rFonts w:ascii="Calibri" w:hAnsi="Calibri"/>
                <w:b w:val="0"/>
                <w:sz w:val="19"/>
              </w:rPr>
              <w:t>0.157</w:t>
            </w:r>
          </w:p>
        </w:tc>
        <w:tc>
          <w:tcPr>
            <w:tcW w:type="dxa" w:w="1722"/>
            <w:vAlign w:val="center"/>
          </w:tcPr>
          <w:p>
            <w:pPr>
              <w:keepNext w:val="0"/>
              <w:spacing w:after="0" w:before="0" w:line="240" w:lineRule="auto"/>
              <w:jc w:val="right"/>
            </w:pPr>
            <w:r>
              <w:rPr>
                <w:rFonts w:ascii="Calibri" w:hAnsi="Calibri"/>
                <w:b w:val="0"/>
                <w:sz w:val="19"/>
              </w:rPr>
              <w:t>0.142</w:t>
            </w:r>
          </w:p>
        </w:tc>
        <w:tc>
          <w:tcPr>
            <w:tcW w:type="dxa" w:w="1722"/>
            <w:vAlign w:val="center"/>
          </w:tcPr>
          <w:p>
            <w:pPr>
              <w:keepNext w:val="0"/>
              <w:spacing w:after="0" w:before="0" w:line="240" w:lineRule="auto"/>
              <w:jc w:val="right"/>
            </w:pPr>
            <w:r>
              <w:rPr>
                <w:rFonts w:ascii="Calibri" w:hAnsi="Calibri"/>
                <w:b w:val="0"/>
                <w:sz w:val="19"/>
              </w:rPr>
              <w:t>0.117</w:t>
            </w:r>
          </w:p>
        </w:tc>
        <w:tc>
          <w:tcPr>
            <w:tcW w:type="dxa" w:w="1722"/>
            <w:vAlign w:val="center"/>
          </w:tcPr>
          <w:p>
            <w:pPr>
              <w:keepNext w:val="0"/>
              <w:spacing w:after="0" w:before="0" w:line="240" w:lineRule="auto"/>
              <w:jc w:val="right"/>
            </w:pPr>
            <w:r>
              <w:rPr>
                <w:rFonts w:ascii="Calibri" w:hAnsi="Calibri"/>
                <w:b w:val="0"/>
                <w:sz w:val="19"/>
              </w:rPr>
              <w:t>-25.5%</w:t>
            </w:r>
          </w:p>
        </w:tc>
        <w:tc>
          <w:tcPr>
            <w:tcW w:type="dxa" w:w="1722"/>
            <w:vAlign w:val="center"/>
          </w:tcPr>
          <w:p>
            <w:pPr>
              <w:keepNext w:val="0"/>
              <w:spacing w:after="0" w:before="0" w:line="240" w:lineRule="auto"/>
              <w:jc w:val="right"/>
            </w:pPr>
            <w:r>
              <w:rPr>
                <w:rFonts w:ascii="Calibri" w:hAnsi="Calibri"/>
                <w:b w:val="0"/>
                <w:sz w:val="19"/>
              </w:rPr>
              <w:t>+2.4%</w:t>
            </w:r>
          </w:p>
        </w:tc>
      </w:tr>
      <w:tr>
        <w:trPr>
          <w:cantSplit/>
        </w:trPr>
        <w:tc>
          <w:tcPr>
            <w:tcW w:type="dxa" w:w="1613"/>
            <w:vAlign w:val="center"/>
          </w:tcPr>
          <w:p>
            <w:pPr>
              <w:keepNext w:val="0"/>
              <w:spacing w:after="0" w:before="0" w:line="240" w:lineRule="auto"/>
            </w:pPr>
            <w:r>
              <w:rPr>
                <w:rFonts w:ascii="Calibri" w:hAnsi="Calibri"/>
                <w:b w:val="0"/>
                <w:sz w:val="19"/>
              </w:rPr>
              <w:t>switch</w:t>
            </w:r>
          </w:p>
        </w:tc>
        <w:tc>
          <w:tcPr>
            <w:tcW w:type="dxa" w:w="1722"/>
            <w:vAlign w:val="center"/>
          </w:tcPr>
          <w:p>
            <w:pPr>
              <w:keepNext w:val="0"/>
              <w:spacing w:after="0" w:before="0" w:line="240" w:lineRule="auto"/>
              <w:jc w:val="right"/>
            </w:pPr>
            <w:r>
              <w:rPr>
                <w:rFonts w:ascii="Calibri" w:hAnsi="Calibri"/>
                <w:b w:val="0"/>
                <w:sz w:val="19"/>
              </w:rPr>
              <w:t>0.143</w:t>
            </w:r>
          </w:p>
        </w:tc>
        <w:tc>
          <w:tcPr>
            <w:tcW w:type="dxa" w:w="1722"/>
            <w:vAlign w:val="center"/>
          </w:tcPr>
          <w:p>
            <w:pPr>
              <w:keepNext w:val="0"/>
              <w:spacing w:after="0" w:before="0" w:line="240" w:lineRule="auto"/>
              <w:jc w:val="right"/>
            </w:pPr>
            <w:r>
              <w:rPr>
                <w:rFonts w:ascii="Calibri" w:hAnsi="Calibri"/>
                <w:b w:val="0"/>
                <w:sz w:val="19"/>
              </w:rPr>
              <w:t>0.133</w:t>
            </w:r>
          </w:p>
        </w:tc>
        <w:tc>
          <w:tcPr>
            <w:tcW w:type="dxa" w:w="1722"/>
            <w:vAlign w:val="center"/>
          </w:tcPr>
          <w:p>
            <w:pPr>
              <w:keepNext w:val="0"/>
              <w:spacing w:after="0" w:before="0" w:line="240" w:lineRule="auto"/>
              <w:jc w:val="right"/>
            </w:pPr>
            <w:r>
              <w:rPr>
                <w:rFonts w:ascii="Calibri" w:hAnsi="Calibri"/>
                <w:b w:val="0"/>
                <w:sz w:val="19"/>
              </w:rPr>
              <w:t>0.138</w:t>
            </w:r>
          </w:p>
        </w:tc>
        <w:tc>
          <w:tcPr>
            <w:tcW w:type="dxa" w:w="1722"/>
            <w:vAlign w:val="center"/>
          </w:tcPr>
          <w:p>
            <w:pPr>
              <w:keepNext w:val="0"/>
              <w:spacing w:after="0" w:before="0" w:line="240" w:lineRule="auto"/>
              <w:jc w:val="right"/>
            </w:pPr>
            <w:r>
              <w:rPr>
                <w:rFonts w:ascii="Calibri" w:hAnsi="Calibri"/>
                <w:b w:val="0"/>
                <w:sz w:val="19"/>
              </w:rPr>
              <w:t>-3.1%</w:t>
            </w:r>
          </w:p>
        </w:tc>
        <w:tc>
          <w:tcPr>
            <w:tcW w:type="dxa" w:w="1722"/>
            <w:vAlign w:val="center"/>
          </w:tcPr>
          <w:p>
            <w:pPr>
              <w:keepNext w:val="0"/>
              <w:spacing w:after="0" w:before="0" w:line="240" w:lineRule="auto"/>
              <w:jc w:val="right"/>
            </w:pPr>
            <w:r>
              <w:rPr>
                <w:rFonts w:ascii="Calibri" w:hAnsi="Calibri"/>
                <w:b w:val="0"/>
                <w:sz w:val="19"/>
              </w:rPr>
              <w:t>+1.1%</w:t>
            </w:r>
          </w:p>
        </w:tc>
      </w:tr>
      <w:tr>
        <w:trPr>
          <w:cantSplit/>
        </w:trPr>
        <w:tc>
          <w:tcPr>
            <w:tcW w:type="dxa" w:w="1613"/>
            <w:vAlign w:val="center"/>
          </w:tcPr>
          <w:p>
            <w:pPr>
              <w:keepNext w:val="0"/>
              <w:spacing w:after="0" w:before="0" w:line="240" w:lineRule="auto"/>
            </w:pPr>
            <w:r>
              <w:rPr>
                <w:rFonts w:ascii="Calibri" w:hAnsi="Calibri"/>
                <w:b w:val="0"/>
                <w:sz w:val="19"/>
              </w:rPr>
              <w:t>curved</w:t>
            </w:r>
          </w:p>
        </w:tc>
        <w:tc>
          <w:tcPr>
            <w:tcW w:type="dxa" w:w="1722"/>
            <w:vAlign w:val="center"/>
          </w:tcPr>
          <w:p>
            <w:pPr>
              <w:keepNext w:val="0"/>
              <w:spacing w:after="0" w:before="0" w:line="240" w:lineRule="auto"/>
              <w:jc w:val="right"/>
            </w:pPr>
            <w:r>
              <w:rPr>
                <w:rFonts w:ascii="Calibri" w:hAnsi="Calibri"/>
                <w:b w:val="0"/>
                <w:sz w:val="19"/>
              </w:rPr>
              <w:t>0.653</w:t>
            </w:r>
          </w:p>
        </w:tc>
        <w:tc>
          <w:tcPr>
            <w:tcW w:type="dxa" w:w="1722"/>
            <w:vAlign w:val="center"/>
          </w:tcPr>
          <w:p>
            <w:pPr>
              <w:keepNext w:val="0"/>
              <w:spacing w:after="0" w:before="0" w:line="240" w:lineRule="auto"/>
              <w:jc w:val="right"/>
            </w:pPr>
            <w:r>
              <w:rPr>
                <w:rFonts w:ascii="Calibri" w:hAnsi="Calibri"/>
                <w:b w:val="0"/>
                <w:sz w:val="19"/>
              </w:rPr>
              <w:t>0.641</w:t>
            </w:r>
          </w:p>
        </w:tc>
        <w:tc>
          <w:tcPr>
            <w:tcW w:type="dxa" w:w="1722"/>
            <w:vAlign w:val="center"/>
          </w:tcPr>
          <w:p>
            <w:pPr>
              <w:keepNext w:val="0"/>
              <w:spacing w:after="0" w:before="0" w:line="240" w:lineRule="auto"/>
              <w:jc w:val="right"/>
            </w:pPr>
            <w:r>
              <w:rPr>
                <w:rFonts w:ascii="Calibri" w:hAnsi="Calibri"/>
                <w:b w:val="0"/>
                <w:sz w:val="19"/>
              </w:rPr>
              <w:t>0.554</w:t>
            </w:r>
          </w:p>
        </w:tc>
        <w:tc>
          <w:tcPr>
            <w:tcW w:type="dxa" w:w="1722"/>
            <w:vAlign w:val="center"/>
          </w:tcPr>
          <w:p>
            <w:pPr>
              <w:keepNext w:val="0"/>
              <w:spacing w:after="0" w:before="0" w:line="240" w:lineRule="auto"/>
              <w:jc w:val="right"/>
            </w:pPr>
            <w:r>
              <w:rPr>
                <w:rFonts w:ascii="Calibri" w:hAnsi="Calibri"/>
                <w:b w:val="0"/>
                <w:sz w:val="19"/>
              </w:rPr>
              <w:t>-15.2%</w:t>
            </w:r>
          </w:p>
        </w:tc>
        <w:tc>
          <w:tcPr>
            <w:tcW w:type="dxa" w:w="1722"/>
            <w:vAlign w:val="center"/>
          </w:tcPr>
          <w:p>
            <w:pPr>
              <w:keepNext w:val="0"/>
              <w:spacing w:after="0" w:before="0" w:line="240" w:lineRule="auto"/>
              <w:jc w:val="right"/>
            </w:pPr>
            <w:r>
              <w:rPr>
                <w:rFonts w:ascii="Calibri" w:hAnsi="Calibri"/>
                <w:b w:val="0"/>
                <w:sz w:val="19"/>
              </w:rPr>
              <w:t>+0.8%</w:t>
            </w:r>
          </w:p>
        </w:tc>
      </w:tr>
      <w:tr>
        <w:trPr>
          <w:cantSplit/>
        </w:trPr>
        <w:tc>
          <w:tcPr>
            <w:tcW w:type="dxa" w:w="1613"/>
            <w:vAlign w:val="center"/>
          </w:tcPr>
          <w:p>
            <w:pPr>
              <w:keepNext/>
              <w:spacing w:after="0" w:before="0" w:line="240" w:lineRule="auto"/>
            </w:pPr>
            <w:r>
              <w:rPr>
                <w:rFonts w:ascii="Calibri" w:hAnsi="Calibri"/>
                <w:b w:val="0"/>
                <w:sz w:val="19"/>
              </w:rPr>
              <w:t>hidden_memory</w:t>
            </w:r>
          </w:p>
        </w:tc>
        <w:tc>
          <w:tcPr>
            <w:tcW w:type="dxa" w:w="1722"/>
            <w:vAlign w:val="center"/>
          </w:tcPr>
          <w:p>
            <w:pPr>
              <w:keepNext/>
              <w:spacing w:after="0" w:before="0" w:line="240" w:lineRule="auto"/>
              <w:jc w:val="right"/>
            </w:pPr>
            <w:r>
              <w:rPr>
                <w:rFonts w:ascii="Calibri" w:hAnsi="Calibri"/>
                <w:b w:val="0"/>
                <w:sz w:val="19"/>
              </w:rPr>
              <w:t>0.330</w:t>
            </w:r>
          </w:p>
        </w:tc>
        <w:tc>
          <w:tcPr>
            <w:tcW w:type="dxa" w:w="1722"/>
            <w:vAlign w:val="center"/>
          </w:tcPr>
          <w:p>
            <w:pPr>
              <w:keepNext/>
              <w:spacing w:after="0" w:before="0" w:line="240" w:lineRule="auto"/>
              <w:jc w:val="right"/>
            </w:pPr>
            <w:r>
              <w:rPr>
                <w:rFonts w:ascii="Calibri" w:hAnsi="Calibri"/>
                <w:b w:val="0"/>
                <w:sz w:val="19"/>
              </w:rPr>
              <w:t>0.374</w:t>
            </w:r>
          </w:p>
        </w:tc>
        <w:tc>
          <w:tcPr>
            <w:tcW w:type="dxa" w:w="1722"/>
            <w:vAlign w:val="center"/>
          </w:tcPr>
          <w:p>
            <w:pPr>
              <w:keepNext/>
              <w:spacing w:after="0" w:before="0" w:line="240" w:lineRule="auto"/>
              <w:jc w:val="right"/>
            </w:pPr>
            <w:r>
              <w:rPr>
                <w:rFonts w:ascii="Calibri" w:hAnsi="Calibri"/>
                <w:b w:val="0"/>
                <w:sz w:val="19"/>
              </w:rPr>
              <w:t>0.295</w:t>
            </w:r>
          </w:p>
        </w:tc>
        <w:tc>
          <w:tcPr>
            <w:tcW w:type="dxa" w:w="1722"/>
            <w:vAlign w:val="center"/>
          </w:tcPr>
          <w:p>
            <w:pPr>
              <w:keepNext/>
              <w:spacing w:after="0" w:before="0" w:line="240" w:lineRule="auto"/>
              <w:jc w:val="right"/>
            </w:pPr>
            <w:r>
              <w:rPr>
                <w:rFonts w:ascii="Calibri" w:hAnsi="Calibri"/>
                <w:b w:val="0"/>
                <w:sz w:val="19"/>
              </w:rPr>
              <w:t>-10.8%</w:t>
            </w:r>
          </w:p>
        </w:tc>
        <w:tc>
          <w:tcPr>
            <w:tcW w:type="dxa" w:w="1722"/>
            <w:vAlign w:val="center"/>
          </w:tcPr>
          <w:p>
            <w:pPr>
              <w:keepNext/>
              <w:spacing w:after="0" w:before="0" w:line="240" w:lineRule="auto"/>
              <w:jc w:val="right"/>
            </w:pPr>
            <w:r>
              <w:rPr>
                <w:rFonts w:ascii="Calibri" w:hAnsi="Calibri"/>
                <w:b w:val="0"/>
                <w:sz w:val="19"/>
              </w:rPr>
              <w:t>+0.6%</w:t>
            </w:r>
          </w:p>
        </w:tc>
      </w:tr>
    </w:tbl>
    <w:p>
      <w:pPr>
        <w:keepLines/>
        <w:spacing w:before="60" w:after="120"/>
      </w:pPr>
      <w:r>
        <w:rPr>
          <w:sz w:val="18"/>
        </w:rPr>
        <w:t>Controlled simulation. Lower MSE indicates lower prediction error within the same task and target scaling. Dual vs Dense is relative error change: negative values favour Dual. Lesion Δ is the increase relative to intact Dual.</w:t>
      </w:r>
    </w:p>
    <w:p>
      <w:r>
        <w:t>Across two-seed means, Dual Patch has lower error than DenseWorld in all four regimes: smooth −25.5%, switch −3.1%, curved −15.2% and hidden-memory −10.8%. Single-module removal increases error by approximately 0.6–2.4%.</w:t>
      </w:r>
    </w:p>
    <w:p>
      <w:r>
        <w:t>The resettable slow-state variant does not consistently improve the full comparison over the simpler fixed-slow Dual Patch.</w:t>
      </w:r>
    </w:p>
    <w:p>
      <w:pPr>
        <w:keepNext/>
        <w:spacing w:after="60"/>
        <w:jc w:val="center"/>
      </w:pPr>
      <w:r>
        <w:drawing>
          <wp:inline xmlns:a="http://schemas.openxmlformats.org/drawingml/2006/main" xmlns:pic="http://schemas.openxmlformats.org/drawingml/2006/picture">
            <wp:extent cx="6309360" cy="3562933"/>
            <wp:docPr id="48" name="Picture 48"/>
            <wp:cNvGraphicFramePr>
              <a:graphicFrameLocks noChangeAspect="1"/>
            </wp:cNvGraphicFramePr>
            <a:graphic>
              <a:graphicData uri="http://schemas.openxmlformats.org/drawingml/2006/picture">
                <pic:pic>
                  <pic:nvPicPr>
                    <pic:cNvPr id="0" name="48_image48.png"/>
                    <pic:cNvPicPr/>
                  </pic:nvPicPr>
                  <pic:blipFill>
                    <a:blip r:embed="rId61"/>
                    <a:stretch>
                      <a:fillRect/>
                    </a:stretch>
                  </pic:blipFill>
                  <pic:spPr>
                    <a:xfrm>
                      <a:off x="0" y="0"/>
                      <a:ext cx="6309360" cy="3562933"/>
                    </a:xfrm>
                    <a:prstGeom prst="rect"/>
                  </pic:spPr>
                </pic:pic>
              </a:graphicData>
            </a:graphic>
          </wp:inline>
        </w:drawing>
      </w:r>
    </w:p>
    <w:p>
      <w:pPr>
        <w:pStyle w:val="Caption"/>
      </w:pPr>
      <w:r>
        <w:t>Figure 48. Intact prediction across the four synthetic regimes after adding curvature features and slow state. Reported summary comparisons use two initializations.</w:t>
      </w:r>
    </w:p>
    <w:p>
      <w:pPr>
        <w:keepNext/>
        <w:spacing w:after="60"/>
        <w:jc w:val="center"/>
      </w:pPr>
      <w:r>
        <w:drawing>
          <wp:inline xmlns:a="http://schemas.openxmlformats.org/drawingml/2006/main" xmlns:pic="http://schemas.openxmlformats.org/drawingml/2006/picture">
            <wp:extent cx="6309360" cy="3562933"/>
            <wp:docPr id="49" name="Picture 49"/>
            <wp:cNvGraphicFramePr>
              <a:graphicFrameLocks noChangeAspect="1"/>
            </wp:cNvGraphicFramePr>
            <a:graphic>
              <a:graphicData uri="http://schemas.openxmlformats.org/drawingml/2006/picture">
                <pic:pic>
                  <pic:nvPicPr>
                    <pic:cNvPr id="0" name="49_image49.png"/>
                    <pic:cNvPicPr/>
                  </pic:nvPicPr>
                  <pic:blipFill>
                    <a:blip r:embed="rId62"/>
                    <a:stretch>
                      <a:fillRect/>
                    </a:stretch>
                  </pic:blipFill>
                  <pic:spPr>
                    <a:xfrm>
                      <a:off x="0" y="0"/>
                      <a:ext cx="6309360" cy="3562933"/>
                    </a:xfrm>
                    <a:prstGeom prst="rect"/>
                  </pic:spPr>
                </pic:pic>
              </a:graphicData>
            </a:graphic>
          </wp:inline>
        </w:drawing>
      </w:r>
    </w:p>
    <w:p>
      <w:pPr>
        <w:pStyle w:val="Caption"/>
      </w:pPr>
      <w:r>
        <w:t>Figure 49. Single-module removal sensitivity for the tested architectural additions across the four-regime battery.</w:t>
      </w:r>
    </w:p>
    <w:p>
      <w:pPr>
        <w:pStyle w:val="Heading3"/>
      </w:pPr>
      <w:r>
        <w:t>7.6.3 Components of the Dual model</w:t>
      </w:r>
    </w:p>
    <w:p>
      <w:pPr>
        <w:pStyle w:val="ListBullet"/>
      </w:pPr>
      <w:r>
        <w:t>Fast predictive state remains responsible for immediately changing world geometry.</w:t>
      </w:r>
    </w:p>
    <w:p>
      <w:pPr>
        <w:pStyle w:val="ListBullet"/>
      </w:pPr>
      <w:r>
        <w:t>A compact slow predictive state preserves longer-lived latent causes and delayed context.</w:t>
      </w:r>
    </w:p>
    <w:p>
      <w:pPr>
        <w:pStyle w:val="ListBullet"/>
      </w:pPr>
      <w:r>
        <w:t>Each local effector gains a small curvature-sensitive nonlinear channel; the shared world pathway stays deliberately low-rank.</w:t>
      </w:r>
    </w:p>
    <w:p>
      <w:pPr>
        <w:pStyle w:val="ListBullet"/>
      </w:pPr>
      <w:r>
        <w:t>Availability-aware, gain-normalized coordination and lesion compensation are unchanged.</w:t>
      </w:r>
    </w:p>
    <w:p>
      <w:pPr>
        <w:pStyle w:val="Heading3"/>
      </w:pPr>
      <w:r>
        <w:t>7.6.4 Training implications</w:t>
      </w:r>
    </w:p>
    <w:p>
      <w:r>
        <w:t>1. Repair repeated failure modes with local capacity rather than widening the whole system. Curvature was addressed inside effectors, not by expanding the shared backbone.</w:t>
      </w:r>
    </w:p>
    <w:p>
      <w:r>
        <w:t>2. Give persistent hidden causes their own timescale. A fast-only predictive state was not enough for the hidden-memory regime.</w:t>
      </w:r>
    </w:p>
    <w:p>
      <w:r>
        <w:t>3. Distinguish initial screening from evaluation on an additional seed and the complete condition set.</w:t>
      </w:r>
    </w:p>
    <w:p>
      <w:r>
        <w:t>4. Keep healthy accuracy and internal-body robustness as separate hard gates. Better prediction does not excuse loss of compensation.</w:t>
      </w:r>
    </w:p>
    <w:p>
      <w:r>
        <w:t>5. Evaluate added flexibility through observed predictive and perturbation outcomes.</w:t>
      </w:r>
    </w:p>
    <w:p>
      <w:r>
        <w:t>6. Report smooth, switching, curved and hidden-memory conditions together with single-module removal when comparing changes to this design.</w:t>
      </w:r>
    </w:p>
    <w:p>
      <w:r>
        <w:t>7. Assess improvements and deteriorations across the same condition set when selecting an additional component.</w:t>
      </w:r>
    </w:p>
    <w:p>
      <w:pPr>
        <w:pStyle w:val="Heading3"/>
      </w:pPr>
      <w:r>
        <w:t>7.6.5 Integrated model specification</w:t>
      </w:r>
    </w:p>
    <w:p>
      <w:r>
        <w:t>history → fast predictive state + slow predictive state → computational body state → coordination field → gain-normalized overlapping effectors with local curvature capacity → next-world generation</w:t>
      </w:r>
    </w:p>
    <w:p>
      <w:r>
        <w:t>The evaluated objective is autoregressive state prediction with internal resource perturbations.</w:t>
      </w:r>
    </w:p>
    <w:p>
      <w:pPr>
        <w:pStyle w:val="Heading1"/>
        <w:pageBreakBefore w:val="0"/>
      </w:pPr>
      <w:r>
        <w:t>8. Source structure and real graph data</w:t>
      </w:r>
    </w:p>
    <w:p>
      <w:pPr>
        <w:pStyle w:val="Heading2"/>
      </w:pPr>
      <w:r>
        <w:t>8.1 MULTI-SOURCE-DATA-BATTERY-021 One Core Across Data Structures</w:t>
      </w:r>
    </w:p>
    <w:p>
      <w:r>
        <w:t>This experiment tests reuse of one central predictive and coordination architecture across continuous trajectories, categorical events, unordered sets and graph-indexed node states. Architecture reuse is evaluated after training each source-specific system; it does not imply a single checkpoint has acquired all four tasks.</w:t>
      </w:r>
    </w:p>
    <w:p>
      <w:r>
        <w:t>Source-specific adapters and decoders expose the native input and output structure. The central architecture is held fixed across the source comparisons.</w:t>
      </w:r>
    </w:p>
    <w:p>
      <w:pPr>
        <w:pStyle w:val="Heading3"/>
      </w:pPr>
      <w:r>
        <w:t>8.1.1 Fixed contract</w:t>
      </w:r>
    </w:p>
    <w:p>
      <w:pPr>
        <w:pStyle w:val="ListBullet"/>
      </w:pPr>
      <w:r>
        <w:t>Central core held fixed: fast predictive state + slow predictive state + low-rank shared pathway + four overlapping curvature-capable effectors + recurrent computational-body state + gain-normalized coordination.</w:t>
      </w:r>
    </w:p>
    <w:p>
      <w:pPr>
        <w:pStyle w:val="ListBullet"/>
      </w:pPr>
      <w:r>
        <w:t>Only source-specific adapter and decoder are allowed to change.</w:t>
      </w:r>
    </w:p>
    <w:p>
      <w:pPr>
        <w:pStyle w:val="ListBullet"/>
      </w:pPr>
      <w:r>
        <w:t>DenseCore baseline uses the same adapter and decoder, replacing only the central ComputationalBody with a monolithic recurrent core.</w:t>
      </w:r>
    </w:p>
    <w:p>
      <w:pPr>
        <w:pStyle w:val="ListBullet"/>
      </w:pPr>
      <w:r>
        <w:t>All sources are tested autoregressively, not only under teacher forcing.</w:t>
      </w:r>
    </w:p>
    <w:p>
      <w:pPr>
        <w:pStyle w:val="ListBullet"/>
      </w:pPr>
      <w:r>
        <w:t>The same persistent single-effector lesion is applied to every compatible source.</w:t>
      </w:r>
    </w:p>
    <w:p>
      <w:pPr>
        <w:pStyle w:val="Heading3"/>
      </w:pPr>
      <w:r>
        <w:t>8.1.2 Four source structures</w:t>
      </w:r>
    </w:p>
    <w:p>
      <w:pPr>
        <w:pStyle w:val="Caption"/>
        <w:keepNext/>
      </w:pPr>
      <w:r>
        <w:t>Table 72. Source structures and native objectives.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870"/>
        <w:gridCol w:w="2870"/>
        <w:gridCol w:w="2870"/>
      </w:tblGrid>
      <w:tr>
        <w:trPr>
          <w:cantSplit/>
          <w:tblHeader/>
        </w:trPr>
        <w:tc>
          <w:tcPr>
            <w:tcW w:type="dxa" w:w="1613"/>
            <w:vAlign w:val="center"/>
            <w:shd w:fill="F2F2F2"/>
          </w:tcPr>
          <w:p>
            <w:pPr>
              <w:keepNext/>
              <w:spacing w:after="0" w:before="0" w:line="240" w:lineRule="auto"/>
            </w:pPr>
            <w:r>
              <w:rPr>
                <w:rFonts w:ascii="Calibri" w:hAnsi="Calibri"/>
                <w:b/>
                <w:sz w:val="19"/>
              </w:rPr>
              <w:t>Source</w:t>
            </w:r>
          </w:p>
        </w:tc>
        <w:tc>
          <w:tcPr>
            <w:tcW w:type="dxa" w:w="2870"/>
            <w:vAlign w:val="center"/>
            <w:shd w:fill="F2F2F2"/>
          </w:tcPr>
          <w:p>
            <w:pPr>
              <w:keepNext/>
              <w:spacing w:after="0" w:before="0" w:line="240" w:lineRule="auto"/>
            </w:pPr>
            <w:r>
              <w:rPr>
                <w:rFonts w:ascii="Calibri" w:hAnsi="Calibri"/>
                <w:b/>
                <w:sz w:val="19"/>
              </w:rPr>
              <w:t>Structure</w:t>
            </w:r>
          </w:p>
        </w:tc>
        <w:tc>
          <w:tcPr>
            <w:tcW w:type="dxa" w:w="2870"/>
            <w:vAlign w:val="center"/>
            <w:shd w:fill="F2F2F2"/>
          </w:tcPr>
          <w:p>
            <w:pPr>
              <w:keepNext/>
              <w:spacing w:after="0" w:before="0" w:line="240" w:lineRule="auto"/>
            </w:pPr>
            <w:r>
              <w:rPr>
                <w:rFonts w:ascii="Calibri" w:hAnsi="Calibri"/>
                <w:b/>
                <w:sz w:val="19"/>
              </w:rPr>
              <w:t>Native metric</w:t>
            </w:r>
          </w:p>
        </w:tc>
        <w:tc>
          <w:tcPr>
            <w:tcW w:type="dxa" w:w="2870"/>
            <w:vAlign w:val="center"/>
            <w:shd w:fill="F2F2F2"/>
          </w:tcPr>
          <w:p>
            <w:pPr>
              <w:keepNext/>
              <w:spacing w:after="0" w:before="0" w:line="240" w:lineRule="auto"/>
            </w:pPr>
            <w:r>
              <w:rPr>
                <w:rFonts w:ascii="Calibri" w:hAnsi="Calibri"/>
                <w:b/>
                <w:sz w:val="19"/>
              </w:rPr>
              <w:t>Boundary adapter</w:t>
            </w:r>
          </w:p>
        </w:tc>
      </w:tr>
      <w:tr>
        <w:trPr>
          <w:cantSplit/>
        </w:trPr>
        <w:tc>
          <w:tcPr>
            <w:tcW w:type="dxa" w:w="1613"/>
            <w:vAlign w:val="center"/>
          </w:tcPr>
          <w:p>
            <w:pPr>
              <w:keepNext w:val="0"/>
              <w:spacing w:after="0" w:before="0" w:line="240" w:lineRule="auto"/>
            </w:pPr>
            <w:r>
              <w:rPr>
                <w:rFonts w:ascii="Calibri" w:hAnsi="Calibri"/>
                <w:b w:val="0"/>
                <w:sz w:val="19"/>
              </w:rPr>
              <w:t>continuous</w:t>
            </w:r>
          </w:p>
        </w:tc>
        <w:tc>
          <w:tcPr>
            <w:tcW w:type="dxa" w:w="2870"/>
            <w:vAlign w:val="center"/>
          </w:tcPr>
          <w:p>
            <w:pPr>
              <w:keepNext w:val="0"/>
              <w:spacing w:after="0" w:before="0" w:line="240" w:lineRule="auto"/>
            </w:pPr>
            <w:r>
              <w:rPr>
                <w:rFonts w:ascii="Calibri" w:hAnsi="Calibri"/>
                <w:b w:val="0"/>
                <w:sz w:val="19"/>
              </w:rPr>
              <w:t>8-D continuous trajectory</w:t>
            </w:r>
          </w:p>
        </w:tc>
        <w:tc>
          <w:tcPr>
            <w:tcW w:type="dxa" w:w="2870"/>
            <w:vAlign w:val="center"/>
          </w:tcPr>
          <w:p>
            <w:pPr>
              <w:keepNext w:val="0"/>
              <w:spacing w:after="0" w:before="0" w:line="240" w:lineRule="auto"/>
            </w:pPr>
            <w:r>
              <w:rPr>
                <w:rFonts w:ascii="Calibri" w:hAnsi="Calibri"/>
                <w:b w:val="0"/>
                <w:sz w:val="19"/>
              </w:rPr>
              <w:t>MSE</w:t>
            </w:r>
          </w:p>
        </w:tc>
        <w:tc>
          <w:tcPr>
            <w:tcW w:type="dxa" w:w="2870"/>
            <w:vAlign w:val="center"/>
          </w:tcPr>
          <w:p>
            <w:pPr>
              <w:keepNext w:val="0"/>
              <w:spacing w:after="0" w:before="0" w:line="240" w:lineRule="auto"/>
            </w:pPr>
            <w:r>
              <w:rPr>
                <w:rFonts w:ascii="Calibri" w:hAnsi="Calibri"/>
                <w:b w:val="0"/>
                <w:sz w:val="19"/>
              </w:rPr>
              <w:t>thin MLP adapter</w:t>
            </w:r>
          </w:p>
        </w:tc>
      </w:tr>
      <w:tr>
        <w:trPr>
          <w:cantSplit/>
        </w:trPr>
        <w:tc>
          <w:tcPr>
            <w:tcW w:type="dxa" w:w="1613"/>
            <w:vAlign w:val="center"/>
          </w:tcPr>
          <w:p>
            <w:pPr>
              <w:keepNext w:val="0"/>
              <w:spacing w:after="0" w:before="0" w:line="240" w:lineRule="auto"/>
            </w:pPr>
            <w:r>
              <w:rPr>
                <w:rFonts w:ascii="Calibri" w:hAnsi="Calibri"/>
                <w:b w:val="0"/>
                <w:sz w:val="19"/>
              </w:rPr>
              <w:t>event</w:t>
            </w:r>
          </w:p>
        </w:tc>
        <w:tc>
          <w:tcPr>
            <w:tcW w:type="dxa" w:w="2870"/>
            <w:vAlign w:val="center"/>
          </w:tcPr>
          <w:p>
            <w:pPr>
              <w:keepNext w:val="0"/>
              <w:spacing w:after="0" w:before="0" w:line="240" w:lineRule="auto"/>
            </w:pPr>
            <w:r>
              <w:rPr>
                <w:rFonts w:ascii="Calibri" w:hAnsi="Calibri"/>
                <w:b w:val="0"/>
                <w:sz w:val="19"/>
              </w:rPr>
              <w:t>categorical event stream from persistent hidden mechanism</w:t>
            </w:r>
          </w:p>
        </w:tc>
        <w:tc>
          <w:tcPr>
            <w:tcW w:type="dxa" w:w="2870"/>
            <w:vAlign w:val="center"/>
          </w:tcPr>
          <w:p>
            <w:pPr>
              <w:keepNext w:val="0"/>
              <w:spacing w:after="0" w:before="0" w:line="240" w:lineRule="auto"/>
            </w:pPr>
            <w:r>
              <w:rPr>
                <w:rFonts w:ascii="Calibri" w:hAnsi="Calibri"/>
                <w:b w:val="0"/>
                <w:sz w:val="19"/>
              </w:rPr>
              <w:t>cross-entropy + rollout accuracy</w:t>
            </w:r>
          </w:p>
        </w:tc>
        <w:tc>
          <w:tcPr>
            <w:tcW w:type="dxa" w:w="2870"/>
            <w:vAlign w:val="center"/>
          </w:tcPr>
          <w:p>
            <w:pPr>
              <w:keepNext w:val="0"/>
              <w:spacing w:after="0" w:before="0" w:line="240" w:lineRule="auto"/>
            </w:pPr>
            <w:r>
              <w:rPr>
                <w:rFonts w:ascii="Calibri" w:hAnsi="Calibri"/>
                <w:b w:val="0"/>
                <w:sz w:val="19"/>
              </w:rPr>
              <w:t>token embedding</w:t>
            </w:r>
          </w:p>
        </w:tc>
      </w:tr>
      <w:tr>
        <w:trPr>
          <w:cantSplit/>
        </w:trPr>
        <w:tc>
          <w:tcPr>
            <w:tcW w:type="dxa" w:w="1613"/>
            <w:vAlign w:val="center"/>
          </w:tcPr>
          <w:p>
            <w:pPr>
              <w:keepNext w:val="0"/>
              <w:spacing w:after="0" w:before="0" w:line="240" w:lineRule="auto"/>
            </w:pPr>
            <w:r>
              <w:rPr>
                <w:rFonts w:ascii="Calibri" w:hAnsi="Calibri"/>
                <w:b w:val="0"/>
                <w:sz w:val="19"/>
              </w:rPr>
              <w:t>set</w:t>
            </w:r>
          </w:p>
        </w:tc>
        <w:tc>
          <w:tcPr>
            <w:tcW w:type="dxa" w:w="2870"/>
            <w:vAlign w:val="center"/>
          </w:tcPr>
          <w:p>
            <w:pPr>
              <w:keepNext w:val="0"/>
              <w:spacing w:after="0" w:before="0" w:line="240" w:lineRule="auto"/>
            </w:pPr>
            <w:r>
              <w:rPr>
                <w:rFonts w:ascii="Calibri" w:hAnsi="Calibri"/>
                <w:b w:val="0"/>
                <w:sz w:val="19"/>
              </w:rPr>
              <w:t>unordered moving 2-D point set; permutation shuffled every frame</w:t>
            </w:r>
          </w:p>
        </w:tc>
        <w:tc>
          <w:tcPr>
            <w:tcW w:type="dxa" w:w="2870"/>
            <w:vAlign w:val="center"/>
          </w:tcPr>
          <w:p>
            <w:pPr>
              <w:keepNext w:val="0"/>
              <w:spacing w:after="0" w:before="0" w:line="240" w:lineRule="auto"/>
            </w:pPr>
            <w:r>
              <w:rPr>
                <w:rFonts w:ascii="Calibri" w:hAnsi="Calibri"/>
                <w:b w:val="0"/>
                <w:sz w:val="19"/>
              </w:rPr>
              <w:t>Chamfer distance</w:t>
            </w:r>
          </w:p>
        </w:tc>
        <w:tc>
          <w:tcPr>
            <w:tcW w:type="dxa" w:w="2870"/>
            <w:vAlign w:val="center"/>
          </w:tcPr>
          <w:p>
            <w:pPr>
              <w:keepNext w:val="0"/>
              <w:spacing w:after="0" w:before="0" w:line="240" w:lineRule="auto"/>
            </w:pPr>
            <w:r>
              <w:rPr>
                <w:rFonts w:ascii="Calibri" w:hAnsi="Calibri"/>
                <w:b w:val="0"/>
                <w:sz w:val="19"/>
              </w:rPr>
              <w:t>permutation-​invariant item encoder</w:t>
            </w:r>
          </w:p>
        </w:tc>
      </w:tr>
      <w:tr>
        <w:trPr>
          <w:cantSplit/>
        </w:trPr>
        <w:tc>
          <w:tcPr>
            <w:tcW w:type="dxa" w:w="1613"/>
            <w:vAlign w:val="center"/>
          </w:tcPr>
          <w:p>
            <w:pPr>
              <w:keepNext w:val="0"/>
              <w:spacing w:after="0" w:before="0" w:line="240" w:lineRule="auto"/>
            </w:pPr>
            <w:r>
              <w:rPr>
                <w:rFonts w:ascii="Calibri" w:hAnsi="Calibri"/>
                <w:b w:val="0"/>
                <w:sz w:val="19"/>
              </w:rPr>
              <w:t>graph</w:t>
            </w:r>
          </w:p>
        </w:tc>
        <w:tc>
          <w:tcPr>
            <w:tcW w:type="dxa" w:w="2870"/>
            <w:vAlign w:val="center"/>
          </w:tcPr>
          <w:p>
            <w:pPr>
              <w:keepNext w:val="0"/>
              <w:spacing w:after="0" w:before="0" w:line="240" w:lineRule="auto"/>
            </w:pPr>
            <w:r>
              <w:rPr>
                <w:rFonts w:ascii="Calibri" w:hAnsi="Calibri"/>
                <w:b w:val="0"/>
                <w:sz w:val="19"/>
              </w:rPr>
              <w:t>node-state dynamics on a per-sample relation graph</w:t>
            </w:r>
          </w:p>
        </w:tc>
        <w:tc>
          <w:tcPr>
            <w:tcW w:type="dxa" w:w="2870"/>
            <w:vAlign w:val="center"/>
          </w:tcPr>
          <w:p>
            <w:pPr>
              <w:keepNext w:val="0"/>
              <w:spacing w:after="0" w:before="0" w:line="240" w:lineRule="auto"/>
            </w:pPr>
            <w:r>
              <w:rPr>
                <w:rFonts w:ascii="Calibri" w:hAnsi="Calibri"/>
                <w:b w:val="0"/>
                <w:sz w:val="19"/>
              </w:rPr>
              <w:t>node-state MSE</w:t>
            </w:r>
          </w:p>
        </w:tc>
        <w:tc>
          <w:tcPr>
            <w:tcW w:type="dxa" w:w="2870"/>
            <w:vAlign w:val="center"/>
          </w:tcPr>
          <w:p>
            <w:pPr>
              <w:keepNext w:val="0"/>
              <w:spacing w:after="0" w:before="0" w:line="240" w:lineRule="auto"/>
            </w:pPr>
            <w:r>
              <w:rPr>
                <w:rFonts w:ascii="Calibri" w:hAnsi="Calibri"/>
                <w:b w:val="0"/>
                <w:sz w:val="19"/>
              </w:rPr>
              <w:t>relation-aware message passing</w:t>
            </w:r>
          </w:p>
        </w:tc>
      </w:tr>
    </w:tbl>
    <w:p>
      <w:pPr>
        <w:pStyle w:val="Heading3"/>
        <w:spacing w:before="100"/>
      </w:pPr>
      <w:r>
        <w:t>8.1.3 Initial comparison</w:t>
      </w:r>
    </w:p>
    <w:p>
      <w:pPr>
        <w:pStyle w:val="Caption"/>
        <w:keepNext/>
      </w:pPr>
      <w:r>
        <w:t>Table 73. Initial multi-source comparison.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Source</w:t>
            </w:r>
          </w:p>
        </w:tc>
        <w:tc>
          <w:tcPr>
            <w:tcW w:type="dxa" w:w="1722"/>
            <w:vAlign w:val="center"/>
            <w:shd w:fill="F2F2F2"/>
          </w:tcPr>
          <w:p>
            <w:pPr>
              <w:keepNext/>
              <w:spacing w:after="0" w:before="0" w:line="240" w:lineRule="auto"/>
            </w:pPr>
            <w:r>
              <w:rPr>
                <w:rFonts w:ascii="Calibri" w:hAnsi="Calibri"/>
                <w:b/>
                <w:sz w:val="19"/>
              </w:rPr>
              <w:t>Dense</w:t>
            </w:r>
          </w:p>
        </w:tc>
        <w:tc>
          <w:tcPr>
            <w:tcW w:type="dxa" w:w="1722"/>
            <w:vAlign w:val="center"/>
            <w:shd w:fill="F2F2F2"/>
          </w:tcPr>
          <w:p>
            <w:pPr>
              <w:keepNext/>
              <w:spacing w:after="0" w:before="0" w:line="240" w:lineRule="auto"/>
            </w:pPr>
            <w:r>
              <w:rPr>
                <w:rFonts w:ascii="Calibri" w:hAnsi="Calibri"/>
                <w:b/>
                <w:sz w:val="19"/>
              </w:rPr>
              <w:t>Body healthy</w:t>
            </w:r>
          </w:p>
        </w:tc>
        <w:tc>
          <w:tcPr>
            <w:tcW w:type="dxa" w:w="1722"/>
            <w:vAlign w:val="center"/>
            <w:shd w:fill="F2F2F2"/>
          </w:tcPr>
          <w:p>
            <w:pPr>
              <w:keepNext/>
              <w:spacing w:after="0" w:before="0" w:line="240" w:lineRule="auto"/>
            </w:pPr>
            <w:r>
              <w:rPr>
                <w:rFonts w:ascii="Calibri" w:hAnsi="Calibri"/>
                <w:b/>
                <w:sz w:val="19"/>
              </w:rPr>
              <w:t>Body lesion</w:t>
            </w:r>
          </w:p>
        </w:tc>
        <w:tc>
          <w:tcPr>
            <w:tcW w:type="dxa" w:w="1722"/>
            <w:vAlign w:val="center"/>
            <w:shd w:fill="F2F2F2"/>
          </w:tcPr>
          <w:p>
            <w:pPr>
              <w:keepNext/>
              <w:spacing w:after="0" w:before="0" w:line="240" w:lineRule="auto"/>
            </w:pPr>
            <w:r>
              <w:rPr>
                <w:rFonts w:ascii="Calibri" w:hAnsi="Calibri"/>
                <w:b/>
                <w:sz w:val="19"/>
              </w:rPr>
              <w:t>Healthy gain vs Dense (%)</w:t>
            </w:r>
          </w:p>
        </w:tc>
        <w:tc>
          <w:tcPr>
            <w:tcW w:type="dxa" w:w="1722"/>
            <w:vAlign w:val="center"/>
            <w:shd w:fill="F2F2F2"/>
          </w:tcPr>
          <w:p>
            <w:pPr>
              <w:keepNext/>
              <w:spacing w:after="0" w:before="0" w:line="240" w:lineRule="auto"/>
            </w:pPr>
            <w:r>
              <w:rPr>
                <w:rFonts w:ascii="Calibri" w:hAnsi="Calibri"/>
                <w:b/>
                <w:sz w:val="19"/>
              </w:rPr>
              <w:t>Lesion degradation (%)</w:t>
            </w:r>
          </w:p>
        </w:tc>
      </w:tr>
      <w:tr>
        <w:trPr>
          <w:cantSplit/>
        </w:trPr>
        <w:tc>
          <w:tcPr>
            <w:tcW w:type="dxa" w:w="1613"/>
            <w:vAlign w:val="center"/>
          </w:tcPr>
          <w:p>
            <w:pPr>
              <w:keepNext w:val="0"/>
              <w:spacing w:after="0" w:before="0" w:line="240" w:lineRule="auto"/>
            </w:pPr>
            <w:r>
              <w:rPr>
                <w:rFonts w:ascii="Calibri" w:hAnsi="Calibri"/>
                <w:b w:val="0"/>
                <w:sz w:val="19"/>
              </w:rPr>
              <w:t>continuous</w:t>
            </w:r>
          </w:p>
        </w:tc>
        <w:tc>
          <w:tcPr>
            <w:tcW w:type="dxa" w:w="1722"/>
            <w:vAlign w:val="center"/>
          </w:tcPr>
          <w:p>
            <w:pPr>
              <w:keepNext w:val="0"/>
              <w:spacing w:after="0" w:before="0" w:line="240" w:lineRule="auto"/>
              <w:jc w:val="right"/>
            </w:pPr>
            <w:r>
              <w:rPr>
                <w:rFonts w:ascii="Calibri" w:hAnsi="Calibri"/>
                <w:b w:val="0"/>
                <w:sz w:val="19"/>
              </w:rPr>
              <w:t>0.057</w:t>
            </w:r>
          </w:p>
        </w:tc>
        <w:tc>
          <w:tcPr>
            <w:tcW w:type="dxa" w:w="1722"/>
            <w:vAlign w:val="center"/>
          </w:tcPr>
          <w:p>
            <w:pPr>
              <w:keepNext w:val="0"/>
              <w:spacing w:after="0" w:before="0" w:line="240" w:lineRule="auto"/>
              <w:jc w:val="right"/>
            </w:pPr>
            <w:r>
              <w:rPr>
                <w:rFonts w:ascii="Calibri" w:hAnsi="Calibri"/>
                <w:b w:val="0"/>
                <w:sz w:val="19"/>
              </w:rPr>
              <w:t>0.047</w:t>
            </w:r>
          </w:p>
        </w:tc>
        <w:tc>
          <w:tcPr>
            <w:tcW w:type="dxa" w:w="1722"/>
            <w:vAlign w:val="center"/>
          </w:tcPr>
          <w:p>
            <w:pPr>
              <w:keepNext w:val="0"/>
              <w:spacing w:after="0" w:before="0" w:line="240" w:lineRule="auto"/>
              <w:jc w:val="right"/>
            </w:pPr>
            <w:r>
              <w:rPr>
                <w:rFonts w:ascii="Calibri" w:hAnsi="Calibri"/>
                <w:b w:val="0"/>
                <w:sz w:val="19"/>
              </w:rPr>
              <w:t>0.048</w:t>
            </w:r>
          </w:p>
        </w:tc>
        <w:tc>
          <w:tcPr>
            <w:tcW w:type="dxa" w:w="1722"/>
            <w:vAlign w:val="center"/>
          </w:tcPr>
          <w:p>
            <w:pPr>
              <w:keepNext w:val="0"/>
              <w:spacing w:after="0" w:before="0" w:line="240" w:lineRule="auto"/>
              <w:jc w:val="right"/>
            </w:pPr>
            <w:r>
              <w:rPr>
                <w:rFonts w:ascii="Calibri" w:hAnsi="Calibri"/>
                <w:b w:val="0"/>
                <w:sz w:val="19"/>
              </w:rPr>
              <w:t>17.014</w:t>
            </w:r>
          </w:p>
        </w:tc>
        <w:tc>
          <w:tcPr>
            <w:tcW w:type="dxa" w:w="1722"/>
            <w:vAlign w:val="center"/>
          </w:tcPr>
          <w:p>
            <w:pPr>
              <w:keepNext w:val="0"/>
              <w:spacing w:after="0" w:before="0" w:line="240" w:lineRule="auto"/>
              <w:jc w:val="right"/>
            </w:pPr>
            <w:r>
              <w:rPr>
                <w:rFonts w:ascii="Calibri" w:hAnsi="Calibri"/>
                <w:b w:val="0"/>
                <w:sz w:val="19"/>
              </w:rPr>
              <w:t>1.079</w:t>
            </w:r>
          </w:p>
        </w:tc>
      </w:tr>
      <w:tr>
        <w:trPr>
          <w:cantSplit/>
        </w:trPr>
        <w:tc>
          <w:tcPr>
            <w:tcW w:type="dxa" w:w="1613"/>
            <w:vAlign w:val="center"/>
          </w:tcPr>
          <w:p>
            <w:pPr>
              <w:keepNext w:val="0"/>
              <w:spacing w:after="0" w:before="0" w:line="240" w:lineRule="auto"/>
            </w:pPr>
            <w:r>
              <w:rPr>
                <w:rFonts w:ascii="Calibri" w:hAnsi="Calibri"/>
                <w:b w:val="0"/>
                <w:sz w:val="19"/>
              </w:rPr>
              <w:t>event</w:t>
            </w:r>
          </w:p>
        </w:tc>
        <w:tc>
          <w:tcPr>
            <w:tcW w:type="dxa" w:w="1722"/>
            <w:vAlign w:val="center"/>
          </w:tcPr>
          <w:p>
            <w:pPr>
              <w:keepNext w:val="0"/>
              <w:spacing w:after="0" w:before="0" w:line="240" w:lineRule="auto"/>
              <w:jc w:val="right"/>
            </w:pPr>
            <w:r>
              <w:rPr>
                <w:rFonts w:ascii="Calibri" w:hAnsi="Calibri"/>
                <w:b w:val="0"/>
                <w:sz w:val="19"/>
              </w:rPr>
              <w:t>2.929</w:t>
            </w:r>
          </w:p>
        </w:tc>
        <w:tc>
          <w:tcPr>
            <w:tcW w:type="dxa" w:w="1722"/>
            <w:vAlign w:val="center"/>
          </w:tcPr>
          <w:p>
            <w:pPr>
              <w:keepNext w:val="0"/>
              <w:spacing w:after="0" w:before="0" w:line="240" w:lineRule="auto"/>
              <w:jc w:val="right"/>
            </w:pPr>
            <w:r>
              <w:rPr>
                <w:rFonts w:ascii="Calibri" w:hAnsi="Calibri"/>
                <w:b w:val="0"/>
                <w:sz w:val="19"/>
              </w:rPr>
              <w:t>3.041</w:t>
            </w:r>
          </w:p>
        </w:tc>
        <w:tc>
          <w:tcPr>
            <w:tcW w:type="dxa" w:w="1722"/>
            <w:vAlign w:val="center"/>
          </w:tcPr>
          <w:p>
            <w:pPr>
              <w:keepNext w:val="0"/>
              <w:spacing w:after="0" w:before="0" w:line="240" w:lineRule="auto"/>
              <w:jc w:val="right"/>
            </w:pPr>
            <w:r>
              <w:rPr>
                <w:rFonts w:ascii="Calibri" w:hAnsi="Calibri"/>
                <w:b w:val="0"/>
                <w:sz w:val="19"/>
              </w:rPr>
              <w:t>3.036</w:t>
            </w:r>
          </w:p>
        </w:tc>
        <w:tc>
          <w:tcPr>
            <w:tcW w:type="dxa" w:w="1722"/>
            <w:vAlign w:val="center"/>
          </w:tcPr>
          <w:p>
            <w:pPr>
              <w:keepNext w:val="0"/>
              <w:spacing w:after="0" w:before="0" w:line="240" w:lineRule="auto"/>
              <w:jc w:val="right"/>
            </w:pPr>
            <w:r>
              <w:rPr>
                <w:rFonts w:ascii="Calibri" w:hAnsi="Calibri"/>
                <w:b w:val="0"/>
                <w:sz w:val="19"/>
              </w:rPr>
              <w:t>-3.813</w:t>
            </w:r>
          </w:p>
        </w:tc>
        <w:tc>
          <w:tcPr>
            <w:tcW w:type="dxa" w:w="1722"/>
            <w:vAlign w:val="center"/>
          </w:tcPr>
          <w:p>
            <w:pPr>
              <w:keepNext w:val="0"/>
              <w:spacing w:after="0" w:before="0" w:line="240" w:lineRule="auto"/>
              <w:jc w:val="right"/>
            </w:pPr>
            <w:r>
              <w:rPr>
                <w:rFonts w:ascii="Calibri" w:hAnsi="Calibri"/>
                <w:b w:val="0"/>
                <w:sz w:val="19"/>
              </w:rPr>
              <w:t>-0.182</w:t>
            </w:r>
          </w:p>
        </w:tc>
      </w:tr>
      <w:tr>
        <w:trPr>
          <w:cantSplit/>
        </w:trPr>
        <w:tc>
          <w:tcPr>
            <w:tcW w:type="dxa" w:w="1613"/>
            <w:vAlign w:val="center"/>
          </w:tcPr>
          <w:p>
            <w:pPr>
              <w:keepNext w:val="0"/>
              <w:spacing w:after="0" w:before="0" w:line="240" w:lineRule="auto"/>
            </w:pPr>
            <w:r>
              <w:rPr>
                <w:rFonts w:ascii="Calibri" w:hAnsi="Calibri"/>
                <w:b w:val="0"/>
                <w:sz w:val="19"/>
              </w:rPr>
              <w:t>set</w:t>
            </w:r>
          </w:p>
        </w:tc>
        <w:tc>
          <w:tcPr>
            <w:tcW w:type="dxa" w:w="1722"/>
            <w:vAlign w:val="center"/>
          </w:tcPr>
          <w:p>
            <w:pPr>
              <w:keepNext w:val="0"/>
              <w:spacing w:after="0" w:before="0" w:line="240" w:lineRule="auto"/>
              <w:jc w:val="right"/>
            </w:pPr>
            <w:r>
              <w:rPr>
                <w:rFonts w:ascii="Calibri" w:hAnsi="Calibri"/>
                <w:b w:val="0"/>
                <w:sz w:val="19"/>
              </w:rPr>
              <w:t>0.663</w:t>
            </w:r>
          </w:p>
        </w:tc>
        <w:tc>
          <w:tcPr>
            <w:tcW w:type="dxa" w:w="1722"/>
            <w:vAlign w:val="center"/>
          </w:tcPr>
          <w:p>
            <w:pPr>
              <w:keepNext w:val="0"/>
              <w:spacing w:after="0" w:before="0" w:line="240" w:lineRule="auto"/>
              <w:jc w:val="right"/>
            </w:pPr>
            <w:r>
              <w:rPr>
                <w:rFonts w:ascii="Calibri" w:hAnsi="Calibri"/>
                <w:b w:val="0"/>
                <w:sz w:val="19"/>
              </w:rPr>
              <w:t>0.667</w:t>
            </w:r>
          </w:p>
        </w:tc>
        <w:tc>
          <w:tcPr>
            <w:tcW w:type="dxa" w:w="1722"/>
            <w:vAlign w:val="center"/>
          </w:tcPr>
          <w:p>
            <w:pPr>
              <w:keepNext w:val="0"/>
              <w:spacing w:after="0" w:before="0" w:line="240" w:lineRule="auto"/>
              <w:jc w:val="right"/>
            </w:pPr>
            <w:r>
              <w:rPr>
                <w:rFonts w:ascii="Calibri" w:hAnsi="Calibri"/>
                <w:b w:val="0"/>
                <w:sz w:val="19"/>
              </w:rPr>
              <w:t>0.669</w:t>
            </w:r>
          </w:p>
        </w:tc>
        <w:tc>
          <w:tcPr>
            <w:tcW w:type="dxa" w:w="1722"/>
            <w:vAlign w:val="center"/>
          </w:tcPr>
          <w:p>
            <w:pPr>
              <w:keepNext w:val="0"/>
              <w:spacing w:after="0" w:before="0" w:line="240" w:lineRule="auto"/>
              <w:jc w:val="right"/>
            </w:pPr>
            <w:r>
              <w:rPr>
                <w:rFonts w:ascii="Calibri" w:hAnsi="Calibri"/>
                <w:b w:val="0"/>
                <w:sz w:val="19"/>
              </w:rPr>
              <w:t>-0.709</w:t>
            </w:r>
          </w:p>
        </w:tc>
        <w:tc>
          <w:tcPr>
            <w:tcW w:type="dxa" w:w="1722"/>
            <w:vAlign w:val="center"/>
          </w:tcPr>
          <w:p>
            <w:pPr>
              <w:keepNext w:val="0"/>
              <w:spacing w:after="0" w:before="0" w:line="240" w:lineRule="auto"/>
              <w:jc w:val="right"/>
            </w:pPr>
            <w:r>
              <w:rPr>
                <w:rFonts w:ascii="Calibri" w:hAnsi="Calibri"/>
                <w:b w:val="0"/>
                <w:sz w:val="19"/>
              </w:rPr>
              <w:t>0.248</w:t>
            </w:r>
          </w:p>
        </w:tc>
      </w:tr>
      <w:tr>
        <w:trPr>
          <w:cantSplit/>
        </w:trPr>
        <w:tc>
          <w:tcPr>
            <w:tcW w:type="dxa" w:w="1613"/>
            <w:vAlign w:val="center"/>
          </w:tcPr>
          <w:p>
            <w:pPr>
              <w:keepNext/>
              <w:spacing w:after="0" w:before="0" w:line="240" w:lineRule="auto"/>
            </w:pPr>
            <w:r>
              <w:rPr>
                <w:rFonts w:ascii="Calibri" w:hAnsi="Calibri"/>
                <w:b w:val="0"/>
                <w:sz w:val="19"/>
              </w:rPr>
              <w:t>graph</w:t>
            </w:r>
          </w:p>
        </w:tc>
        <w:tc>
          <w:tcPr>
            <w:tcW w:type="dxa" w:w="1722"/>
            <w:vAlign w:val="center"/>
          </w:tcPr>
          <w:p>
            <w:pPr>
              <w:keepNext/>
              <w:spacing w:after="0" w:before="0" w:line="240" w:lineRule="auto"/>
              <w:jc w:val="right"/>
            </w:pPr>
            <w:r>
              <w:rPr>
                <w:rFonts w:ascii="Calibri" w:hAnsi="Calibri"/>
                <w:b w:val="0"/>
                <w:sz w:val="19"/>
              </w:rPr>
              <w:t>0.019</w:t>
            </w:r>
          </w:p>
        </w:tc>
        <w:tc>
          <w:tcPr>
            <w:tcW w:type="dxa" w:w="1722"/>
            <w:vAlign w:val="center"/>
          </w:tcPr>
          <w:p>
            <w:pPr>
              <w:keepNext/>
              <w:spacing w:after="0" w:before="0" w:line="240" w:lineRule="auto"/>
              <w:jc w:val="right"/>
            </w:pPr>
            <w:r>
              <w:rPr>
                <w:rFonts w:ascii="Calibri" w:hAnsi="Calibri"/>
                <w:b w:val="0"/>
                <w:sz w:val="19"/>
              </w:rPr>
              <w:t>0.034</w:t>
            </w:r>
          </w:p>
        </w:tc>
        <w:tc>
          <w:tcPr>
            <w:tcW w:type="dxa" w:w="1722"/>
            <w:vAlign w:val="center"/>
          </w:tcPr>
          <w:p>
            <w:pPr>
              <w:keepNext/>
              <w:spacing w:after="0" w:before="0" w:line="240" w:lineRule="auto"/>
              <w:jc w:val="right"/>
            </w:pPr>
            <w:r>
              <w:rPr>
                <w:rFonts w:ascii="Calibri" w:hAnsi="Calibri"/>
                <w:b w:val="0"/>
                <w:sz w:val="19"/>
              </w:rPr>
              <w:t>0.035</w:t>
            </w:r>
          </w:p>
        </w:tc>
        <w:tc>
          <w:tcPr>
            <w:tcW w:type="dxa" w:w="1722"/>
            <w:vAlign w:val="center"/>
          </w:tcPr>
          <w:p>
            <w:pPr>
              <w:keepNext/>
              <w:spacing w:after="0" w:before="0" w:line="240" w:lineRule="auto"/>
              <w:jc w:val="right"/>
            </w:pPr>
            <w:r>
              <w:rPr>
                <w:rFonts w:ascii="Calibri" w:hAnsi="Calibri"/>
                <w:b w:val="0"/>
                <w:sz w:val="19"/>
              </w:rPr>
              <w:t>-78.448</w:t>
            </w:r>
          </w:p>
        </w:tc>
        <w:tc>
          <w:tcPr>
            <w:tcW w:type="dxa" w:w="1722"/>
            <w:vAlign w:val="center"/>
          </w:tcPr>
          <w:p>
            <w:pPr>
              <w:keepNext/>
              <w:spacing w:after="0" w:before="0" w:line="240" w:lineRule="auto"/>
              <w:jc w:val="right"/>
            </w:pPr>
            <w:r>
              <w:rPr>
                <w:rFonts w:ascii="Calibri" w:hAnsi="Calibri"/>
                <w:b w:val="0"/>
                <w:sz w:val="19"/>
              </w:rPr>
              <w:t>4.667</w:t>
            </w:r>
          </w:p>
        </w:tc>
      </w:tr>
    </w:tbl>
    <w:p>
      <w:pPr>
        <w:keepLines/>
        <w:spacing w:before="60" w:after="120"/>
      </w:pPr>
      <w:r>
        <w:rPr>
          <w:sz w:val="18"/>
        </w:rPr>
        <w:t>Controlled simulation.</w:t>
      </w:r>
    </w:p>
    <w:p>
      <w:r>
        <w:t>Continuous, event and unordered-set sources satisfy the experiment's intact-performance and module-removal criteria. The initial graph system has much higher intact error than its DenseCore comparison, despite a modest removal penalty.</w:t>
      </w:r>
    </w:p>
    <w:p>
      <w:pPr>
        <w:keepNext/>
        <w:spacing w:after="60"/>
        <w:jc w:val="center"/>
      </w:pPr>
      <w:r>
        <w:drawing>
          <wp:inline xmlns:a="http://schemas.openxmlformats.org/drawingml/2006/main" xmlns:pic="http://schemas.openxmlformats.org/drawingml/2006/picture">
            <wp:extent cx="6309360" cy="3562933"/>
            <wp:docPr id="50" name="Picture 50"/>
            <wp:cNvGraphicFramePr>
              <a:graphicFrameLocks noChangeAspect="1"/>
            </wp:cNvGraphicFramePr>
            <a:graphic>
              <a:graphicData uri="http://schemas.openxmlformats.org/drawingml/2006/picture">
                <pic:pic>
                  <pic:nvPicPr>
                    <pic:cNvPr id="0" name="50_image50.png"/>
                    <pic:cNvPicPr/>
                  </pic:nvPicPr>
                  <pic:blipFill>
                    <a:blip r:embed="rId63"/>
                    <a:stretch>
                      <a:fillRect/>
                    </a:stretch>
                  </pic:blipFill>
                  <pic:spPr>
                    <a:xfrm>
                      <a:off x="0" y="0"/>
                      <a:ext cx="6309360" cy="3562933"/>
                    </a:xfrm>
                    <a:prstGeom prst="rect"/>
                  </pic:spPr>
                </pic:pic>
              </a:graphicData>
            </a:graphic>
          </wp:inline>
        </w:drawing>
      </w:r>
    </w:p>
    <w:p>
      <w:pPr>
        <w:pStyle w:val="Caption"/>
      </w:pPr>
      <w:r>
        <w:t>Figure 50. Multi-source prediction and perturbation outcomes after graph-adapter and training-duration comparisons. The source-native metrics differ and are evaluated within each source.</w:t>
      </w:r>
    </w:p>
    <w:p>
      <w:pPr>
        <w:pStyle w:val="Heading3"/>
      </w:pPr>
      <w:r>
        <w:t>8.1.4 Graph adapter with retained node identity</w:t>
      </w:r>
    </w:p>
    <w:p>
      <w:r>
        <w:t>The initial graph adapter applies message passing and mean-pools node states. In this indexed node-prediction task, pooling loses information needed by the decoder. The alternative retains node identity after message passing and uses a thin linear compression layer. The central core is unchanged. Graph relabelling symmetries and indexed outputs should be handled explicitly; retaining node state here is a task requirement rather than a universal rejection of invariant graph summaries.</w:t>
      </w:r>
    </w:p>
    <w:p>
      <w:pPr>
        <w:pStyle w:val="Caption"/>
        <w:keepNext/>
      </w:pPr>
      <w:r>
        <w:t>Table 74. Graph adapter preserving node identity.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2664"/>
            <w:vAlign w:val="center"/>
            <w:shd w:fill="F2F2F2"/>
          </w:tcPr>
          <w:p>
            <w:pPr>
              <w:keepNext/>
              <w:spacing w:after="0" w:before="0" w:line="240" w:lineRule="auto"/>
            </w:pPr>
            <w:r>
              <w:rPr>
                <w:rFonts w:ascii="Calibri" w:hAnsi="Calibri"/>
                <w:b/>
                <w:sz w:val="19"/>
              </w:rPr>
              <w:t>Scenario</w:t>
            </w:r>
          </w:p>
        </w:tc>
        <w:tc>
          <w:tcPr>
            <w:tcW w:type="dxa" w:w="2664"/>
            <w:vAlign w:val="center"/>
            <w:shd w:fill="F2F2F2"/>
          </w:tcPr>
          <w:p>
            <w:pPr>
              <w:keepNext/>
              <w:spacing w:after="0" w:before="0" w:line="240" w:lineRule="auto"/>
            </w:pPr>
            <w:r>
              <w:rPr>
                <w:rFonts w:ascii="Calibri" w:hAnsi="Calibri"/>
                <w:b/>
                <w:sz w:val="19"/>
              </w:rPr>
              <w:t>Rollout metric</w:t>
            </w:r>
          </w:p>
        </w:tc>
        <w:tc>
          <w:tcPr>
            <w:tcW w:type="dxa" w:w="2664"/>
            <w:vAlign w:val="center"/>
            <w:shd w:fill="F2F2F2"/>
          </w:tcPr>
          <w:p>
            <w:pPr>
              <w:keepNext/>
              <w:spacing w:after="0" w:before="0" w:line="240" w:lineRule="auto"/>
            </w:pPr>
            <w:r>
              <w:rPr>
                <w:rFonts w:ascii="Calibri" w:hAnsi="Calibri"/>
                <w:b/>
                <w:sz w:val="19"/>
              </w:rPr>
              <w:t>Late metric</w:t>
            </w:r>
          </w:p>
        </w:tc>
      </w:tr>
      <w:tr>
        <w:trPr>
          <w:cantSplit/>
        </w:trPr>
        <w:tc>
          <w:tcPr>
            <w:tcW w:type="dxa" w:w="2232"/>
            <w:vAlign w:val="center"/>
          </w:tcPr>
          <w:p>
            <w:pPr>
              <w:keepNext w:val="0"/>
              <w:spacing w:after="0" w:before="0" w:line="240" w:lineRule="auto"/>
            </w:pPr>
            <w:r>
              <w:rPr>
                <w:rFonts w:ascii="Calibri" w:hAnsi="Calibri"/>
                <w:b w:val="0"/>
                <w:sz w:val="19"/>
              </w:rPr>
              <w:t>Computational​Body_​IDGraph</w:t>
            </w:r>
          </w:p>
        </w:tc>
        <w:tc>
          <w:tcPr>
            <w:tcW w:type="dxa" w:w="2664"/>
            <w:vAlign w:val="center"/>
          </w:tcPr>
          <w:p>
            <w:pPr>
              <w:keepNext w:val="0"/>
              <w:spacing w:after="0" w:before="0" w:line="240" w:lineRule="auto"/>
            </w:pPr>
            <w:r>
              <w:rPr>
                <w:rFonts w:ascii="Calibri" w:hAnsi="Calibri"/>
                <w:b w:val="0"/>
                <w:sz w:val="19"/>
              </w:rPr>
              <w:t>healthy</w:t>
            </w:r>
          </w:p>
        </w:tc>
        <w:tc>
          <w:tcPr>
            <w:tcW w:type="dxa" w:w="2664"/>
            <w:vAlign w:val="center"/>
          </w:tcPr>
          <w:p>
            <w:pPr>
              <w:keepNext w:val="0"/>
              <w:spacing w:after="0" w:before="0" w:line="240" w:lineRule="auto"/>
              <w:jc w:val="right"/>
            </w:pPr>
            <w:r>
              <w:rPr>
                <w:rFonts w:ascii="Calibri" w:hAnsi="Calibri"/>
                <w:b w:val="0"/>
                <w:sz w:val="19"/>
              </w:rPr>
              <w:t>0.0198</w:t>
            </w:r>
          </w:p>
        </w:tc>
        <w:tc>
          <w:tcPr>
            <w:tcW w:type="dxa" w:w="2664"/>
            <w:vAlign w:val="center"/>
          </w:tcPr>
          <w:p>
            <w:pPr>
              <w:keepNext w:val="0"/>
              <w:spacing w:after="0" w:before="0" w:line="240" w:lineRule="auto"/>
              <w:jc w:val="right"/>
            </w:pPr>
            <w:r>
              <w:rPr>
                <w:rFonts w:ascii="Calibri" w:hAnsi="Calibri"/>
                <w:b w:val="0"/>
                <w:sz w:val="19"/>
              </w:rPr>
              <w:t>0.0275</w:t>
            </w:r>
          </w:p>
        </w:tc>
      </w:tr>
      <w:tr>
        <w:trPr>
          <w:cantSplit/>
        </w:trPr>
        <w:tc>
          <w:tcPr>
            <w:tcW w:type="dxa" w:w="2232"/>
            <w:vAlign w:val="center"/>
          </w:tcPr>
          <w:p>
            <w:pPr>
              <w:keepNext w:val="0"/>
              <w:spacing w:after="0" w:before="0" w:line="240" w:lineRule="auto"/>
            </w:pPr>
            <w:r>
              <w:rPr>
                <w:rFonts w:ascii="Calibri" w:hAnsi="Calibri"/>
                <w:b w:val="0"/>
                <w:sz w:val="19"/>
              </w:rPr>
              <w:t>Computational​Body_​IDGraph</w:t>
            </w:r>
          </w:p>
        </w:tc>
        <w:tc>
          <w:tcPr>
            <w:tcW w:type="dxa" w:w="2664"/>
            <w:vAlign w:val="center"/>
          </w:tcPr>
          <w:p>
            <w:pPr>
              <w:keepNext w:val="0"/>
              <w:spacing w:after="0" w:before="0" w:line="240" w:lineRule="auto"/>
            </w:pPr>
            <w:r>
              <w:rPr>
                <w:rFonts w:ascii="Calibri" w:hAnsi="Calibri"/>
                <w:b w:val="0"/>
                <w:sz w:val="19"/>
              </w:rPr>
              <w:t>lesion1</w:t>
            </w:r>
          </w:p>
        </w:tc>
        <w:tc>
          <w:tcPr>
            <w:tcW w:type="dxa" w:w="2664"/>
            <w:vAlign w:val="center"/>
          </w:tcPr>
          <w:p>
            <w:pPr>
              <w:keepNext w:val="0"/>
              <w:spacing w:after="0" w:before="0" w:line="240" w:lineRule="auto"/>
              <w:jc w:val="right"/>
            </w:pPr>
            <w:r>
              <w:rPr>
                <w:rFonts w:ascii="Calibri" w:hAnsi="Calibri"/>
                <w:b w:val="0"/>
                <w:sz w:val="19"/>
              </w:rPr>
              <w:t>0.0190</w:t>
            </w:r>
          </w:p>
        </w:tc>
        <w:tc>
          <w:tcPr>
            <w:tcW w:type="dxa" w:w="2664"/>
            <w:vAlign w:val="center"/>
          </w:tcPr>
          <w:p>
            <w:pPr>
              <w:keepNext w:val="0"/>
              <w:spacing w:after="0" w:before="0" w:line="240" w:lineRule="auto"/>
              <w:jc w:val="right"/>
            </w:pPr>
            <w:r>
              <w:rPr>
                <w:rFonts w:ascii="Calibri" w:hAnsi="Calibri"/>
                <w:b w:val="0"/>
                <w:sz w:val="19"/>
              </w:rPr>
              <w:t>0.0256</w:t>
            </w:r>
          </w:p>
        </w:tc>
      </w:tr>
      <w:tr>
        <w:trPr>
          <w:cantSplit/>
        </w:trPr>
        <w:tc>
          <w:tcPr>
            <w:tcW w:type="dxa" w:w="2232"/>
            <w:vAlign w:val="center"/>
          </w:tcPr>
          <w:p>
            <w:pPr>
              <w:keepNext/>
              <w:spacing w:after="0" w:before="0" w:line="240" w:lineRule="auto"/>
            </w:pPr>
            <w:r>
              <w:rPr>
                <w:rFonts w:ascii="Calibri" w:hAnsi="Calibri"/>
                <w:b w:val="0"/>
                <w:sz w:val="19"/>
              </w:rPr>
              <w:t>Dense​Core_​IDGraph</w:t>
            </w:r>
          </w:p>
        </w:tc>
        <w:tc>
          <w:tcPr>
            <w:tcW w:type="dxa" w:w="2664"/>
            <w:vAlign w:val="center"/>
          </w:tcPr>
          <w:p>
            <w:pPr>
              <w:keepNext/>
              <w:spacing w:after="0" w:before="0" w:line="240" w:lineRule="auto"/>
            </w:pPr>
            <w:r>
              <w:rPr>
                <w:rFonts w:ascii="Calibri" w:hAnsi="Calibri"/>
                <w:b w:val="0"/>
                <w:sz w:val="19"/>
              </w:rPr>
              <w:t>healthy</w:t>
            </w:r>
          </w:p>
        </w:tc>
        <w:tc>
          <w:tcPr>
            <w:tcW w:type="dxa" w:w="2664"/>
            <w:vAlign w:val="center"/>
          </w:tcPr>
          <w:p>
            <w:pPr>
              <w:keepNext/>
              <w:spacing w:after="0" w:before="0" w:line="240" w:lineRule="auto"/>
              <w:jc w:val="right"/>
            </w:pPr>
            <w:r>
              <w:rPr>
                <w:rFonts w:ascii="Calibri" w:hAnsi="Calibri"/>
                <w:b w:val="0"/>
                <w:sz w:val="19"/>
              </w:rPr>
              <w:t>0.0153</w:t>
            </w:r>
          </w:p>
        </w:tc>
        <w:tc>
          <w:tcPr>
            <w:tcW w:type="dxa" w:w="2664"/>
            <w:vAlign w:val="center"/>
          </w:tcPr>
          <w:p>
            <w:pPr>
              <w:keepNext/>
              <w:spacing w:after="0" w:before="0" w:line="240" w:lineRule="auto"/>
              <w:jc w:val="right"/>
            </w:pPr>
            <w:r>
              <w:rPr>
                <w:rFonts w:ascii="Calibri" w:hAnsi="Calibri"/>
                <w:b w:val="0"/>
                <w:sz w:val="19"/>
              </w:rPr>
              <w:t>0.0159</w:t>
            </w:r>
          </w:p>
        </w:tc>
      </w:tr>
    </w:tbl>
    <w:p>
      <w:pPr>
        <w:keepLines/>
        <w:spacing w:before="60" w:after="120"/>
      </w:pPr>
      <w:r>
        <w:rPr>
          <w:sz w:val="18"/>
        </w:rPr>
        <w:t>Controlled simulation.</w:t>
      </w:r>
    </w:p>
    <w:p>
      <w:r>
        <w:t>Retaining node identity improves both models. At the shorter training schedule, ComputationalBody still has approximately 30% higher error than DenseCore; its module-removal criterion is satisfied.</w:t>
      </w:r>
    </w:p>
    <w:p>
      <w:pPr>
        <w:pStyle w:val="Heading3"/>
      </w:pPr>
      <w:r>
        <w:t>8.1.5 Matched longer-training comparison</w:t>
      </w:r>
    </w:p>
    <w:p>
      <w:r>
        <w:t>Both graph models use the same longer training schedule with the identity-preserving adapter. Architecture, data and loss are held fixed. This tests sensitivity to training duration; matching duration alone does not demonstrate equal convergence.</w:t>
      </w:r>
    </w:p>
    <w:p>
      <w:pPr>
        <w:pStyle w:val="Caption"/>
        <w:keepNext/>
      </w:pPr>
      <w:r>
        <w:t>Table 75. Matched longer-training comparison.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Model</w:t>
            </w:r>
          </w:p>
        </w:tc>
        <w:tc>
          <w:tcPr>
            <w:tcW w:type="dxa" w:w="2664"/>
            <w:vAlign w:val="center"/>
            <w:shd w:fill="F2F2F2"/>
          </w:tcPr>
          <w:p>
            <w:pPr>
              <w:keepNext/>
              <w:spacing w:after="0" w:before="0" w:line="240" w:lineRule="auto"/>
            </w:pPr>
            <w:r>
              <w:rPr>
                <w:rFonts w:ascii="Calibri" w:hAnsi="Calibri"/>
                <w:b/>
                <w:sz w:val="19"/>
              </w:rPr>
              <w:t>Scenario</w:t>
            </w:r>
          </w:p>
        </w:tc>
        <w:tc>
          <w:tcPr>
            <w:tcW w:type="dxa" w:w="2664"/>
            <w:vAlign w:val="center"/>
            <w:shd w:fill="F2F2F2"/>
          </w:tcPr>
          <w:p>
            <w:pPr>
              <w:keepNext/>
              <w:spacing w:after="0" w:before="0" w:line="240" w:lineRule="auto"/>
            </w:pPr>
            <w:r>
              <w:rPr>
                <w:rFonts w:ascii="Calibri" w:hAnsi="Calibri"/>
                <w:b/>
                <w:sz w:val="19"/>
              </w:rPr>
              <w:t>Rollout metric</w:t>
            </w:r>
          </w:p>
        </w:tc>
        <w:tc>
          <w:tcPr>
            <w:tcW w:type="dxa" w:w="2664"/>
            <w:vAlign w:val="center"/>
            <w:shd w:fill="F2F2F2"/>
          </w:tcPr>
          <w:p>
            <w:pPr>
              <w:keepNext/>
              <w:spacing w:after="0" w:before="0" w:line="240" w:lineRule="auto"/>
            </w:pPr>
            <w:r>
              <w:rPr>
                <w:rFonts w:ascii="Calibri" w:hAnsi="Calibri"/>
                <w:b/>
                <w:sz w:val="19"/>
              </w:rPr>
              <w:t>Late metric</w:t>
            </w:r>
          </w:p>
        </w:tc>
      </w:tr>
      <w:tr>
        <w:trPr>
          <w:cantSplit/>
        </w:trPr>
        <w:tc>
          <w:tcPr>
            <w:tcW w:type="dxa" w:w="2232"/>
            <w:vAlign w:val="center"/>
          </w:tcPr>
          <w:p>
            <w:pPr>
              <w:keepNext w:val="0"/>
              <w:spacing w:after="0" w:before="0" w:line="240" w:lineRule="auto"/>
            </w:pPr>
            <w:r>
              <w:rPr>
                <w:rFonts w:ascii="Calibri" w:hAnsi="Calibri"/>
                <w:b w:val="0"/>
                <w:sz w:val="19"/>
              </w:rPr>
              <w:t>Computational​Body_​IDGraph_​long</w:t>
            </w:r>
          </w:p>
        </w:tc>
        <w:tc>
          <w:tcPr>
            <w:tcW w:type="dxa" w:w="2664"/>
            <w:vAlign w:val="center"/>
          </w:tcPr>
          <w:p>
            <w:pPr>
              <w:keepNext w:val="0"/>
              <w:spacing w:after="0" w:before="0" w:line="240" w:lineRule="auto"/>
            </w:pPr>
            <w:r>
              <w:rPr>
                <w:rFonts w:ascii="Calibri" w:hAnsi="Calibri"/>
                <w:b w:val="0"/>
                <w:sz w:val="19"/>
              </w:rPr>
              <w:t>healthy</w:t>
            </w:r>
          </w:p>
        </w:tc>
        <w:tc>
          <w:tcPr>
            <w:tcW w:type="dxa" w:w="2664"/>
            <w:vAlign w:val="center"/>
          </w:tcPr>
          <w:p>
            <w:pPr>
              <w:keepNext w:val="0"/>
              <w:spacing w:after="0" w:before="0" w:line="240" w:lineRule="auto"/>
              <w:jc w:val="right"/>
            </w:pPr>
            <w:r>
              <w:rPr>
                <w:rFonts w:ascii="Calibri" w:hAnsi="Calibri"/>
                <w:b w:val="0"/>
                <w:sz w:val="19"/>
              </w:rPr>
              <w:t>0.00906</w:t>
            </w:r>
          </w:p>
        </w:tc>
        <w:tc>
          <w:tcPr>
            <w:tcW w:type="dxa" w:w="2664"/>
            <w:vAlign w:val="center"/>
          </w:tcPr>
          <w:p>
            <w:pPr>
              <w:keepNext w:val="0"/>
              <w:spacing w:after="0" w:before="0" w:line="240" w:lineRule="auto"/>
              <w:jc w:val="right"/>
            </w:pPr>
            <w:r>
              <w:rPr>
                <w:rFonts w:ascii="Calibri" w:hAnsi="Calibri"/>
                <w:b w:val="0"/>
                <w:sz w:val="19"/>
              </w:rPr>
              <w:t>0.00646</w:t>
            </w:r>
          </w:p>
        </w:tc>
      </w:tr>
      <w:tr>
        <w:trPr>
          <w:cantSplit/>
        </w:trPr>
        <w:tc>
          <w:tcPr>
            <w:tcW w:type="dxa" w:w="2232"/>
            <w:vAlign w:val="center"/>
          </w:tcPr>
          <w:p>
            <w:pPr>
              <w:keepNext w:val="0"/>
              <w:spacing w:after="0" w:before="0" w:line="240" w:lineRule="auto"/>
            </w:pPr>
            <w:r>
              <w:rPr>
                <w:rFonts w:ascii="Calibri" w:hAnsi="Calibri"/>
                <w:b w:val="0"/>
                <w:sz w:val="19"/>
              </w:rPr>
              <w:t>Computational​Body_​IDGraph_​long</w:t>
            </w:r>
          </w:p>
        </w:tc>
        <w:tc>
          <w:tcPr>
            <w:tcW w:type="dxa" w:w="2664"/>
            <w:vAlign w:val="center"/>
          </w:tcPr>
          <w:p>
            <w:pPr>
              <w:keepNext w:val="0"/>
              <w:spacing w:after="0" w:before="0" w:line="240" w:lineRule="auto"/>
            </w:pPr>
            <w:r>
              <w:rPr>
                <w:rFonts w:ascii="Calibri" w:hAnsi="Calibri"/>
                <w:b w:val="0"/>
                <w:sz w:val="19"/>
              </w:rPr>
              <w:t>lesion1</w:t>
            </w:r>
          </w:p>
        </w:tc>
        <w:tc>
          <w:tcPr>
            <w:tcW w:type="dxa" w:w="2664"/>
            <w:vAlign w:val="center"/>
          </w:tcPr>
          <w:p>
            <w:pPr>
              <w:keepNext w:val="0"/>
              <w:spacing w:after="0" w:before="0" w:line="240" w:lineRule="auto"/>
              <w:jc w:val="right"/>
            </w:pPr>
            <w:r>
              <w:rPr>
                <w:rFonts w:ascii="Calibri" w:hAnsi="Calibri"/>
                <w:b w:val="0"/>
                <w:sz w:val="19"/>
              </w:rPr>
              <w:t>0.01142</w:t>
            </w:r>
          </w:p>
        </w:tc>
        <w:tc>
          <w:tcPr>
            <w:tcW w:type="dxa" w:w="2664"/>
            <w:vAlign w:val="center"/>
          </w:tcPr>
          <w:p>
            <w:pPr>
              <w:keepNext w:val="0"/>
              <w:spacing w:after="0" w:before="0" w:line="240" w:lineRule="auto"/>
              <w:jc w:val="right"/>
            </w:pPr>
            <w:r>
              <w:rPr>
                <w:rFonts w:ascii="Calibri" w:hAnsi="Calibri"/>
                <w:b w:val="0"/>
                <w:sz w:val="19"/>
              </w:rPr>
              <w:t>0.01336</w:t>
            </w:r>
          </w:p>
        </w:tc>
      </w:tr>
      <w:tr>
        <w:trPr>
          <w:cantSplit/>
        </w:trPr>
        <w:tc>
          <w:tcPr>
            <w:tcW w:type="dxa" w:w="2232"/>
            <w:vAlign w:val="center"/>
          </w:tcPr>
          <w:p>
            <w:pPr>
              <w:keepNext/>
              <w:spacing w:after="0" w:before="0" w:line="240" w:lineRule="auto"/>
            </w:pPr>
            <w:r>
              <w:rPr>
                <w:rFonts w:ascii="Calibri" w:hAnsi="Calibri"/>
                <w:b w:val="0"/>
                <w:sz w:val="19"/>
              </w:rPr>
              <w:t>Dense​Core_​IDGraph_​long</w:t>
            </w:r>
          </w:p>
        </w:tc>
        <w:tc>
          <w:tcPr>
            <w:tcW w:type="dxa" w:w="2664"/>
            <w:vAlign w:val="center"/>
          </w:tcPr>
          <w:p>
            <w:pPr>
              <w:keepNext/>
              <w:spacing w:after="0" w:before="0" w:line="240" w:lineRule="auto"/>
            </w:pPr>
            <w:r>
              <w:rPr>
                <w:rFonts w:ascii="Calibri" w:hAnsi="Calibri"/>
                <w:b w:val="0"/>
                <w:sz w:val="19"/>
              </w:rPr>
              <w:t>healthy</w:t>
            </w:r>
          </w:p>
        </w:tc>
        <w:tc>
          <w:tcPr>
            <w:tcW w:type="dxa" w:w="2664"/>
            <w:vAlign w:val="center"/>
          </w:tcPr>
          <w:p>
            <w:pPr>
              <w:keepNext/>
              <w:spacing w:after="0" w:before="0" w:line="240" w:lineRule="auto"/>
              <w:jc w:val="right"/>
            </w:pPr>
            <w:r>
              <w:rPr>
                <w:rFonts w:ascii="Calibri" w:hAnsi="Calibri"/>
                <w:b w:val="0"/>
                <w:sz w:val="19"/>
              </w:rPr>
              <w:t>0.00791</w:t>
            </w:r>
          </w:p>
        </w:tc>
        <w:tc>
          <w:tcPr>
            <w:tcW w:type="dxa" w:w="2664"/>
            <w:vAlign w:val="center"/>
          </w:tcPr>
          <w:p>
            <w:pPr>
              <w:keepNext/>
              <w:spacing w:after="0" w:before="0" w:line="240" w:lineRule="auto"/>
              <w:jc w:val="right"/>
            </w:pPr>
            <w:r>
              <w:rPr>
                <w:rFonts w:ascii="Calibri" w:hAnsi="Calibri"/>
                <w:b w:val="0"/>
                <w:sz w:val="19"/>
              </w:rPr>
              <w:t>0.00549</w:t>
            </w:r>
          </w:p>
        </w:tc>
      </w:tr>
    </w:tbl>
    <w:p>
      <w:pPr>
        <w:keepLines/>
        <w:spacing w:before="60" w:after="120"/>
      </w:pPr>
      <w:r>
        <w:rPr>
          <w:sz w:val="18"/>
        </w:rPr>
        <w:t>Controlled simulation.</w:t>
      </w:r>
    </w:p>
    <w:p>
      <w:r>
        <w:t>Intact graph error is 14.6% higher than DenseCore, within the reported tolerance of 15%. The same ComputationalBody checkpoint has a 26.1% error increase under single-module removal and therefore does not satisfy both evaluation criteria.</w:t>
      </w:r>
    </w:p>
    <w:p>
      <w:pPr>
        <w:pStyle w:val="Heading3"/>
      </w:pPr>
      <w:r>
        <w:t>8.1.6 Results by source structure</w:t>
      </w:r>
    </w:p>
    <w:p>
      <w:pPr>
        <w:pStyle w:val="Caption"/>
        <w:keepNext/>
      </w:pPr>
      <w:r>
        <w:t>Table 76. Evaluation criteria by source.</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Source</w:t>
            </w:r>
          </w:p>
        </w:tc>
        <w:tc>
          <w:tcPr>
            <w:tcW w:type="dxa" w:w="1722"/>
            <w:vAlign w:val="center"/>
            <w:shd w:fill="F2F2F2"/>
          </w:tcPr>
          <w:p>
            <w:pPr>
              <w:keepNext/>
              <w:spacing w:after="0" w:before="0" w:line="240" w:lineRule="auto"/>
            </w:pPr>
            <w:r>
              <w:rPr>
                <w:rFonts w:ascii="Calibri" w:hAnsi="Calibri"/>
                <w:b/>
                <w:sz w:val="19"/>
              </w:rPr>
              <w:t>Healthy gain vs Dense (%)</w:t>
            </w:r>
          </w:p>
        </w:tc>
        <w:tc>
          <w:tcPr>
            <w:tcW w:type="dxa" w:w="1722"/>
            <w:vAlign w:val="center"/>
            <w:shd w:fill="F2F2F2"/>
          </w:tcPr>
          <w:p>
            <w:pPr>
              <w:keepNext/>
              <w:spacing w:after="0" w:before="0" w:line="240" w:lineRule="auto"/>
            </w:pPr>
            <w:r>
              <w:rPr>
                <w:rFonts w:ascii="Calibri" w:hAnsi="Calibri"/>
                <w:b/>
                <w:sz w:val="19"/>
              </w:rPr>
              <w:t>Lesion degradation (%)</w:t>
            </w:r>
          </w:p>
        </w:tc>
        <w:tc>
          <w:tcPr>
            <w:tcW w:type="dxa" w:w="1722"/>
            <w:vAlign w:val="center"/>
            <w:shd w:fill="F2F2F2"/>
          </w:tcPr>
          <w:p>
            <w:pPr>
              <w:keepNext/>
              <w:spacing w:after="0" w:before="0" w:line="240" w:lineRule="auto"/>
            </w:pPr>
            <w:r>
              <w:rPr>
                <w:rFonts w:ascii="Calibri" w:hAnsi="Calibri"/>
                <w:b/>
                <w:sz w:val="19"/>
              </w:rPr>
              <w:t>Healthy</w:t>
            </w:r>
          </w:p>
        </w:tc>
        <w:tc>
          <w:tcPr>
            <w:tcW w:type="dxa" w:w="1722"/>
            <w:vAlign w:val="center"/>
            <w:shd w:fill="F2F2F2"/>
          </w:tcPr>
          <w:p>
            <w:pPr>
              <w:keepNext/>
              <w:spacing w:after="0" w:before="0" w:line="240" w:lineRule="auto"/>
            </w:pPr>
            <w:r>
              <w:rPr>
                <w:rFonts w:ascii="Calibri" w:hAnsi="Calibri"/>
                <w:b/>
                <w:sz w:val="19"/>
              </w:rPr>
              <w:t>Lesion</w:t>
            </w:r>
          </w:p>
        </w:tc>
        <w:tc>
          <w:tcPr>
            <w:tcW w:type="dxa" w:w="1722"/>
            <w:vAlign w:val="center"/>
            <w:shd w:fill="F2F2F2"/>
          </w:tcPr>
          <w:p>
            <w:pPr>
              <w:keepNext/>
              <w:spacing w:after="0" w:before="0" w:line="240" w:lineRule="auto"/>
            </w:pPr>
            <w:r>
              <w:rPr>
                <w:rFonts w:ascii="Calibri" w:hAnsi="Calibri"/>
                <w:b/>
                <w:sz w:val="19"/>
              </w:rPr>
              <w:t>Overall</w:t>
            </w:r>
          </w:p>
        </w:tc>
      </w:tr>
      <w:tr>
        <w:trPr>
          <w:cantSplit/>
        </w:trPr>
        <w:tc>
          <w:tcPr>
            <w:tcW w:type="dxa" w:w="1613"/>
            <w:vAlign w:val="center"/>
          </w:tcPr>
          <w:p>
            <w:pPr>
              <w:keepNext w:val="0"/>
              <w:spacing w:after="0" w:before="0" w:line="240" w:lineRule="auto"/>
            </w:pPr>
            <w:r>
              <w:rPr>
                <w:rFonts w:ascii="Calibri" w:hAnsi="Calibri"/>
                <w:b w:val="0"/>
                <w:sz w:val="19"/>
              </w:rPr>
              <w:t>continuous</w:t>
            </w:r>
          </w:p>
        </w:tc>
        <w:tc>
          <w:tcPr>
            <w:tcW w:type="dxa" w:w="1722"/>
            <w:vAlign w:val="center"/>
          </w:tcPr>
          <w:p>
            <w:pPr>
              <w:keepNext w:val="0"/>
              <w:spacing w:after="0" w:before="0" w:line="240" w:lineRule="auto"/>
              <w:jc w:val="right"/>
            </w:pPr>
            <w:r>
              <w:rPr>
                <w:rFonts w:ascii="Calibri" w:hAnsi="Calibri"/>
                <w:b w:val="0"/>
                <w:sz w:val="19"/>
              </w:rPr>
              <w:t>17.0</w:t>
            </w:r>
          </w:p>
        </w:tc>
        <w:tc>
          <w:tcPr>
            <w:tcW w:type="dxa" w:w="1722"/>
            <w:vAlign w:val="center"/>
          </w:tcPr>
          <w:p>
            <w:pPr>
              <w:keepNext w:val="0"/>
              <w:spacing w:after="0" w:before="0" w:line="240" w:lineRule="auto"/>
              <w:jc w:val="right"/>
            </w:pPr>
            <w:r>
              <w:rPr>
                <w:rFonts w:ascii="Calibri" w:hAnsi="Calibri"/>
                <w:b w:val="0"/>
                <w:sz w:val="19"/>
              </w:rPr>
              <w:t>1.1</w:t>
            </w:r>
          </w:p>
        </w:tc>
        <w:tc>
          <w:tcPr>
            <w:tcW w:type="dxa" w:w="1722"/>
            <w:vAlign w:val="center"/>
          </w:tcPr>
          <w:p>
            <w:pPr>
              <w:keepNext w:val="0"/>
              <w:spacing w:after="0" w:before="0" w:line="240" w:lineRule="auto"/>
            </w:pPr>
            <w:r>
              <w:rPr>
                <w:rFonts w:ascii="Calibri" w:hAnsi="Calibri"/>
                <w:b w:val="0"/>
                <w:sz w:val="19"/>
              </w:rPr>
              <w:t>PASS</w:t>
            </w:r>
          </w:p>
        </w:tc>
        <w:tc>
          <w:tcPr>
            <w:tcW w:type="dxa" w:w="1722"/>
            <w:vAlign w:val="center"/>
          </w:tcPr>
          <w:p>
            <w:pPr>
              <w:keepNext w:val="0"/>
              <w:spacing w:after="0" w:before="0" w:line="240" w:lineRule="auto"/>
            </w:pPr>
            <w:r>
              <w:rPr>
                <w:rFonts w:ascii="Calibri" w:hAnsi="Calibri"/>
                <w:b w:val="0"/>
                <w:sz w:val="19"/>
              </w:rPr>
              <w:t>PASS</w:t>
            </w:r>
          </w:p>
        </w:tc>
        <w:tc>
          <w:tcPr>
            <w:tcW w:type="dxa" w:w="1722"/>
            <w:vAlign w:val="center"/>
          </w:tcPr>
          <w:p>
            <w:pPr>
              <w:keepNext w:val="0"/>
              <w:spacing w:after="0" w:before="0" w:line="240" w:lineRule="auto"/>
            </w:pPr>
            <w:r>
              <w:rPr>
                <w:rFonts w:ascii="Calibri" w:hAnsi="Calibri"/>
                <w:b w:val="0"/>
                <w:sz w:val="19"/>
              </w:rPr>
              <w:t>PASS</w:t>
            </w:r>
          </w:p>
        </w:tc>
      </w:tr>
      <w:tr>
        <w:trPr>
          <w:cantSplit/>
        </w:trPr>
        <w:tc>
          <w:tcPr>
            <w:tcW w:type="dxa" w:w="1613"/>
            <w:vAlign w:val="center"/>
          </w:tcPr>
          <w:p>
            <w:pPr>
              <w:keepNext w:val="0"/>
              <w:spacing w:after="0" w:before="0" w:line="240" w:lineRule="auto"/>
            </w:pPr>
            <w:r>
              <w:rPr>
                <w:rFonts w:ascii="Calibri" w:hAnsi="Calibri"/>
                <w:b w:val="0"/>
                <w:sz w:val="19"/>
              </w:rPr>
              <w:t>event</w:t>
            </w:r>
          </w:p>
        </w:tc>
        <w:tc>
          <w:tcPr>
            <w:tcW w:type="dxa" w:w="1722"/>
            <w:vAlign w:val="center"/>
          </w:tcPr>
          <w:p>
            <w:pPr>
              <w:keepNext w:val="0"/>
              <w:spacing w:after="0" w:before="0" w:line="240" w:lineRule="auto"/>
              <w:jc w:val="right"/>
            </w:pPr>
            <w:r>
              <w:rPr>
                <w:rFonts w:ascii="Calibri" w:hAnsi="Calibri"/>
                <w:b w:val="0"/>
                <w:sz w:val="19"/>
              </w:rPr>
              <w:t>-3.8</w:t>
            </w:r>
          </w:p>
        </w:tc>
        <w:tc>
          <w:tcPr>
            <w:tcW w:type="dxa" w:w="1722"/>
            <w:vAlign w:val="center"/>
          </w:tcPr>
          <w:p>
            <w:pPr>
              <w:keepNext w:val="0"/>
              <w:spacing w:after="0" w:before="0" w:line="240" w:lineRule="auto"/>
              <w:jc w:val="right"/>
            </w:pPr>
            <w:r>
              <w:rPr>
                <w:rFonts w:ascii="Calibri" w:hAnsi="Calibri"/>
                <w:b w:val="0"/>
                <w:sz w:val="19"/>
              </w:rPr>
              <w:t>-0.2</w:t>
            </w:r>
          </w:p>
        </w:tc>
        <w:tc>
          <w:tcPr>
            <w:tcW w:type="dxa" w:w="1722"/>
            <w:vAlign w:val="center"/>
          </w:tcPr>
          <w:p>
            <w:pPr>
              <w:keepNext w:val="0"/>
              <w:spacing w:after="0" w:before="0" w:line="240" w:lineRule="auto"/>
            </w:pPr>
            <w:r>
              <w:rPr>
                <w:rFonts w:ascii="Calibri" w:hAnsi="Calibri"/>
                <w:b w:val="0"/>
                <w:sz w:val="19"/>
              </w:rPr>
              <w:t>PASS</w:t>
            </w:r>
          </w:p>
        </w:tc>
        <w:tc>
          <w:tcPr>
            <w:tcW w:type="dxa" w:w="1722"/>
            <w:vAlign w:val="center"/>
          </w:tcPr>
          <w:p>
            <w:pPr>
              <w:keepNext w:val="0"/>
              <w:spacing w:after="0" w:before="0" w:line="240" w:lineRule="auto"/>
            </w:pPr>
            <w:r>
              <w:rPr>
                <w:rFonts w:ascii="Calibri" w:hAnsi="Calibri"/>
                <w:b w:val="0"/>
                <w:sz w:val="19"/>
              </w:rPr>
              <w:t>PASS</w:t>
            </w:r>
          </w:p>
        </w:tc>
        <w:tc>
          <w:tcPr>
            <w:tcW w:type="dxa" w:w="1722"/>
            <w:vAlign w:val="center"/>
          </w:tcPr>
          <w:p>
            <w:pPr>
              <w:keepNext w:val="0"/>
              <w:spacing w:after="0" w:before="0" w:line="240" w:lineRule="auto"/>
            </w:pPr>
            <w:r>
              <w:rPr>
                <w:rFonts w:ascii="Calibri" w:hAnsi="Calibri"/>
                <w:b w:val="0"/>
                <w:sz w:val="19"/>
              </w:rPr>
              <w:t>PASS</w:t>
            </w:r>
          </w:p>
        </w:tc>
      </w:tr>
      <w:tr>
        <w:trPr>
          <w:cantSplit/>
        </w:trPr>
        <w:tc>
          <w:tcPr>
            <w:tcW w:type="dxa" w:w="1613"/>
            <w:vAlign w:val="center"/>
          </w:tcPr>
          <w:p>
            <w:pPr>
              <w:keepNext w:val="0"/>
              <w:spacing w:after="0" w:before="0" w:line="240" w:lineRule="auto"/>
            </w:pPr>
            <w:r>
              <w:rPr>
                <w:rFonts w:ascii="Calibri" w:hAnsi="Calibri"/>
                <w:b w:val="0"/>
                <w:sz w:val="19"/>
              </w:rPr>
              <w:t>set</w:t>
            </w:r>
          </w:p>
        </w:tc>
        <w:tc>
          <w:tcPr>
            <w:tcW w:type="dxa" w:w="1722"/>
            <w:vAlign w:val="center"/>
          </w:tcPr>
          <w:p>
            <w:pPr>
              <w:keepNext w:val="0"/>
              <w:spacing w:after="0" w:before="0" w:line="240" w:lineRule="auto"/>
              <w:jc w:val="right"/>
            </w:pPr>
            <w:r>
              <w:rPr>
                <w:rFonts w:ascii="Calibri" w:hAnsi="Calibri"/>
                <w:b w:val="0"/>
                <w:sz w:val="19"/>
              </w:rPr>
              <w:t>-0.7</w:t>
            </w:r>
          </w:p>
        </w:tc>
        <w:tc>
          <w:tcPr>
            <w:tcW w:type="dxa" w:w="1722"/>
            <w:vAlign w:val="center"/>
          </w:tcPr>
          <w:p>
            <w:pPr>
              <w:keepNext w:val="0"/>
              <w:spacing w:after="0" w:before="0" w:line="240" w:lineRule="auto"/>
              <w:jc w:val="right"/>
            </w:pPr>
            <w:r>
              <w:rPr>
                <w:rFonts w:ascii="Calibri" w:hAnsi="Calibri"/>
                <w:b w:val="0"/>
                <w:sz w:val="19"/>
              </w:rPr>
              <w:t>0.2</w:t>
            </w:r>
          </w:p>
        </w:tc>
        <w:tc>
          <w:tcPr>
            <w:tcW w:type="dxa" w:w="1722"/>
            <w:vAlign w:val="center"/>
          </w:tcPr>
          <w:p>
            <w:pPr>
              <w:keepNext w:val="0"/>
              <w:spacing w:after="0" w:before="0" w:line="240" w:lineRule="auto"/>
            </w:pPr>
            <w:r>
              <w:rPr>
                <w:rFonts w:ascii="Calibri" w:hAnsi="Calibri"/>
                <w:b w:val="0"/>
                <w:sz w:val="19"/>
              </w:rPr>
              <w:t>PASS</w:t>
            </w:r>
          </w:p>
        </w:tc>
        <w:tc>
          <w:tcPr>
            <w:tcW w:type="dxa" w:w="1722"/>
            <w:vAlign w:val="center"/>
          </w:tcPr>
          <w:p>
            <w:pPr>
              <w:keepNext w:val="0"/>
              <w:spacing w:after="0" w:before="0" w:line="240" w:lineRule="auto"/>
            </w:pPr>
            <w:r>
              <w:rPr>
                <w:rFonts w:ascii="Calibri" w:hAnsi="Calibri"/>
                <w:b w:val="0"/>
                <w:sz w:val="19"/>
              </w:rPr>
              <w:t>PASS</w:t>
            </w:r>
          </w:p>
        </w:tc>
        <w:tc>
          <w:tcPr>
            <w:tcW w:type="dxa" w:w="1722"/>
            <w:vAlign w:val="center"/>
          </w:tcPr>
          <w:p>
            <w:pPr>
              <w:keepNext w:val="0"/>
              <w:spacing w:after="0" w:before="0" w:line="240" w:lineRule="auto"/>
            </w:pPr>
            <w:r>
              <w:rPr>
                <w:rFonts w:ascii="Calibri" w:hAnsi="Calibri"/>
                <w:b w:val="0"/>
                <w:sz w:val="19"/>
              </w:rPr>
              <w:t>PASS</w:t>
            </w:r>
          </w:p>
        </w:tc>
      </w:tr>
      <w:tr>
        <w:trPr>
          <w:cantSplit/>
        </w:trPr>
        <w:tc>
          <w:tcPr>
            <w:tcW w:type="dxa" w:w="1613"/>
            <w:vAlign w:val="center"/>
          </w:tcPr>
          <w:p>
            <w:pPr>
              <w:keepNext/>
              <w:spacing w:after="0" w:before="0" w:line="240" w:lineRule="auto"/>
            </w:pPr>
            <w:r>
              <w:rPr>
                <w:rFonts w:ascii="Calibri" w:hAnsi="Calibri"/>
                <w:b w:val="0"/>
                <w:sz w:val="19"/>
              </w:rPr>
              <w:t>graph</w:t>
            </w:r>
          </w:p>
        </w:tc>
        <w:tc>
          <w:tcPr>
            <w:tcW w:type="dxa" w:w="1722"/>
            <w:vAlign w:val="center"/>
          </w:tcPr>
          <w:p>
            <w:pPr>
              <w:keepNext/>
              <w:spacing w:after="0" w:before="0" w:line="240" w:lineRule="auto"/>
              <w:jc w:val="right"/>
            </w:pPr>
            <w:r>
              <w:rPr>
                <w:rFonts w:ascii="Calibri" w:hAnsi="Calibri"/>
                <w:b w:val="0"/>
                <w:sz w:val="19"/>
              </w:rPr>
              <w:t>-14.6</w:t>
            </w:r>
          </w:p>
        </w:tc>
        <w:tc>
          <w:tcPr>
            <w:tcW w:type="dxa" w:w="1722"/>
            <w:vAlign w:val="center"/>
          </w:tcPr>
          <w:p>
            <w:pPr>
              <w:keepNext/>
              <w:spacing w:after="0" w:before="0" w:line="240" w:lineRule="auto"/>
              <w:jc w:val="right"/>
            </w:pPr>
            <w:r>
              <w:rPr>
                <w:rFonts w:ascii="Calibri" w:hAnsi="Calibri"/>
                <w:b w:val="0"/>
                <w:sz w:val="19"/>
              </w:rPr>
              <w:t>26.1</w:t>
            </w:r>
          </w:p>
        </w:tc>
        <w:tc>
          <w:tcPr>
            <w:tcW w:type="dxa" w:w="1722"/>
            <w:vAlign w:val="center"/>
          </w:tcPr>
          <w:p>
            <w:pPr>
              <w:keepNext/>
              <w:spacing w:after="0" w:before="0" w:line="240" w:lineRule="auto"/>
            </w:pPr>
            <w:r>
              <w:rPr>
                <w:rFonts w:ascii="Calibri" w:hAnsi="Calibri"/>
                <w:b w:val="0"/>
                <w:sz w:val="19"/>
              </w:rPr>
              <w:t>PASS</w:t>
            </w:r>
          </w:p>
        </w:tc>
        <w:tc>
          <w:tcPr>
            <w:tcW w:type="dxa" w:w="1722"/>
            <w:vAlign w:val="center"/>
          </w:tcPr>
          <w:p>
            <w:pPr>
              <w:keepNext/>
              <w:spacing w:after="0" w:before="0" w:line="240" w:lineRule="auto"/>
            </w:pPr>
            <w:r>
              <w:rPr>
                <w:rFonts w:ascii="Calibri" w:hAnsi="Calibri"/>
                <w:b w:val="0"/>
                <w:sz w:val="19"/>
              </w:rPr>
              <w:t>FAIL</w:t>
            </w:r>
          </w:p>
        </w:tc>
        <w:tc>
          <w:tcPr>
            <w:tcW w:type="dxa" w:w="1722"/>
            <w:vAlign w:val="center"/>
          </w:tcPr>
          <w:p>
            <w:pPr>
              <w:keepNext/>
              <w:spacing w:after="0" w:before="0" w:line="240" w:lineRule="auto"/>
            </w:pPr>
            <w:r>
              <w:rPr>
                <w:rFonts w:ascii="Calibri" w:hAnsi="Calibri"/>
                <w:b w:val="0"/>
                <w:sz w:val="19"/>
              </w:rPr>
              <w:t>FAIL</w:t>
            </w:r>
          </w:p>
        </w:tc>
      </w:tr>
    </w:tbl>
    <w:p>
      <w:pPr>
        <w:keepLines/>
        <w:spacing w:before="60" w:after="120"/>
      </w:pPr>
      <w:r>
        <w:rPr>
          <w:sz w:val="18"/>
        </w:rPr>
        <w:t>Controlled simulation. PASS/FAIL refers to the stated study criteria, not general task mastery.</w:t>
      </w:r>
    </w:p>
    <w:p>
      <w:r>
        <w:t>Continuous, event and unordered-set models satisfy both reported criteria. The graph model satisfies the intact-error tolerance after longer training but exceeds the permitted removal degradation.</w:t>
      </w:r>
    </w:p>
    <w:p>
      <w:pPr>
        <w:pStyle w:val="Heading3"/>
      </w:pPr>
      <w:r>
        <w:t>8.1.7 Interpretation of architectural reuse</w:t>
      </w:r>
    </w:p>
    <w:p>
      <w:pPr>
        <w:pStyle w:val="ListBullet"/>
      </w:pPr>
      <w:r>
        <w:t>The same central ComputationalBody architecture can be trained behind thin adapters on continuous, categorical-event and unordered-set sources without redesigning the coordinator.</w:t>
      </w:r>
    </w:p>
    <w:p>
      <w:pPr>
        <w:pStyle w:val="ListBullet"/>
      </w:pPr>
      <w:r>
        <w:t>Removal sensitivity varies by source. The longer-trained graph model exposes a trade-off between intact accuracy and perturbation resilience.</w:t>
      </w:r>
    </w:p>
    <w:p>
      <w:pPr>
        <w:pStyle w:val="ListBullet"/>
      </w:pPr>
      <w:r>
        <w:t>The event model satisfies the architectural comparison criteria with rollout token accuracy approximately 0.137. Its categorical prediction quality should therefore be read through that absolute metric as well as its comparison with DenseCore.</w:t>
      </w:r>
    </w:p>
    <w:p>
      <w:pPr>
        <w:pStyle w:val="ListBullet"/>
      </w:pPr>
      <w:r>
        <w:t>The graph comparison identifies two requirements to evaluate together: retaining node-local predictive information and preserving substitute computation under module loss.</w:t>
      </w:r>
    </w:p>
    <w:p>
      <w:pPr>
        <w:pStyle w:val="Heading3"/>
      </w:pPr>
      <w:r>
        <w:t>8.1.8 Training implications</w:t>
      </w:r>
    </w:p>
    <w:p>
      <w:r>
        <w:t>1. Adapter sufficiency is part of the system contract. A source-general core cannot reconstruct information discarded before entry.</w:t>
      </w:r>
    </w:p>
    <w:p>
      <w:r>
        <w:t>2. Preserve the correct symmetry. Unordered sets need permutation invariance; identified graph nodes do not justify identity-destroying pooling.</w:t>
      </w:r>
    </w:p>
    <w:p>
      <w:r>
        <w:t>3. Keep source-native objectives. Continuous and graph data use MSE, events use cross-entropy, and sets use Chamfer distance.</w:t>
      </w:r>
    </w:p>
    <w:p>
      <w:r>
        <w:t>4. Separate healthy convergence from body robustness during checkpoint selection. A model can improve normal graph accuracy faster than lesion tolerance.</w:t>
      </w:r>
    </w:p>
    <w:p>
      <w:r>
        <w:t>5. Compare training-duration sensitivity before attributing a difference entirely to architecture, and report the evidence used to judge convergence.</w:t>
      </w:r>
    </w:p>
    <w:p>
      <w:r>
        <w:t>6. Thin adapters are preferred. If most of the work moves into a source-specific front end, the central-core generality claim becomes weak.</w:t>
      </w:r>
    </w:p>
    <w:p>
      <w:r>
        <w:t>7. Evaluate both intact performance and resource-perturbation response within each source-native task.</w:t>
      </w:r>
    </w:p>
    <w:p>
      <w:pPr>
        <w:pStyle w:val="Heading3"/>
      </w:pPr>
      <w:r>
        <w:t>8.1.9 Architecture across source structures</w:t>
      </w:r>
    </w:p>
    <w:p>
      <w:r>
        <w:t>source-specific thin adapter → fast predictive state + slow predictive state → computational body state → coordination field → gain-normalized overlapping effectors with local curvature capacity → source-specific decoder → next-source generation.</w:t>
      </w:r>
    </w:p>
    <w:p>
      <w:r>
        <w:t>The tests demonstrate reuse of the central architecture across three source structures under the stated criteria. The graph task reveals a remaining trade-off within the reported comparison. The objective throughout is prediction of the next source state and its autoregressive continuation.</w:t>
      </w:r>
    </w:p>
    <w:p>
      <w:pPr>
        <w:pStyle w:val="Heading2"/>
      </w:pPr>
      <w:r>
        <w:t>8.2 REAL-GRAPH-GEOMETRY-022 Measured structure in public graph data</w:t>
      </w:r>
    </w:p>
    <w:p>
      <w:r>
        <w:t>This section characterizes five real graph datasets to inform representation and scale choices. It measures topology directly, separately from the synthetic graph-prediction comparison in 021.</w:t>
      </w:r>
    </w:p>
    <w:p>
      <w:r>
        <w:t>Graph representation choices should be informed by the scale, mixing and local heterogeneity of the observed network.</w:t>
      </w:r>
    </w:p>
    <w:p>
      <w:pPr>
        <w:pStyle w:val="Heading3"/>
      </w:pPr>
      <w:r>
        <w:t>8.2.1 Real-data basis</w:t>
      </w:r>
    </w:p>
    <w:p>
      <w:pPr>
        <w:pStyle w:val="ListBullet"/>
      </w:pPr>
      <w:r>
        <w:t>Dolphins — 62-node bottlenose dolphin association network from Doubtful Sound, New Zealand.</w:t>
      </w:r>
    </w:p>
    <w:p>
      <w:pPr>
        <w:pStyle w:val="ListBullet"/>
      </w:pPr>
      <w:r>
        <w:t>Email-Eu-core — institutional email communication network; department labels are available for 42 departments.</w:t>
      </w:r>
    </w:p>
    <w:p>
      <w:pPr>
        <w:pStyle w:val="ListBullet"/>
      </w:pPr>
      <w:r>
        <w:t>ca-GrQc — arXiv General Relativity and Quantum Cosmology scientific collaboration network.</w:t>
      </w:r>
    </w:p>
    <w:p>
      <w:pPr>
        <w:pStyle w:val="ListBullet"/>
      </w:pPr>
      <w:r>
        <w:t>Facebook Combined — combined anonymized ego-network graph from the SNAP Facebook social-circles collection.</w:t>
      </w:r>
    </w:p>
    <w:p>
      <w:pPr>
        <w:pStyle w:val="ListBullet"/>
      </w:pPr>
      <w:r>
        <w:t>Cora — citation network of 2,708 scientific papers; canonical data include 5,429 citation records and 1,433 binary word attributes.</w:t>
      </w:r>
    </w:p>
    <w:p>
      <w:r>
        <w:t>Measurement convention. Directed citation/email sources are symmetrized for the topology geometry reported below. Shortest-path, neighborhood-growth and spectral-gap comparisons use the largest connected component. Large-graph clustering values are deterministic node-sample estimates; they are not substituted for the source repositories' exact published clustering coefficients.</w:t>
      </w:r>
    </w:p>
    <w:p>
      <w:pPr>
        <w:pStyle w:val="Heading3"/>
      </w:pPr>
      <w:r>
        <w:t>8.2.2 Measured geometry: scale and mixing</w:t>
      </w:r>
    </w:p>
    <w:p>
      <w:pPr>
        <w:pStyle w:val="Caption"/>
        <w:keepNext/>
      </w:pPr>
      <w:r>
        <w:t>Table 77. Largest-component scale and mixing.</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598"/>
        <w:gridCol w:w="1598"/>
        <w:gridCol w:w="1598"/>
        <w:gridCol w:w="1598"/>
        <w:gridCol w:w="1598"/>
      </w:tblGrid>
      <w:tr>
        <w:trPr>
          <w:cantSplit/>
          <w:tblHeader/>
        </w:trPr>
        <w:tc>
          <w:tcPr>
            <w:tcW w:type="dxa" w:w="2232"/>
            <w:vAlign w:val="center"/>
            <w:shd w:fill="F2F2F2"/>
          </w:tcPr>
          <w:p>
            <w:pPr>
              <w:keepNext/>
              <w:spacing w:after="0" w:before="0" w:line="240" w:lineRule="auto"/>
            </w:pPr>
            <w:r>
              <w:rPr>
                <w:rFonts w:ascii="Calibri" w:hAnsi="Calibri"/>
                <w:b/>
                <w:sz w:val="19"/>
              </w:rPr>
              <w:t>Dataset</w:t>
            </w:r>
          </w:p>
        </w:tc>
        <w:tc>
          <w:tcPr>
            <w:tcW w:type="dxa" w:w="1598"/>
            <w:vAlign w:val="center"/>
            <w:shd w:fill="F2F2F2"/>
          </w:tcPr>
          <w:p>
            <w:pPr>
              <w:keepNext/>
              <w:spacing w:after="0" w:before="0" w:line="240" w:lineRule="auto"/>
            </w:pPr>
            <w:r>
              <w:rPr>
                <w:rFonts w:ascii="Calibri" w:hAnsi="Calibri"/>
                <w:b/>
                <w:sz w:val="19"/>
              </w:rPr>
              <w:t>LCC N</w:t>
            </w:r>
          </w:p>
        </w:tc>
        <w:tc>
          <w:tcPr>
            <w:tcW w:type="dxa" w:w="1598"/>
            <w:vAlign w:val="center"/>
            <w:shd w:fill="F2F2F2"/>
          </w:tcPr>
          <w:p>
            <w:pPr>
              <w:keepNext/>
              <w:spacing w:after="0" w:before="0" w:line="240" w:lineRule="auto"/>
            </w:pPr>
            <w:r>
              <w:rPr>
                <w:rFonts w:ascii="Calibri" w:hAnsi="Calibri"/>
                <w:b/>
                <w:sz w:val="19"/>
              </w:rPr>
              <w:t>Mean distance</w:t>
            </w:r>
          </w:p>
        </w:tc>
        <w:tc>
          <w:tcPr>
            <w:tcW w:type="dxa" w:w="1598"/>
            <w:vAlign w:val="center"/>
            <w:shd w:fill="F2F2F2"/>
          </w:tcPr>
          <w:p>
            <w:pPr>
              <w:keepNext/>
              <w:spacing w:after="0" w:before="0" w:line="240" w:lineRule="auto"/>
            </w:pPr>
            <w:r>
              <w:rPr>
                <w:rFonts w:ascii="Calibri" w:hAnsi="Calibri"/>
                <w:b/>
                <w:sz w:val="19"/>
              </w:rPr>
              <w:t>2-hop coverage</w:t>
            </w:r>
          </w:p>
        </w:tc>
        <w:tc>
          <w:tcPr>
            <w:tcW w:type="dxa" w:w="1598"/>
            <w:vAlign w:val="center"/>
            <w:shd w:fill="F2F2F2"/>
          </w:tcPr>
          <w:p>
            <w:pPr>
              <w:keepNext/>
              <w:spacing w:after="0" w:before="0" w:line="240" w:lineRule="auto"/>
            </w:pPr>
            <w:r>
              <w:rPr>
                <w:rFonts w:ascii="Calibri" w:hAnsi="Calibri"/>
                <w:b/>
                <w:sz w:val="19"/>
              </w:rPr>
              <w:t>4-hop coverage</w:t>
            </w:r>
          </w:p>
        </w:tc>
        <w:tc>
          <w:tcPr>
            <w:tcW w:type="dxa" w:w="1598"/>
            <w:vAlign w:val="center"/>
            <w:shd w:fill="F2F2F2"/>
          </w:tcPr>
          <w:p>
            <w:pPr>
              <w:keepNext/>
              <w:spacing w:after="0" w:before="0" w:line="240" w:lineRule="auto"/>
            </w:pPr>
            <w:r>
              <w:rPr>
                <w:rFonts w:ascii="Calibri" w:hAnsi="Calibri"/>
                <w:b/>
                <w:sz w:val="19"/>
              </w:rPr>
              <w:t>λ₂ (norm. Laplacian)</w:t>
            </w:r>
          </w:p>
        </w:tc>
      </w:tr>
      <w:tr>
        <w:trPr>
          <w:cantSplit/>
        </w:trPr>
        <w:tc>
          <w:tcPr>
            <w:tcW w:type="dxa" w:w="2232"/>
            <w:vAlign w:val="center"/>
          </w:tcPr>
          <w:p>
            <w:pPr>
              <w:keepNext w:val="0"/>
              <w:spacing w:after="0" w:before="0" w:line="240" w:lineRule="auto"/>
            </w:pPr>
            <w:r>
              <w:rPr>
                <w:rFonts w:ascii="Calibri" w:hAnsi="Calibri"/>
                <w:b w:val="0"/>
                <w:sz w:val="19"/>
              </w:rPr>
              <w:t>Dolphins</w:t>
            </w:r>
          </w:p>
        </w:tc>
        <w:tc>
          <w:tcPr>
            <w:tcW w:type="dxa" w:w="1598"/>
            <w:vAlign w:val="center"/>
          </w:tcPr>
          <w:p>
            <w:pPr>
              <w:keepNext w:val="0"/>
              <w:spacing w:after="0" w:before="0" w:line="240" w:lineRule="auto"/>
              <w:jc w:val="right"/>
            </w:pPr>
            <w:r>
              <w:rPr>
                <w:rFonts w:ascii="Calibri" w:hAnsi="Calibri"/>
                <w:b w:val="0"/>
                <w:sz w:val="19"/>
              </w:rPr>
              <w:t>62</w:t>
            </w:r>
          </w:p>
        </w:tc>
        <w:tc>
          <w:tcPr>
            <w:tcW w:type="dxa" w:w="1598"/>
            <w:vAlign w:val="center"/>
          </w:tcPr>
          <w:p>
            <w:pPr>
              <w:keepNext w:val="0"/>
              <w:spacing w:after="0" w:before="0" w:line="240" w:lineRule="auto"/>
              <w:jc w:val="right"/>
            </w:pPr>
            <w:r>
              <w:rPr>
                <w:rFonts w:ascii="Calibri" w:hAnsi="Calibri"/>
                <w:b w:val="0"/>
                <w:sz w:val="19"/>
              </w:rPr>
              <w:t>3.357</w:t>
            </w:r>
          </w:p>
        </w:tc>
        <w:tc>
          <w:tcPr>
            <w:tcW w:type="dxa" w:w="1598"/>
            <w:vAlign w:val="center"/>
          </w:tcPr>
          <w:p>
            <w:pPr>
              <w:keepNext w:val="0"/>
              <w:spacing w:after="0" w:before="0" w:line="240" w:lineRule="auto"/>
              <w:jc w:val="right"/>
            </w:pPr>
            <w:r>
              <w:rPr>
                <w:rFonts w:ascii="Calibri" w:hAnsi="Calibri"/>
                <w:b w:val="0"/>
                <w:sz w:val="19"/>
              </w:rPr>
              <w:t>33.19%</w:t>
            </w:r>
          </w:p>
        </w:tc>
        <w:tc>
          <w:tcPr>
            <w:tcW w:type="dxa" w:w="1598"/>
            <w:vAlign w:val="center"/>
          </w:tcPr>
          <w:p>
            <w:pPr>
              <w:keepNext w:val="0"/>
              <w:spacing w:after="0" w:before="0" w:line="240" w:lineRule="auto"/>
              <w:jc w:val="right"/>
            </w:pPr>
            <w:r>
              <w:rPr>
                <w:rFonts w:ascii="Calibri" w:hAnsi="Calibri"/>
                <w:b w:val="0"/>
                <w:sz w:val="19"/>
              </w:rPr>
              <w:t>77.52%</w:t>
            </w:r>
          </w:p>
        </w:tc>
        <w:tc>
          <w:tcPr>
            <w:tcW w:type="dxa" w:w="1598"/>
            <w:vAlign w:val="center"/>
          </w:tcPr>
          <w:p>
            <w:pPr>
              <w:keepNext w:val="0"/>
              <w:spacing w:after="0" w:before="0" w:line="240" w:lineRule="auto"/>
              <w:jc w:val="right"/>
            </w:pPr>
            <w:r>
              <w:rPr>
                <w:rFonts w:ascii="Calibri" w:hAnsi="Calibri"/>
                <w:b w:val="0"/>
                <w:sz w:val="19"/>
              </w:rPr>
              <w:t>0.0395</w:t>
            </w:r>
          </w:p>
        </w:tc>
      </w:tr>
      <w:tr>
        <w:trPr>
          <w:cantSplit/>
        </w:trPr>
        <w:tc>
          <w:tcPr>
            <w:tcW w:type="dxa" w:w="2232"/>
            <w:vAlign w:val="center"/>
          </w:tcPr>
          <w:p>
            <w:pPr>
              <w:keepNext w:val="0"/>
              <w:spacing w:after="0" w:before="0" w:line="240" w:lineRule="auto"/>
            </w:pPr>
            <w:r>
              <w:rPr>
                <w:rFonts w:ascii="Calibri" w:hAnsi="Calibri"/>
                <w:b w:val="0"/>
                <w:sz w:val="19"/>
              </w:rPr>
              <w:t>Email-Eu-core</w:t>
            </w:r>
          </w:p>
        </w:tc>
        <w:tc>
          <w:tcPr>
            <w:tcW w:type="dxa" w:w="1598"/>
            <w:vAlign w:val="center"/>
          </w:tcPr>
          <w:p>
            <w:pPr>
              <w:keepNext w:val="0"/>
              <w:spacing w:after="0" w:before="0" w:line="240" w:lineRule="auto"/>
              <w:jc w:val="right"/>
            </w:pPr>
            <w:r>
              <w:rPr>
                <w:rFonts w:ascii="Calibri" w:hAnsi="Calibri"/>
                <w:b w:val="0"/>
                <w:sz w:val="19"/>
              </w:rPr>
              <w:t>986</w:t>
            </w:r>
          </w:p>
        </w:tc>
        <w:tc>
          <w:tcPr>
            <w:tcW w:type="dxa" w:w="1598"/>
            <w:vAlign w:val="center"/>
          </w:tcPr>
          <w:p>
            <w:pPr>
              <w:keepNext w:val="0"/>
              <w:spacing w:after="0" w:before="0" w:line="240" w:lineRule="auto"/>
              <w:jc w:val="right"/>
            </w:pPr>
            <w:r>
              <w:rPr>
                <w:rFonts w:ascii="Calibri" w:hAnsi="Calibri"/>
                <w:b w:val="0"/>
                <w:sz w:val="19"/>
              </w:rPr>
              <w:t>2.610</w:t>
            </w:r>
          </w:p>
        </w:tc>
        <w:tc>
          <w:tcPr>
            <w:tcW w:type="dxa" w:w="1598"/>
            <w:vAlign w:val="center"/>
          </w:tcPr>
          <w:p>
            <w:pPr>
              <w:keepNext w:val="0"/>
              <w:spacing w:after="0" w:before="0" w:line="240" w:lineRule="auto"/>
              <w:jc w:val="right"/>
            </w:pPr>
            <w:r>
              <w:rPr>
                <w:rFonts w:ascii="Calibri" w:hAnsi="Calibri"/>
                <w:b w:val="0"/>
                <w:sz w:val="19"/>
              </w:rPr>
              <w:t>44.35%</w:t>
            </w:r>
          </w:p>
        </w:tc>
        <w:tc>
          <w:tcPr>
            <w:tcW w:type="dxa" w:w="1598"/>
            <w:vAlign w:val="center"/>
          </w:tcPr>
          <w:p>
            <w:pPr>
              <w:keepNext w:val="0"/>
              <w:spacing w:after="0" w:before="0" w:line="240" w:lineRule="auto"/>
              <w:jc w:val="right"/>
            </w:pPr>
            <w:r>
              <w:rPr>
                <w:rFonts w:ascii="Calibri" w:hAnsi="Calibri"/>
                <w:b w:val="0"/>
                <w:sz w:val="19"/>
              </w:rPr>
              <w:t>99.61%</w:t>
            </w:r>
          </w:p>
        </w:tc>
        <w:tc>
          <w:tcPr>
            <w:tcW w:type="dxa" w:w="1598"/>
            <w:vAlign w:val="center"/>
          </w:tcPr>
          <w:p>
            <w:pPr>
              <w:keepNext w:val="0"/>
              <w:spacing w:after="0" w:before="0" w:line="240" w:lineRule="auto"/>
              <w:jc w:val="right"/>
            </w:pPr>
            <w:r>
              <w:rPr>
                <w:rFonts w:ascii="Calibri" w:hAnsi="Calibri"/>
                <w:b w:val="0"/>
                <w:sz w:val="19"/>
              </w:rPr>
              <w:t>0.2122</w:t>
            </w:r>
          </w:p>
        </w:tc>
      </w:tr>
      <w:tr>
        <w:trPr>
          <w:cantSplit/>
        </w:trPr>
        <w:tc>
          <w:tcPr>
            <w:tcW w:type="dxa" w:w="2232"/>
            <w:vAlign w:val="center"/>
          </w:tcPr>
          <w:p>
            <w:pPr>
              <w:keepNext w:val="0"/>
              <w:spacing w:after="0" w:before="0" w:line="240" w:lineRule="auto"/>
            </w:pPr>
            <w:r>
              <w:rPr>
                <w:rFonts w:ascii="Calibri" w:hAnsi="Calibri"/>
                <w:b w:val="0"/>
                <w:sz w:val="19"/>
              </w:rPr>
              <w:t>ca-GrQc</w:t>
            </w:r>
          </w:p>
        </w:tc>
        <w:tc>
          <w:tcPr>
            <w:tcW w:type="dxa" w:w="1598"/>
            <w:vAlign w:val="center"/>
          </w:tcPr>
          <w:p>
            <w:pPr>
              <w:keepNext w:val="0"/>
              <w:spacing w:after="0" w:before="0" w:line="240" w:lineRule="auto"/>
              <w:jc w:val="right"/>
            </w:pPr>
            <w:r>
              <w:rPr>
                <w:rFonts w:ascii="Calibri" w:hAnsi="Calibri"/>
                <w:b w:val="0"/>
                <w:sz w:val="19"/>
              </w:rPr>
              <w:t>4158</w:t>
            </w:r>
          </w:p>
        </w:tc>
        <w:tc>
          <w:tcPr>
            <w:tcW w:type="dxa" w:w="1598"/>
            <w:vAlign w:val="center"/>
          </w:tcPr>
          <w:p>
            <w:pPr>
              <w:keepNext w:val="0"/>
              <w:spacing w:after="0" w:before="0" w:line="240" w:lineRule="auto"/>
              <w:jc w:val="right"/>
            </w:pPr>
            <w:r>
              <w:rPr>
                <w:rFonts w:ascii="Calibri" w:hAnsi="Calibri"/>
                <w:b w:val="0"/>
                <w:sz w:val="19"/>
              </w:rPr>
              <w:t>6.065</w:t>
            </w:r>
          </w:p>
        </w:tc>
        <w:tc>
          <w:tcPr>
            <w:tcW w:type="dxa" w:w="1598"/>
            <w:vAlign w:val="center"/>
          </w:tcPr>
          <w:p>
            <w:pPr>
              <w:keepNext w:val="0"/>
              <w:spacing w:after="0" w:before="0" w:line="240" w:lineRule="auto"/>
              <w:jc w:val="right"/>
            </w:pPr>
            <w:r>
              <w:rPr>
                <w:rFonts w:ascii="Calibri" w:hAnsi="Calibri"/>
                <w:b w:val="0"/>
                <w:sz w:val="19"/>
              </w:rPr>
              <w:t>0.78%</w:t>
            </w:r>
          </w:p>
        </w:tc>
        <w:tc>
          <w:tcPr>
            <w:tcW w:type="dxa" w:w="1598"/>
            <w:vAlign w:val="center"/>
          </w:tcPr>
          <w:p>
            <w:pPr>
              <w:keepNext w:val="0"/>
              <w:spacing w:after="0" w:before="0" w:line="240" w:lineRule="auto"/>
              <w:jc w:val="right"/>
            </w:pPr>
            <w:r>
              <w:rPr>
                <w:rFonts w:ascii="Calibri" w:hAnsi="Calibri"/>
                <w:b w:val="0"/>
                <w:sz w:val="19"/>
              </w:rPr>
              <w:t>14.11%</w:t>
            </w:r>
          </w:p>
        </w:tc>
        <w:tc>
          <w:tcPr>
            <w:tcW w:type="dxa" w:w="1598"/>
            <w:vAlign w:val="center"/>
          </w:tcPr>
          <w:p>
            <w:pPr>
              <w:keepNext w:val="0"/>
              <w:spacing w:after="0" w:before="0" w:line="240" w:lineRule="auto"/>
              <w:jc w:val="right"/>
            </w:pPr>
            <w:r>
              <w:rPr>
                <w:rFonts w:ascii="Calibri" w:hAnsi="Calibri"/>
                <w:b w:val="0"/>
                <w:sz w:val="19"/>
              </w:rPr>
              <w:t>0.0215</w:t>
            </w:r>
          </w:p>
        </w:tc>
      </w:tr>
      <w:tr>
        <w:trPr>
          <w:cantSplit/>
        </w:trPr>
        <w:tc>
          <w:tcPr>
            <w:tcW w:type="dxa" w:w="2232"/>
            <w:vAlign w:val="center"/>
          </w:tcPr>
          <w:p>
            <w:pPr>
              <w:keepNext w:val="0"/>
              <w:spacing w:after="0" w:before="0" w:line="240" w:lineRule="auto"/>
            </w:pPr>
            <w:r>
              <w:rPr>
                <w:rFonts w:ascii="Calibri" w:hAnsi="Calibri"/>
                <w:b w:val="0"/>
                <w:sz w:val="19"/>
              </w:rPr>
              <w:t>Facebook Combined</w:t>
            </w:r>
          </w:p>
        </w:tc>
        <w:tc>
          <w:tcPr>
            <w:tcW w:type="dxa" w:w="1598"/>
            <w:vAlign w:val="center"/>
          </w:tcPr>
          <w:p>
            <w:pPr>
              <w:keepNext w:val="0"/>
              <w:spacing w:after="0" w:before="0" w:line="240" w:lineRule="auto"/>
              <w:jc w:val="right"/>
            </w:pPr>
            <w:r>
              <w:rPr>
                <w:rFonts w:ascii="Calibri" w:hAnsi="Calibri"/>
                <w:b w:val="0"/>
                <w:sz w:val="19"/>
              </w:rPr>
              <w:t>4039</w:t>
            </w:r>
          </w:p>
        </w:tc>
        <w:tc>
          <w:tcPr>
            <w:tcW w:type="dxa" w:w="1598"/>
            <w:vAlign w:val="center"/>
          </w:tcPr>
          <w:p>
            <w:pPr>
              <w:keepNext w:val="0"/>
              <w:spacing w:after="0" w:before="0" w:line="240" w:lineRule="auto"/>
              <w:jc w:val="right"/>
            </w:pPr>
            <w:r>
              <w:rPr>
                <w:rFonts w:ascii="Calibri" w:hAnsi="Calibri"/>
                <w:b w:val="0"/>
                <w:sz w:val="19"/>
              </w:rPr>
              <w:t>3.667</w:t>
            </w:r>
          </w:p>
        </w:tc>
        <w:tc>
          <w:tcPr>
            <w:tcW w:type="dxa" w:w="1598"/>
            <w:vAlign w:val="center"/>
          </w:tcPr>
          <w:p>
            <w:pPr>
              <w:keepNext w:val="0"/>
              <w:spacing w:after="0" w:before="0" w:line="240" w:lineRule="auto"/>
              <w:jc w:val="right"/>
            </w:pPr>
            <w:r>
              <w:rPr>
                <w:rFonts w:ascii="Calibri" w:hAnsi="Calibri"/>
                <w:b w:val="0"/>
                <w:sz w:val="19"/>
              </w:rPr>
              <w:t>18.04%</w:t>
            </w:r>
          </w:p>
        </w:tc>
        <w:tc>
          <w:tcPr>
            <w:tcW w:type="dxa" w:w="1598"/>
            <w:vAlign w:val="center"/>
          </w:tcPr>
          <w:p>
            <w:pPr>
              <w:keepNext w:val="0"/>
              <w:spacing w:after="0" w:before="0" w:line="240" w:lineRule="auto"/>
              <w:jc w:val="right"/>
            </w:pPr>
            <w:r>
              <w:rPr>
                <w:rFonts w:ascii="Calibri" w:hAnsi="Calibri"/>
                <w:b w:val="0"/>
                <w:sz w:val="19"/>
              </w:rPr>
              <w:t>78.69%</w:t>
            </w:r>
          </w:p>
        </w:tc>
        <w:tc>
          <w:tcPr>
            <w:tcW w:type="dxa" w:w="1598"/>
            <w:vAlign w:val="center"/>
          </w:tcPr>
          <w:p>
            <w:pPr>
              <w:keepNext w:val="0"/>
              <w:spacing w:after="0" w:before="0" w:line="240" w:lineRule="auto"/>
              <w:jc w:val="right"/>
            </w:pPr>
            <w:r>
              <w:rPr>
                <w:rFonts w:ascii="Calibri" w:hAnsi="Calibri"/>
                <w:b w:val="0"/>
                <w:sz w:val="19"/>
              </w:rPr>
              <w:t>0.0073</w:t>
            </w:r>
          </w:p>
        </w:tc>
      </w:tr>
      <w:tr>
        <w:trPr>
          <w:cantSplit/>
        </w:trPr>
        <w:tc>
          <w:tcPr>
            <w:tcW w:type="dxa" w:w="2232"/>
            <w:vAlign w:val="center"/>
          </w:tcPr>
          <w:p>
            <w:pPr>
              <w:keepNext/>
              <w:spacing w:after="0" w:before="0" w:line="240" w:lineRule="auto"/>
            </w:pPr>
            <w:r>
              <w:rPr>
                <w:rFonts w:ascii="Calibri" w:hAnsi="Calibri"/>
                <w:b w:val="0"/>
                <w:sz w:val="19"/>
              </w:rPr>
              <w:t>Cora</w:t>
            </w:r>
          </w:p>
        </w:tc>
        <w:tc>
          <w:tcPr>
            <w:tcW w:type="dxa" w:w="1598"/>
            <w:vAlign w:val="center"/>
          </w:tcPr>
          <w:p>
            <w:pPr>
              <w:keepNext/>
              <w:spacing w:after="0" w:before="0" w:line="240" w:lineRule="auto"/>
              <w:jc w:val="right"/>
            </w:pPr>
            <w:r>
              <w:rPr>
                <w:rFonts w:ascii="Calibri" w:hAnsi="Calibri"/>
                <w:b w:val="0"/>
                <w:sz w:val="19"/>
              </w:rPr>
              <w:t>2485</w:t>
            </w:r>
          </w:p>
        </w:tc>
        <w:tc>
          <w:tcPr>
            <w:tcW w:type="dxa" w:w="1598"/>
            <w:vAlign w:val="center"/>
          </w:tcPr>
          <w:p>
            <w:pPr>
              <w:keepNext/>
              <w:spacing w:after="0" w:before="0" w:line="240" w:lineRule="auto"/>
              <w:jc w:val="right"/>
            </w:pPr>
            <w:r>
              <w:rPr>
                <w:rFonts w:ascii="Calibri" w:hAnsi="Calibri"/>
                <w:b w:val="0"/>
                <w:sz w:val="19"/>
              </w:rPr>
              <w:t>6.269</w:t>
            </w:r>
          </w:p>
        </w:tc>
        <w:tc>
          <w:tcPr>
            <w:tcW w:type="dxa" w:w="1598"/>
            <w:vAlign w:val="center"/>
          </w:tcPr>
          <w:p>
            <w:pPr>
              <w:keepNext/>
              <w:spacing w:after="0" w:before="0" w:line="240" w:lineRule="auto"/>
              <w:jc w:val="right"/>
            </w:pPr>
            <w:r>
              <w:rPr>
                <w:rFonts w:ascii="Calibri" w:hAnsi="Calibri"/>
                <w:b w:val="0"/>
                <w:sz w:val="19"/>
              </w:rPr>
              <w:t>1.82%</w:t>
            </w:r>
          </w:p>
        </w:tc>
        <w:tc>
          <w:tcPr>
            <w:tcW w:type="dxa" w:w="1598"/>
            <w:vAlign w:val="center"/>
          </w:tcPr>
          <w:p>
            <w:pPr>
              <w:keepNext/>
              <w:spacing w:after="0" w:before="0" w:line="240" w:lineRule="auto"/>
              <w:jc w:val="right"/>
            </w:pPr>
            <w:r>
              <w:rPr>
                <w:rFonts w:ascii="Calibri" w:hAnsi="Calibri"/>
                <w:b w:val="0"/>
                <w:sz w:val="19"/>
              </w:rPr>
              <w:t>16.57%</w:t>
            </w:r>
          </w:p>
        </w:tc>
        <w:tc>
          <w:tcPr>
            <w:tcW w:type="dxa" w:w="1598"/>
            <w:vAlign w:val="center"/>
          </w:tcPr>
          <w:p>
            <w:pPr>
              <w:keepNext/>
              <w:spacing w:after="0" w:before="0" w:line="240" w:lineRule="auto"/>
              <w:jc w:val="right"/>
            </w:pPr>
            <w:r>
              <w:rPr>
                <w:rFonts w:ascii="Calibri" w:hAnsi="Calibri"/>
                <w:b w:val="0"/>
                <w:sz w:val="19"/>
              </w:rPr>
              <w:t>0.0162</w:t>
            </w:r>
          </w:p>
        </w:tc>
      </w:tr>
    </w:tbl>
    <w:p>
      <w:pPr>
        <w:keepLines/>
        <w:spacing w:before="60" w:after="120"/>
      </w:pPr>
      <w:r>
        <w:rPr>
          <w:sz w:val="18"/>
        </w:rPr>
        <w:t>Measurements from the real public datasets specified in this section.</w:t>
      </w:r>
    </w:p>
    <w:p>
      <w:pPr>
        <w:keepNext/>
        <w:spacing w:after="60"/>
        <w:jc w:val="center"/>
      </w:pPr>
      <w:r>
        <w:drawing>
          <wp:inline xmlns:a="http://schemas.openxmlformats.org/drawingml/2006/main" xmlns:pic="http://schemas.openxmlformats.org/drawingml/2006/picture">
            <wp:extent cx="6309360" cy="3728258"/>
            <wp:docPr id="51" name="Picture 51"/>
            <wp:cNvGraphicFramePr>
              <a:graphicFrameLocks noChangeAspect="1"/>
            </wp:cNvGraphicFramePr>
            <a:graphic>
              <a:graphicData uri="http://schemas.openxmlformats.org/drawingml/2006/picture">
                <pic:pic>
                  <pic:nvPicPr>
                    <pic:cNvPr id="0" name="51_image51.png"/>
                    <pic:cNvPicPr/>
                  </pic:nvPicPr>
                  <pic:blipFill>
                    <a:blip r:embed="rId64"/>
                    <a:stretch>
                      <a:fillRect/>
                    </a:stretch>
                  </pic:blipFill>
                  <pic:spPr>
                    <a:xfrm>
                      <a:off x="0" y="0"/>
                      <a:ext cx="6309360" cy="3728258"/>
                    </a:xfrm>
                    <a:prstGeom prst="rect"/>
                  </pic:spPr>
                </pic:pic>
              </a:graphicData>
            </a:graphic>
          </wp:inline>
        </w:drawing>
      </w:r>
    </w:p>
    <w:p>
      <w:pPr>
        <w:pStyle w:val="Caption"/>
      </w:pPr>
      <w:r>
        <w:t>Figure 51. Neighborhood coverage by graph radius.</w:t>
      </w:r>
    </w:p>
    <w:p>
      <w:pPr>
        <w:keepNext/>
        <w:spacing w:after="60"/>
        <w:jc w:val="center"/>
      </w:pPr>
      <w:r>
        <w:drawing>
          <wp:inline xmlns:a="http://schemas.openxmlformats.org/drawingml/2006/main" xmlns:pic="http://schemas.openxmlformats.org/drawingml/2006/picture">
            <wp:extent cx="6309360" cy="4101084"/>
            <wp:docPr id="52" name="Picture 52"/>
            <wp:cNvGraphicFramePr>
              <a:graphicFrameLocks noChangeAspect="1"/>
            </wp:cNvGraphicFramePr>
            <a:graphic>
              <a:graphicData uri="http://schemas.openxmlformats.org/drawingml/2006/picture">
                <pic:pic>
                  <pic:nvPicPr>
                    <pic:cNvPr id="0" name="52_image52.png"/>
                    <pic:cNvPicPr/>
                  </pic:nvPicPr>
                  <pic:blipFill>
                    <a:blip r:embed="rId65"/>
                    <a:stretch>
                      <a:fillRect/>
                    </a:stretch>
                  </pic:blipFill>
                  <pic:spPr>
                    <a:xfrm>
                      <a:off x="0" y="0"/>
                      <a:ext cx="6309360" cy="4101084"/>
                    </a:xfrm>
                    <a:prstGeom prst="rect"/>
                  </pic:spPr>
                </pic:pic>
              </a:graphicData>
            </a:graphic>
          </wp:inline>
        </w:drawing>
      </w:r>
    </w:p>
    <w:p>
      <w:pPr>
        <w:pStyle w:val="Caption"/>
      </w:pPr>
      <w:r>
        <w:t>Figure 52. Mean graph distance and spectral connectivity are distinct axes.</w:t>
      </w:r>
    </w:p>
    <w:p>
      <w:pPr>
        <w:pStyle w:val="Heading3"/>
      </w:pPr>
      <w:r>
        <w:t>8.2.3 Measured geometry: hub structure and local mixing</w:t>
      </w:r>
    </w:p>
    <w:p>
      <w:pPr>
        <w:pStyle w:val="Caption"/>
        <w:keepNext/>
      </w:pPr>
      <w:r>
        <w:t>Table 78. Degree heterogeneity and local mixing.</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598"/>
        <w:gridCol w:w="1598"/>
        <w:gridCol w:w="1598"/>
        <w:gridCol w:w="1598"/>
        <w:gridCol w:w="1598"/>
      </w:tblGrid>
      <w:tr>
        <w:trPr>
          <w:cantSplit/>
          <w:tblHeader/>
        </w:trPr>
        <w:tc>
          <w:tcPr>
            <w:tcW w:type="dxa" w:w="2232"/>
            <w:vAlign w:val="center"/>
            <w:shd w:fill="F2F2F2"/>
          </w:tcPr>
          <w:p>
            <w:pPr>
              <w:keepNext/>
              <w:spacing w:after="0" w:before="0" w:line="240" w:lineRule="auto"/>
            </w:pPr>
            <w:r>
              <w:rPr>
                <w:rFonts w:ascii="Calibri" w:hAnsi="Calibri"/>
                <w:b/>
                <w:sz w:val="19"/>
              </w:rPr>
              <w:t>Dataset</w:t>
            </w:r>
          </w:p>
        </w:tc>
        <w:tc>
          <w:tcPr>
            <w:tcW w:type="dxa" w:w="1598"/>
            <w:vAlign w:val="center"/>
            <w:shd w:fill="F2F2F2"/>
          </w:tcPr>
          <w:p>
            <w:pPr>
              <w:keepNext/>
              <w:spacing w:after="0" w:before="0" w:line="240" w:lineRule="auto"/>
            </w:pPr>
            <w:r>
              <w:rPr>
                <w:rFonts w:ascii="Calibri" w:hAnsi="Calibri"/>
                <w:b/>
                <w:sz w:val="19"/>
              </w:rPr>
              <w:t>Mean degree</w:t>
            </w:r>
          </w:p>
        </w:tc>
        <w:tc>
          <w:tcPr>
            <w:tcW w:type="dxa" w:w="1598"/>
            <w:vAlign w:val="center"/>
            <w:shd w:fill="F2F2F2"/>
          </w:tcPr>
          <w:p>
            <w:pPr>
              <w:keepNext/>
              <w:spacing w:after="0" w:before="0" w:line="240" w:lineRule="auto"/>
            </w:pPr>
            <w:r>
              <w:rPr>
                <w:rFonts w:ascii="Calibri" w:hAnsi="Calibri"/>
                <w:b/>
                <w:sz w:val="19"/>
              </w:rPr>
              <w:t>Degree CV</w:t>
            </w:r>
          </w:p>
        </w:tc>
        <w:tc>
          <w:tcPr>
            <w:tcW w:type="dxa" w:w="1598"/>
            <w:vAlign w:val="center"/>
            <w:shd w:fill="F2F2F2"/>
          </w:tcPr>
          <w:p>
            <w:pPr>
              <w:keepNext/>
              <w:spacing w:after="0" w:before="0" w:line="240" w:lineRule="auto"/>
            </w:pPr>
            <w:r>
              <w:rPr>
                <w:rFonts w:ascii="Calibri" w:hAnsi="Calibri"/>
                <w:b/>
                <w:sz w:val="19"/>
              </w:rPr>
              <w:t>Degree Gini</w:t>
            </w:r>
          </w:p>
        </w:tc>
        <w:tc>
          <w:tcPr>
            <w:tcW w:type="dxa" w:w="1598"/>
            <w:vAlign w:val="center"/>
            <w:shd w:fill="F2F2F2"/>
          </w:tcPr>
          <w:p>
            <w:pPr>
              <w:keepNext/>
              <w:spacing w:after="0" w:before="0" w:line="240" w:lineRule="auto"/>
            </w:pPr>
            <w:r>
              <w:rPr>
                <w:rFonts w:ascii="Calibri" w:hAnsi="Calibri"/>
                <w:b/>
                <w:sz w:val="19"/>
              </w:rPr>
              <w:t>Degree assortativity</w:t>
            </w:r>
          </w:p>
        </w:tc>
        <w:tc>
          <w:tcPr>
            <w:tcW w:type="dxa" w:w="1598"/>
            <w:vAlign w:val="center"/>
            <w:shd w:fill="F2F2F2"/>
          </w:tcPr>
          <w:p>
            <w:pPr>
              <w:keepNext/>
              <w:spacing w:after="0" w:before="0" w:line="240" w:lineRule="auto"/>
            </w:pPr>
            <w:r>
              <w:rPr>
                <w:rFonts w:ascii="Calibri" w:hAnsi="Calibri"/>
                <w:b/>
                <w:sz w:val="19"/>
              </w:rPr>
              <w:t>Clustering*</w:t>
            </w:r>
          </w:p>
        </w:tc>
      </w:tr>
      <w:tr>
        <w:trPr>
          <w:cantSplit/>
        </w:trPr>
        <w:tc>
          <w:tcPr>
            <w:tcW w:type="dxa" w:w="2232"/>
            <w:vAlign w:val="center"/>
          </w:tcPr>
          <w:p>
            <w:pPr>
              <w:keepNext w:val="0"/>
              <w:spacing w:after="0" w:before="0" w:line="240" w:lineRule="auto"/>
            </w:pPr>
            <w:r>
              <w:rPr>
                <w:rFonts w:ascii="Calibri" w:hAnsi="Calibri"/>
                <w:b w:val="0"/>
                <w:sz w:val="19"/>
              </w:rPr>
              <w:t>Dolphins</w:t>
            </w:r>
          </w:p>
        </w:tc>
        <w:tc>
          <w:tcPr>
            <w:tcW w:type="dxa" w:w="1598"/>
            <w:vAlign w:val="center"/>
          </w:tcPr>
          <w:p>
            <w:pPr>
              <w:keepNext w:val="0"/>
              <w:spacing w:after="0" w:before="0" w:line="240" w:lineRule="auto"/>
              <w:jc w:val="right"/>
            </w:pPr>
            <w:r>
              <w:rPr>
                <w:rFonts w:ascii="Calibri" w:hAnsi="Calibri"/>
                <w:b w:val="0"/>
                <w:sz w:val="19"/>
              </w:rPr>
              <w:t>5.13</w:t>
            </w:r>
          </w:p>
        </w:tc>
        <w:tc>
          <w:tcPr>
            <w:tcW w:type="dxa" w:w="1598"/>
            <w:vAlign w:val="center"/>
          </w:tcPr>
          <w:p>
            <w:pPr>
              <w:keepNext w:val="0"/>
              <w:spacing w:after="0" w:before="0" w:line="240" w:lineRule="auto"/>
              <w:jc w:val="right"/>
            </w:pPr>
            <w:r>
              <w:rPr>
                <w:rFonts w:ascii="Calibri" w:hAnsi="Calibri"/>
                <w:b w:val="0"/>
                <w:sz w:val="19"/>
              </w:rPr>
              <w:t>0.572</w:t>
            </w:r>
          </w:p>
        </w:tc>
        <w:tc>
          <w:tcPr>
            <w:tcW w:type="dxa" w:w="1598"/>
            <w:vAlign w:val="center"/>
          </w:tcPr>
          <w:p>
            <w:pPr>
              <w:keepNext w:val="0"/>
              <w:spacing w:after="0" w:before="0" w:line="240" w:lineRule="auto"/>
              <w:jc w:val="right"/>
            </w:pPr>
            <w:r>
              <w:rPr>
                <w:rFonts w:ascii="Calibri" w:hAnsi="Calibri"/>
                <w:b w:val="0"/>
                <w:sz w:val="19"/>
              </w:rPr>
              <w:t>0.325</w:t>
            </w:r>
          </w:p>
        </w:tc>
        <w:tc>
          <w:tcPr>
            <w:tcW w:type="dxa" w:w="1598"/>
            <w:vAlign w:val="center"/>
          </w:tcPr>
          <w:p>
            <w:pPr>
              <w:keepNext w:val="0"/>
              <w:spacing w:after="0" w:before="0" w:line="240" w:lineRule="auto"/>
              <w:jc w:val="right"/>
            </w:pPr>
            <w:r>
              <w:rPr>
                <w:rFonts w:ascii="Calibri" w:hAnsi="Calibri"/>
                <w:b w:val="0"/>
                <w:sz w:val="19"/>
              </w:rPr>
              <w:t>-0.044</w:t>
            </w:r>
          </w:p>
        </w:tc>
        <w:tc>
          <w:tcPr>
            <w:tcW w:type="dxa" w:w="1598"/>
            <w:vAlign w:val="center"/>
          </w:tcPr>
          <w:p>
            <w:pPr>
              <w:keepNext w:val="0"/>
              <w:spacing w:after="0" w:before="0" w:line="240" w:lineRule="auto"/>
              <w:jc w:val="right"/>
            </w:pPr>
            <w:r>
              <w:rPr>
                <w:rFonts w:ascii="Calibri" w:hAnsi="Calibri"/>
                <w:b w:val="0"/>
                <w:sz w:val="19"/>
              </w:rPr>
              <w:t>0.303</w:t>
            </w:r>
          </w:p>
        </w:tc>
      </w:tr>
      <w:tr>
        <w:trPr>
          <w:cantSplit/>
        </w:trPr>
        <w:tc>
          <w:tcPr>
            <w:tcW w:type="dxa" w:w="2232"/>
            <w:vAlign w:val="center"/>
          </w:tcPr>
          <w:p>
            <w:pPr>
              <w:keepNext w:val="0"/>
              <w:spacing w:after="0" w:before="0" w:line="240" w:lineRule="auto"/>
            </w:pPr>
            <w:r>
              <w:rPr>
                <w:rFonts w:ascii="Calibri" w:hAnsi="Calibri"/>
                <w:b w:val="0"/>
                <w:sz w:val="19"/>
              </w:rPr>
              <w:t>Email-Eu-core</w:t>
            </w:r>
          </w:p>
        </w:tc>
        <w:tc>
          <w:tcPr>
            <w:tcW w:type="dxa" w:w="1598"/>
            <w:vAlign w:val="center"/>
          </w:tcPr>
          <w:p>
            <w:pPr>
              <w:keepNext w:val="0"/>
              <w:spacing w:after="0" w:before="0" w:line="240" w:lineRule="auto"/>
              <w:jc w:val="right"/>
            </w:pPr>
            <w:r>
              <w:rPr>
                <w:rFonts w:ascii="Calibri" w:hAnsi="Calibri"/>
                <w:b w:val="0"/>
                <w:sz w:val="19"/>
              </w:rPr>
              <w:t>32.58</w:t>
            </w:r>
          </w:p>
        </w:tc>
        <w:tc>
          <w:tcPr>
            <w:tcW w:type="dxa" w:w="1598"/>
            <w:vAlign w:val="center"/>
          </w:tcPr>
          <w:p>
            <w:pPr>
              <w:keepNext w:val="0"/>
              <w:spacing w:after="0" w:before="0" w:line="240" w:lineRule="auto"/>
              <w:jc w:val="right"/>
            </w:pPr>
            <w:r>
              <w:rPr>
                <w:rFonts w:ascii="Calibri" w:hAnsi="Calibri"/>
                <w:b w:val="0"/>
                <w:sz w:val="19"/>
              </w:rPr>
              <w:t>1.136</w:t>
            </w:r>
          </w:p>
        </w:tc>
        <w:tc>
          <w:tcPr>
            <w:tcW w:type="dxa" w:w="1598"/>
            <w:vAlign w:val="center"/>
          </w:tcPr>
          <w:p>
            <w:pPr>
              <w:keepNext w:val="0"/>
              <w:spacing w:after="0" w:before="0" w:line="240" w:lineRule="auto"/>
              <w:jc w:val="right"/>
            </w:pPr>
            <w:r>
              <w:rPr>
                <w:rFonts w:ascii="Calibri" w:hAnsi="Calibri"/>
                <w:b w:val="0"/>
                <w:sz w:val="19"/>
              </w:rPr>
              <w:t>0.544</w:t>
            </w:r>
          </w:p>
        </w:tc>
        <w:tc>
          <w:tcPr>
            <w:tcW w:type="dxa" w:w="1598"/>
            <w:vAlign w:val="center"/>
          </w:tcPr>
          <w:p>
            <w:pPr>
              <w:keepNext w:val="0"/>
              <w:spacing w:after="0" w:before="0" w:line="240" w:lineRule="auto"/>
              <w:jc w:val="right"/>
            </w:pPr>
            <w:r>
              <w:rPr>
                <w:rFonts w:ascii="Calibri" w:hAnsi="Calibri"/>
                <w:b w:val="0"/>
                <w:sz w:val="19"/>
              </w:rPr>
              <w:t>0.032</w:t>
            </w:r>
          </w:p>
        </w:tc>
        <w:tc>
          <w:tcPr>
            <w:tcW w:type="dxa" w:w="1598"/>
            <w:vAlign w:val="center"/>
          </w:tcPr>
          <w:p>
            <w:pPr>
              <w:keepNext w:val="0"/>
              <w:spacing w:after="0" w:before="0" w:line="240" w:lineRule="auto"/>
              <w:jc w:val="right"/>
            </w:pPr>
            <w:r>
              <w:rPr>
                <w:rFonts w:ascii="Calibri" w:hAnsi="Calibri"/>
                <w:b w:val="0"/>
                <w:sz w:val="19"/>
              </w:rPr>
              <w:t>0.452</w:t>
            </w:r>
          </w:p>
        </w:tc>
      </w:tr>
      <w:tr>
        <w:trPr>
          <w:cantSplit/>
        </w:trPr>
        <w:tc>
          <w:tcPr>
            <w:tcW w:type="dxa" w:w="2232"/>
            <w:vAlign w:val="center"/>
          </w:tcPr>
          <w:p>
            <w:pPr>
              <w:keepNext w:val="0"/>
              <w:spacing w:after="0" w:before="0" w:line="240" w:lineRule="auto"/>
            </w:pPr>
            <w:r>
              <w:rPr>
                <w:rFonts w:ascii="Calibri" w:hAnsi="Calibri"/>
                <w:b w:val="0"/>
                <w:sz w:val="19"/>
              </w:rPr>
              <w:t>ca-GrQc</w:t>
            </w:r>
          </w:p>
        </w:tc>
        <w:tc>
          <w:tcPr>
            <w:tcW w:type="dxa" w:w="1598"/>
            <w:vAlign w:val="center"/>
          </w:tcPr>
          <w:p>
            <w:pPr>
              <w:keepNext w:val="0"/>
              <w:spacing w:after="0" w:before="0" w:line="240" w:lineRule="auto"/>
              <w:jc w:val="right"/>
            </w:pPr>
            <w:r>
              <w:rPr>
                <w:rFonts w:ascii="Calibri" w:hAnsi="Calibri"/>
                <w:b w:val="0"/>
                <w:sz w:val="19"/>
              </w:rPr>
              <w:t>5.53</w:t>
            </w:r>
          </w:p>
        </w:tc>
        <w:tc>
          <w:tcPr>
            <w:tcW w:type="dxa" w:w="1598"/>
            <w:vAlign w:val="center"/>
          </w:tcPr>
          <w:p>
            <w:pPr>
              <w:keepNext w:val="0"/>
              <w:spacing w:after="0" w:before="0" w:line="240" w:lineRule="auto"/>
              <w:jc w:val="right"/>
            </w:pPr>
            <w:r>
              <w:rPr>
                <w:rFonts w:ascii="Calibri" w:hAnsi="Calibri"/>
                <w:b w:val="0"/>
                <w:sz w:val="19"/>
              </w:rPr>
              <w:t>1.433</w:t>
            </w:r>
          </w:p>
        </w:tc>
        <w:tc>
          <w:tcPr>
            <w:tcW w:type="dxa" w:w="1598"/>
            <w:vAlign w:val="center"/>
          </w:tcPr>
          <w:p>
            <w:pPr>
              <w:keepNext w:val="0"/>
              <w:spacing w:after="0" w:before="0" w:line="240" w:lineRule="auto"/>
              <w:jc w:val="right"/>
            </w:pPr>
            <w:r>
              <w:rPr>
                <w:rFonts w:ascii="Calibri" w:hAnsi="Calibri"/>
                <w:b w:val="0"/>
                <w:sz w:val="19"/>
              </w:rPr>
              <w:t>0.555</w:t>
            </w:r>
          </w:p>
        </w:tc>
        <w:tc>
          <w:tcPr>
            <w:tcW w:type="dxa" w:w="1598"/>
            <w:vAlign w:val="center"/>
          </w:tcPr>
          <w:p>
            <w:pPr>
              <w:keepNext w:val="0"/>
              <w:spacing w:after="0" w:before="0" w:line="240" w:lineRule="auto"/>
              <w:jc w:val="right"/>
            </w:pPr>
            <w:r>
              <w:rPr>
                <w:rFonts w:ascii="Calibri" w:hAnsi="Calibri"/>
                <w:b w:val="0"/>
                <w:sz w:val="19"/>
              </w:rPr>
              <w:t>0.703</w:t>
            </w:r>
          </w:p>
        </w:tc>
        <w:tc>
          <w:tcPr>
            <w:tcW w:type="dxa" w:w="1598"/>
            <w:vAlign w:val="center"/>
          </w:tcPr>
          <w:p>
            <w:pPr>
              <w:keepNext w:val="0"/>
              <w:spacing w:after="0" w:before="0" w:line="240" w:lineRule="auto"/>
              <w:jc w:val="right"/>
            </w:pPr>
            <w:r>
              <w:rPr>
                <w:rFonts w:ascii="Calibri" w:hAnsi="Calibri"/>
                <w:b w:val="0"/>
                <w:sz w:val="19"/>
              </w:rPr>
              <w:t>0.687</w:t>
            </w:r>
          </w:p>
        </w:tc>
      </w:tr>
      <w:tr>
        <w:trPr>
          <w:cantSplit/>
        </w:trPr>
        <w:tc>
          <w:tcPr>
            <w:tcW w:type="dxa" w:w="2232"/>
            <w:vAlign w:val="center"/>
          </w:tcPr>
          <w:p>
            <w:pPr>
              <w:keepNext w:val="0"/>
              <w:spacing w:after="0" w:before="0" w:line="240" w:lineRule="auto"/>
            </w:pPr>
            <w:r>
              <w:rPr>
                <w:rFonts w:ascii="Calibri" w:hAnsi="Calibri"/>
                <w:b w:val="0"/>
                <w:sz w:val="19"/>
              </w:rPr>
              <w:t>Facebook Combined</w:t>
            </w:r>
          </w:p>
        </w:tc>
        <w:tc>
          <w:tcPr>
            <w:tcW w:type="dxa" w:w="1598"/>
            <w:vAlign w:val="center"/>
          </w:tcPr>
          <w:p>
            <w:pPr>
              <w:keepNext w:val="0"/>
              <w:spacing w:after="0" w:before="0" w:line="240" w:lineRule="auto"/>
              <w:jc w:val="right"/>
            </w:pPr>
            <w:r>
              <w:rPr>
                <w:rFonts w:ascii="Calibri" w:hAnsi="Calibri"/>
                <w:b w:val="0"/>
                <w:sz w:val="19"/>
              </w:rPr>
              <w:t>43.69</w:t>
            </w:r>
          </w:p>
        </w:tc>
        <w:tc>
          <w:tcPr>
            <w:tcW w:type="dxa" w:w="1598"/>
            <w:vAlign w:val="center"/>
          </w:tcPr>
          <w:p>
            <w:pPr>
              <w:keepNext w:val="0"/>
              <w:spacing w:after="0" w:before="0" w:line="240" w:lineRule="auto"/>
              <w:jc w:val="right"/>
            </w:pPr>
            <w:r>
              <w:rPr>
                <w:rFonts w:ascii="Calibri" w:hAnsi="Calibri"/>
                <w:b w:val="0"/>
                <w:sz w:val="19"/>
              </w:rPr>
              <w:t>1.200</w:t>
            </w:r>
          </w:p>
        </w:tc>
        <w:tc>
          <w:tcPr>
            <w:tcW w:type="dxa" w:w="1598"/>
            <w:vAlign w:val="center"/>
          </w:tcPr>
          <w:p>
            <w:pPr>
              <w:keepNext w:val="0"/>
              <w:spacing w:after="0" w:before="0" w:line="240" w:lineRule="auto"/>
              <w:jc w:val="right"/>
            </w:pPr>
            <w:r>
              <w:rPr>
                <w:rFonts w:ascii="Calibri" w:hAnsi="Calibri"/>
                <w:b w:val="0"/>
                <w:sz w:val="19"/>
              </w:rPr>
              <w:t>0.541</w:t>
            </w:r>
          </w:p>
        </w:tc>
        <w:tc>
          <w:tcPr>
            <w:tcW w:type="dxa" w:w="1598"/>
            <w:vAlign w:val="center"/>
          </w:tcPr>
          <w:p>
            <w:pPr>
              <w:keepNext w:val="0"/>
              <w:spacing w:after="0" w:before="0" w:line="240" w:lineRule="auto"/>
              <w:jc w:val="right"/>
            </w:pPr>
            <w:r>
              <w:rPr>
                <w:rFonts w:ascii="Calibri" w:hAnsi="Calibri"/>
                <w:b w:val="0"/>
                <w:sz w:val="19"/>
              </w:rPr>
              <w:t>0.125</w:t>
            </w:r>
          </w:p>
        </w:tc>
        <w:tc>
          <w:tcPr>
            <w:tcW w:type="dxa" w:w="1598"/>
            <w:vAlign w:val="center"/>
          </w:tcPr>
          <w:p>
            <w:pPr>
              <w:keepNext w:val="0"/>
              <w:spacing w:after="0" w:before="0" w:line="240" w:lineRule="auto"/>
              <w:jc w:val="right"/>
            </w:pPr>
            <w:r>
              <w:rPr>
                <w:rFonts w:ascii="Calibri" w:hAnsi="Calibri"/>
                <w:b w:val="0"/>
                <w:sz w:val="19"/>
              </w:rPr>
              <w:t>0.608</w:t>
            </w:r>
          </w:p>
        </w:tc>
      </w:tr>
      <w:tr>
        <w:trPr>
          <w:cantSplit/>
        </w:trPr>
        <w:tc>
          <w:tcPr>
            <w:tcW w:type="dxa" w:w="2232"/>
            <w:vAlign w:val="center"/>
          </w:tcPr>
          <w:p>
            <w:pPr>
              <w:keepNext/>
              <w:spacing w:after="0" w:before="0" w:line="240" w:lineRule="auto"/>
            </w:pPr>
            <w:r>
              <w:rPr>
                <w:rFonts w:ascii="Calibri" w:hAnsi="Calibri"/>
                <w:b w:val="0"/>
                <w:sz w:val="19"/>
              </w:rPr>
              <w:t>Cora</w:t>
            </w:r>
          </w:p>
        </w:tc>
        <w:tc>
          <w:tcPr>
            <w:tcW w:type="dxa" w:w="1598"/>
            <w:vAlign w:val="center"/>
          </w:tcPr>
          <w:p>
            <w:pPr>
              <w:keepNext/>
              <w:spacing w:after="0" w:before="0" w:line="240" w:lineRule="auto"/>
              <w:jc w:val="right"/>
            </w:pPr>
            <w:r>
              <w:rPr>
                <w:rFonts w:ascii="Calibri" w:hAnsi="Calibri"/>
                <w:b w:val="0"/>
                <w:sz w:val="19"/>
              </w:rPr>
              <w:t>3.90</w:t>
            </w:r>
          </w:p>
        </w:tc>
        <w:tc>
          <w:tcPr>
            <w:tcW w:type="dxa" w:w="1598"/>
            <w:vAlign w:val="center"/>
          </w:tcPr>
          <w:p>
            <w:pPr>
              <w:keepNext/>
              <w:spacing w:after="0" w:before="0" w:line="240" w:lineRule="auto"/>
              <w:jc w:val="right"/>
            </w:pPr>
            <w:r>
              <w:rPr>
                <w:rFonts w:ascii="Calibri" w:hAnsi="Calibri"/>
                <w:b w:val="0"/>
                <w:sz w:val="19"/>
              </w:rPr>
              <w:t>1.341</w:t>
            </w:r>
          </w:p>
        </w:tc>
        <w:tc>
          <w:tcPr>
            <w:tcW w:type="dxa" w:w="1598"/>
            <w:vAlign w:val="center"/>
          </w:tcPr>
          <w:p>
            <w:pPr>
              <w:keepNext/>
              <w:spacing w:after="0" w:before="0" w:line="240" w:lineRule="auto"/>
              <w:jc w:val="right"/>
            </w:pPr>
            <w:r>
              <w:rPr>
                <w:rFonts w:ascii="Calibri" w:hAnsi="Calibri"/>
                <w:b w:val="0"/>
                <w:sz w:val="19"/>
              </w:rPr>
              <w:t>0.405</w:t>
            </w:r>
          </w:p>
        </w:tc>
        <w:tc>
          <w:tcPr>
            <w:tcW w:type="dxa" w:w="1598"/>
            <w:vAlign w:val="center"/>
          </w:tcPr>
          <w:p>
            <w:pPr>
              <w:keepNext/>
              <w:spacing w:after="0" w:before="0" w:line="240" w:lineRule="auto"/>
              <w:jc w:val="right"/>
            </w:pPr>
            <w:r>
              <w:rPr>
                <w:rFonts w:ascii="Calibri" w:hAnsi="Calibri"/>
                <w:b w:val="0"/>
                <w:sz w:val="19"/>
              </w:rPr>
              <w:t>-0.058</w:t>
            </w:r>
          </w:p>
        </w:tc>
        <w:tc>
          <w:tcPr>
            <w:tcW w:type="dxa" w:w="1598"/>
            <w:vAlign w:val="center"/>
          </w:tcPr>
          <w:p>
            <w:pPr>
              <w:keepNext/>
              <w:spacing w:after="0" w:before="0" w:line="240" w:lineRule="auto"/>
              <w:jc w:val="right"/>
            </w:pPr>
            <w:r>
              <w:rPr>
                <w:rFonts w:ascii="Calibri" w:hAnsi="Calibri"/>
                <w:b w:val="0"/>
                <w:sz w:val="19"/>
              </w:rPr>
              <w:t>0.288</w:t>
            </w:r>
          </w:p>
        </w:tc>
      </w:tr>
    </w:tbl>
    <w:p>
      <w:pPr>
        <w:keepLines/>
        <w:spacing w:before="60" w:after="120"/>
      </w:pPr>
      <w:r>
        <w:rPr>
          <w:sz w:val="18"/>
        </w:rPr>
        <w:t>Measurements from the real public datasets specified in this section. *Large-graph clustering uses the deterministic sampled-node procedure described in the text.</w:t>
      </w:r>
    </w:p>
    <w:p>
      <w:pPr>
        <w:keepNext/>
        <w:spacing w:after="60"/>
        <w:jc w:val="center"/>
      </w:pPr>
      <w:r>
        <w:drawing>
          <wp:inline xmlns:a="http://schemas.openxmlformats.org/drawingml/2006/main" xmlns:pic="http://schemas.openxmlformats.org/drawingml/2006/picture">
            <wp:extent cx="6309360" cy="4101084"/>
            <wp:docPr id="53" name="Picture 53"/>
            <wp:cNvGraphicFramePr>
              <a:graphicFrameLocks noChangeAspect="1"/>
            </wp:cNvGraphicFramePr>
            <a:graphic>
              <a:graphicData uri="http://schemas.openxmlformats.org/drawingml/2006/picture">
                <pic:pic>
                  <pic:nvPicPr>
                    <pic:cNvPr id="0" name="53_image53.png"/>
                    <pic:cNvPicPr/>
                  </pic:nvPicPr>
                  <pic:blipFill>
                    <a:blip r:embed="rId66"/>
                    <a:stretch>
                      <a:fillRect/>
                    </a:stretch>
                  </pic:blipFill>
                  <pic:spPr>
                    <a:xfrm>
                      <a:off x="0" y="0"/>
                      <a:ext cx="6309360" cy="4101084"/>
                    </a:xfrm>
                    <a:prstGeom prst="rect"/>
                  </pic:spPr>
                </pic:pic>
              </a:graphicData>
            </a:graphic>
          </wp:inline>
        </w:drawing>
      </w:r>
    </w:p>
    <w:p>
      <w:pPr>
        <w:pStyle w:val="Caption"/>
      </w:pPr>
      <w:r>
        <w:t>Figure 53. Degree heterogeneity and degree assortativity across real graph sources.</w:t>
      </w:r>
    </w:p>
    <w:p>
      <w:pPr>
        <w:pStyle w:val="Heading3"/>
      </w:pPr>
      <w:r>
        <w:t>8.2.4 Semantic-topology alignment</w:t>
      </w:r>
    </w:p>
    <w:p>
      <w:r>
        <w:t>Email-Eu-core gives a direct label-based check. Across 24,929 retrieved directed email edges, 34.68% connect members of the same department. The random-pair expectation from department sizes is 4.76%, a 7.28× enrichment. Topology therefore carries strong semantic information, but most communication edges still cross departments.</w:t>
      </w:r>
    </w:p>
    <w:p>
      <w:pPr>
        <w:pStyle w:val="Heading3"/>
      </w:pPr>
      <w:r>
        <w:t>8.2.5 Empirical findings</w:t>
      </w:r>
    </w:p>
    <w:p>
      <w:r>
        <w:t>A hop is not a transferable geometric unit. Two-hop coverage ranges from 0.78% of the ca-GrQc giant component and 1.82% of Cora to 44.35% of Email-Eu-core. A two-layer message-passing network therefore represents radically different spatial scales on different real graphs.</w:t>
      </w:r>
    </w:p>
    <w:p>
      <w:r>
        <w:t>Short paths and easy mixing are separate axes. Email-Eu-core has mean distance ≈2.61 and λ₂≈0.212. Facebook is also compact (≈3.67) but has λ₂≈0.0073, indicating a much stronger spectral bottleneck despite short paths.</w:t>
      </w:r>
    </w:p>
    <w:p>
      <w:r>
        <w:t>Degree CV exceeds 1 in Email, Facebook, Cora and ca-GrQc; the dolphin graph is more homogeneous. ca-GrQc is strongly assortative, approximately +0.70, and Cora and Dolphins are mildly disassortative.</w:t>
      </w:r>
    </w:p>
    <w:p>
      <w:r>
        <w:t>A single graph dimension is inadequate. Finite-radius growth exponents vary by source and by node; polynomial and exponential fits can both look plausible over radii 1–4. The directly useful engineering object is the local expansion profile, not a single global dimension.</w:t>
      </w:r>
    </w:p>
    <w:p>
      <w:r>
        <w:t>Topology and semantics are coupled but not identical. The 7.28× department enrichment in Email shows that edges are semantically informative, yet approximately 65% of email edges still cross department labels.</w:t>
      </w:r>
    </w:p>
    <w:p>
      <w:pPr>
        <w:pStyle w:val="Heading3"/>
      </w:pPr>
      <w:r>
        <w:t>8.2.6 Implications for graph representation</w:t>
      </w:r>
    </w:p>
    <w:p>
      <w:pPr>
        <w:pStyle w:val="ListBullet"/>
      </w:pPr>
      <w:r>
        <w:t>Fixed-hop aggregation is not scale invariant across real graph sources.</w:t>
      </w:r>
    </w:p>
    <w:p>
      <w:pPr>
        <w:pStyle w:val="ListBullet"/>
      </w:pPr>
      <w:r>
        <w:t>Global pooling can erase node-local predictive state in graphs with strong local degree, neighborhood-volume and community heterogeneity.</w:t>
      </w:r>
    </w:p>
    <w:p>
      <w:pPr>
        <w:pStyle w:val="ListBullet"/>
      </w:pPr>
      <w:r>
        <w:t>One global expert-mixture vector may be the wrong lesion geometry: removing one global effector removes the same functional direction at every node simultaneously.</w:t>
      </w:r>
    </w:p>
    <w:p>
      <w:r>
        <w:t>These measurements identify graph-structure requirements. They do not constitute a new trained graph-model comparison.</w:t>
      </w:r>
    </w:p>
    <w:p>
      <w:pPr>
        <w:pStyle w:val="Heading3"/>
      </w:pPr>
      <w:r>
        <w:t>8.2.7 Training implications</w:t>
      </w:r>
    </w:p>
    <w:p>
      <w:r>
        <w:t>1. Normalize graph context by measured neighborhood volume or diffusion scale rather than assuming raw hop count is comparable across datasets.</w:t>
      </w:r>
    </w:p>
    <w:p>
      <w:r>
        <w:t>2. Use spectral/mixing diagnostics alongside shortest-path diagnostics; compact distance does not imply weak community bottlenecks.</w:t>
      </w:r>
    </w:p>
    <w:p>
      <w:r>
        <w:t>3. Preserve node-local state until a task-specific sufficiency test demonstrates that global pooling is safe.</w:t>
      </w:r>
    </w:p>
    <w:p>
      <w:r>
        <w:t>4. Audit degree and neighborhood-volume heterogeneity during batching and normalization; uniform aggregation is not geometry neutral.</w:t>
      </w:r>
    </w:p>
    <w:p>
      <w:r>
        <w:t>5. Keep graph geometry in the training contract. A fixed GNN depth is not a fixed receptive-field scale.</w:t>
      </w:r>
    </w:p>
    <w:p>
      <w:r>
        <w:t>6. Separate global expert lesions from local/spatial computation loss in robustness tests.</w:t>
      </w:r>
    </w:p>
    <w:p>
      <w:r>
        <w:t>7. The graph regression suite is defined by the measured regimes: fast-mixing communication, modular social networks, sparse citation graphs, assortative collaboration graphs and small biological social graphs.</w:t>
      </w:r>
    </w:p>
    <w:p>
      <w:pPr>
        <w:pStyle w:val="Heading3"/>
      </w:pPr>
      <w:r>
        <w:t>8.2.8 Data provenance and method notes</w:t>
      </w:r>
    </w:p>
    <w:p>
      <w:pPr>
        <w:pStyle w:val="ListBullet"/>
      </w:pPr>
      <w:r>
        <w:t>Stanford SNAP: email-Eu-core, ca-GrQc and ego-Facebook dataset pages.</w:t>
      </w:r>
    </w:p>
    <w:p>
      <w:pPr>
        <w:pStyle w:val="ListBullet"/>
      </w:pPr>
      <w:r>
        <w:t>Cora: public citation edge list; canonical dataset has 2,708 papers, 5,429 links and 1,433 binary word attributes.</w:t>
      </w:r>
    </w:p>
    <w:p>
      <w:pPr>
        <w:pStyle w:val="ListBullet"/>
      </w:pPr>
      <w:r>
        <w:t>Dolphins: Lusseau et al. social association network (62 dolphins, 159 edges).</w:t>
      </w:r>
    </w:p>
    <w:p>
      <w:pPr>
        <w:pStyle w:val="ListBullet"/>
      </w:pPr>
      <w:r>
        <w:t>Raw edge data were retrieved from public GitHub mirrors when direct binary dataset download was unavailable in the execution environment.</w:t>
      </w:r>
    </w:p>
    <w:p>
      <w:pPr>
        <w:pStyle w:val="ListBullet"/>
      </w:pPr>
      <w:r>
        <w:t>λ₂ values are sparse power-iteration estimates of the second normalized-Laplacian eigenvalue on the largest connected component.</w:t>
      </w:r>
    </w:p>
    <w:p>
      <w:pPr>
        <w:pStyle w:val="ListBullet"/>
      </w:pPr>
      <w:r>
        <w:t>Neighborhood volumes B1–B4 and graph distances are deterministic sampled-BFS estimates; all reported dataset comparisons use the same procedure.</w:t>
      </w:r>
    </w:p>
    <w:p>
      <w:pPr>
        <w:pStyle w:val="Heading2"/>
      </w:pPr>
      <w:r>
        <w:t>8.3 REAL-GRAPH-MULTILAYER-GEOMETRY-023 Attributes, Time, and Edge State</w:t>
      </w:r>
    </w:p>
    <w:p>
      <w:r>
        <w:t>This section measures node attributes, temporal activity and signed edge state in real public datasets. The analyses characterize representation requirements independently of model training.</w:t>
      </w:r>
    </w:p>
    <w:p>
      <w:pPr>
        <w:pStyle w:val="Heading3"/>
      </w:pPr>
      <w:r>
        <w:t>8.3.1 Facebook node-attribute geometry versus topology</w:t>
      </w:r>
    </w:p>
    <w:p>
      <w:r>
        <w:t>SNAP Facebook ego network 0 provides friendship edges, 224-dimensional anonymized profile vectors and social-circle annotations. The alter-only subgraph analyzed here contains 347 nodes and 2,519 edges. Nodes contain a mean of 9.56 active profile features.</w:t>
      </w:r>
    </w:p>
    <w:p>
      <w:pPr>
        <w:pStyle w:val="Caption"/>
        <w:keepNext/>
      </w:pPr>
      <w:r>
        <w:t>Table 79. Facebook attributes and social circles.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Pair type</w:t>
            </w:r>
          </w:p>
        </w:tc>
        <w:tc>
          <w:tcPr>
            <w:tcW w:type="dxa" w:w="2153"/>
            <w:vAlign w:val="center"/>
            <w:shd w:fill="F2F2F2"/>
          </w:tcPr>
          <w:p>
            <w:pPr>
              <w:keepNext/>
              <w:spacing w:after="0" w:before="0" w:line="240" w:lineRule="auto"/>
            </w:pPr>
            <w:r>
              <w:rPr>
                <w:rFonts w:ascii="Calibri" w:hAnsi="Calibri"/>
                <w:b/>
                <w:sz w:val="19"/>
              </w:rPr>
              <w:t>Feature cosine</w:t>
            </w:r>
          </w:p>
        </w:tc>
        <w:tc>
          <w:tcPr>
            <w:tcW w:type="dxa" w:w="2153"/>
            <w:vAlign w:val="center"/>
            <w:shd w:fill="F2F2F2"/>
          </w:tcPr>
          <w:p>
            <w:pPr>
              <w:keepNext/>
              <w:spacing w:after="0" w:before="0" w:line="240" w:lineRule="auto"/>
            </w:pPr>
            <w:r>
              <w:rPr>
                <w:rFonts w:ascii="Calibri" w:hAnsi="Calibri"/>
                <w:b/>
                <w:sz w:val="19"/>
              </w:rPr>
              <w:t>Feature Jaccard</w:t>
            </w:r>
          </w:p>
        </w:tc>
        <w:tc>
          <w:tcPr>
            <w:tcW w:type="dxa" w:w="2153"/>
            <w:vAlign w:val="center"/>
            <w:shd w:fill="F2F2F2"/>
          </w:tcPr>
          <w:p>
            <w:pPr>
              <w:keepNext/>
              <w:spacing w:after="0" w:before="0" w:line="240" w:lineRule="auto"/>
            </w:pPr>
            <w:r>
              <w:rPr>
                <w:rFonts w:ascii="Calibri" w:hAnsi="Calibri"/>
                <w:b/>
                <w:sz w:val="19"/>
              </w:rPr>
              <w:t>Shared-circle fraction</w:t>
            </w:r>
          </w:p>
        </w:tc>
        <w:tc>
          <w:tcPr>
            <w:tcW w:type="dxa" w:w="2153"/>
            <w:vAlign w:val="center"/>
            <w:shd w:fill="F2F2F2"/>
          </w:tcPr>
          <w:p>
            <w:pPr>
              <w:keepNext/>
              <w:spacing w:after="0" w:before="0" w:line="240" w:lineRule="auto"/>
            </w:pPr>
            <w:r>
              <w:rPr>
                <w:rFonts w:ascii="Calibri" w:hAnsi="Calibri"/>
                <w:b/>
                <w:sz w:val="19"/>
              </w:rPr>
              <w:t>Lift</w:t>
            </w:r>
          </w:p>
        </w:tc>
      </w:tr>
      <w:tr>
        <w:trPr>
          <w:cantSplit/>
        </w:trPr>
        <w:tc>
          <w:tcPr>
            <w:tcW w:type="dxa" w:w="1613"/>
            <w:vAlign w:val="center"/>
          </w:tcPr>
          <w:p>
            <w:pPr>
              <w:keepNext w:val="0"/>
              <w:spacing w:after="0" w:before="0" w:line="240" w:lineRule="auto"/>
            </w:pPr>
            <w:r>
              <w:rPr>
                <w:rFonts w:ascii="Calibri" w:hAnsi="Calibri"/>
                <w:b w:val="0"/>
                <w:sz w:val="19"/>
              </w:rPr>
              <w:t>Friendship edge</w:t>
            </w:r>
          </w:p>
        </w:tc>
        <w:tc>
          <w:tcPr>
            <w:tcW w:type="dxa" w:w="2153"/>
            <w:vAlign w:val="center"/>
          </w:tcPr>
          <w:p>
            <w:pPr>
              <w:keepNext w:val="0"/>
              <w:spacing w:after="0" w:before="0" w:line="240" w:lineRule="auto"/>
              <w:jc w:val="right"/>
            </w:pPr>
            <w:r>
              <w:rPr>
                <w:rFonts w:ascii="Calibri" w:hAnsi="Calibri"/>
                <w:b w:val="0"/>
                <w:sz w:val="19"/>
              </w:rPr>
              <w:t>0.386</w:t>
            </w:r>
          </w:p>
        </w:tc>
        <w:tc>
          <w:tcPr>
            <w:tcW w:type="dxa" w:w="2153"/>
            <w:vAlign w:val="center"/>
          </w:tcPr>
          <w:p>
            <w:pPr>
              <w:keepNext w:val="0"/>
              <w:spacing w:after="0" w:before="0" w:line="240" w:lineRule="auto"/>
              <w:jc w:val="right"/>
            </w:pPr>
            <w:r>
              <w:rPr>
                <w:rFonts w:ascii="Calibri" w:hAnsi="Calibri"/>
                <w:b w:val="0"/>
                <w:sz w:val="19"/>
              </w:rPr>
              <w:t>0.229</w:t>
            </w:r>
          </w:p>
        </w:tc>
        <w:tc>
          <w:tcPr>
            <w:tcW w:type="dxa" w:w="2153"/>
            <w:vAlign w:val="center"/>
          </w:tcPr>
          <w:p>
            <w:pPr>
              <w:keepNext w:val="0"/>
              <w:spacing w:after="0" w:before="0" w:line="240" w:lineRule="auto"/>
              <w:jc w:val="right"/>
            </w:pPr>
            <w:r>
              <w:rPr>
                <w:rFonts w:ascii="Calibri" w:hAnsi="Calibri"/>
                <w:b w:val="0"/>
                <w:sz w:val="19"/>
              </w:rPr>
              <w:t>48.47%</w:t>
            </w:r>
          </w:p>
        </w:tc>
        <w:tc>
          <w:tcPr>
            <w:tcW w:type="dxa" w:w="2153"/>
            <w:vAlign w:val="center"/>
          </w:tcPr>
          <w:p>
            <w:pPr>
              <w:keepNext w:val="0"/>
              <w:spacing w:after="0" w:before="0" w:line="240" w:lineRule="auto"/>
            </w:pPr>
            <w:r>
              <w:rPr>
                <w:rFonts w:ascii="Calibri" w:hAnsi="Calibri"/>
                <w:b w:val="0"/>
                <w:sz w:val="19"/>
              </w:rPr>
              <w:t>circle 3.25×</w:t>
            </w:r>
          </w:p>
        </w:tc>
      </w:tr>
      <w:tr>
        <w:trPr>
          <w:cantSplit/>
        </w:trPr>
        <w:tc>
          <w:tcPr>
            <w:tcW w:type="dxa" w:w="1613"/>
            <w:vAlign w:val="center"/>
          </w:tcPr>
          <w:p>
            <w:pPr>
              <w:keepNext/>
              <w:spacing w:after="0" w:before="0" w:line="240" w:lineRule="auto"/>
            </w:pPr>
            <w:r>
              <w:rPr>
                <w:rFonts w:ascii="Calibri" w:hAnsi="Calibri"/>
                <w:b w:val="0"/>
                <w:sz w:val="19"/>
              </w:rPr>
              <w:t>Sampled non-edge</w:t>
            </w:r>
          </w:p>
        </w:tc>
        <w:tc>
          <w:tcPr>
            <w:tcW w:type="dxa" w:w="2153"/>
            <w:vAlign w:val="center"/>
          </w:tcPr>
          <w:p>
            <w:pPr>
              <w:keepNext/>
              <w:spacing w:after="0" w:before="0" w:line="240" w:lineRule="auto"/>
              <w:jc w:val="right"/>
            </w:pPr>
            <w:r>
              <w:rPr>
                <w:rFonts w:ascii="Calibri" w:hAnsi="Calibri"/>
                <w:b w:val="0"/>
                <w:sz w:val="19"/>
              </w:rPr>
              <w:t>0.355</w:t>
            </w:r>
          </w:p>
        </w:tc>
        <w:tc>
          <w:tcPr>
            <w:tcW w:type="dxa" w:w="2153"/>
            <w:vAlign w:val="center"/>
          </w:tcPr>
          <w:p>
            <w:pPr>
              <w:keepNext/>
              <w:spacing w:after="0" w:before="0" w:line="240" w:lineRule="auto"/>
              <w:jc w:val="right"/>
            </w:pPr>
            <w:r>
              <w:rPr>
                <w:rFonts w:ascii="Calibri" w:hAnsi="Calibri"/>
                <w:b w:val="0"/>
                <w:sz w:val="19"/>
              </w:rPr>
              <w:t>0.206</w:t>
            </w:r>
          </w:p>
        </w:tc>
        <w:tc>
          <w:tcPr>
            <w:tcW w:type="dxa" w:w="2153"/>
            <w:vAlign w:val="center"/>
          </w:tcPr>
          <w:p>
            <w:pPr>
              <w:keepNext/>
              <w:spacing w:after="0" w:before="0" w:line="240" w:lineRule="auto"/>
              <w:jc w:val="right"/>
            </w:pPr>
            <w:r>
              <w:rPr>
                <w:rFonts w:ascii="Calibri" w:hAnsi="Calibri"/>
                <w:b w:val="0"/>
                <w:sz w:val="19"/>
              </w:rPr>
              <w:t>14.93%</w:t>
            </w:r>
          </w:p>
        </w:tc>
        <w:tc>
          <w:tcPr>
            <w:tcW w:type="dxa" w:w="2153"/>
            <w:vAlign w:val="center"/>
          </w:tcPr>
          <w:p>
            <w:pPr>
              <w:keepNext/>
              <w:spacing w:after="0" w:before="0" w:line="240" w:lineRule="auto"/>
            </w:pPr>
            <w:r>
              <w:rPr>
                <w:rFonts w:ascii="Calibri" w:hAnsi="Calibri"/>
                <w:b w:val="0"/>
                <w:sz w:val="19"/>
              </w:rPr>
              <w:t>reference</w:t>
            </w:r>
          </w:p>
        </w:tc>
      </w:tr>
    </w:tbl>
    <w:p>
      <w:pPr>
        <w:keepLines/>
        <w:spacing w:before="60" w:after="120"/>
      </w:pPr>
      <w:r>
        <w:rPr>
          <w:sz w:val="18"/>
        </w:rPr>
        <w:t>Measurements from the real public datasets specified in this section.</w:t>
      </w:r>
    </w:p>
    <w:p>
      <w:pPr>
        <w:keepNext/>
        <w:spacing w:after="60"/>
        <w:jc w:val="center"/>
      </w:pPr>
      <w:r>
        <w:drawing>
          <wp:inline xmlns:a="http://schemas.openxmlformats.org/drawingml/2006/main" xmlns:pic="http://schemas.openxmlformats.org/drawingml/2006/picture">
            <wp:extent cx="6309360" cy="3695788"/>
            <wp:docPr id="54" name="Picture 54"/>
            <wp:cNvGraphicFramePr>
              <a:graphicFrameLocks noChangeAspect="1"/>
            </wp:cNvGraphicFramePr>
            <a:graphic>
              <a:graphicData uri="http://schemas.openxmlformats.org/drawingml/2006/picture">
                <pic:pic>
                  <pic:nvPicPr>
                    <pic:cNvPr id="0" name="54_image54.png"/>
                    <pic:cNvPicPr/>
                  </pic:nvPicPr>
                  <pic:blipFill>
                    <a:blip r:embed="rId67"/>
                    <a:stretch>
                      <a:fillRect/>
                    </a:stretch>
                  </pic:blipFill>
                  <pic:spPr>
                    <a:xfrm>
                      <a:off x="0" y="0"/>
                      <a:ext cx="6309360" cy="3695788"/>
                    </a:xfrm>
                    <a:prstGeom prst="rect"/>
                  </pic:spPr>
                </pic:pic>
              </a:graphicData>
            </a:graphic>
          </wp:inline>
        </w:drawing>
      </w:r>
    </w:p>
    <w:p>
      <w:pPr>
        <w:pStyle w:val="Caption"/>
      </w:pPr>
      <w:r>
        <w:t>Figure 54. Facebook topology, profile features and social-circle alignment.</w:t>
      </w:r>
    </w:p>
    <w:p>
      <w:r>
        <w:t>Profile-feature similarity declines from graph distance 1 to 3 only modestly (0.385 → 0.340), whereas shared-circle probability declines from 49.5% to 18.9%. The graph is therefore much more strongly aligned with explicit social-circle membership than with one pooled profile-feature cosine.</w:t>
      </w:r>
    </w:p>
    <w:p>
      <w:pPr>
        <w:keepNext/>
        <w:spacing w:after="60"/>
        <w:jc w:val="center"/>
      </w:pPr>
      <w:r>
        <w:drawing>
          <wp:inline xmlns:a="http://schemas.openxmlformats.org/drawingml/2006/main" xmlns:pic="http://schemas.openxmlformats.org/drawingml/2006/picture">
            <wp:extent cx="6309360" cy="3695788"/>
            <wp:docPr id="55" name="Picture 55"/>
            <wp:cNvGraphicFramePr>
              <a:graphicFrameLocks noChangeAspect="1"/>
            </wp:cNvGraphicFramePr>
            <a:graphic>
              <a:graphicData uri="http://schemas.openxmlformats.org/drawingml/2006/picture">
                <pic:pic>
                  <pic:nvPicPr>
                    <pic:cNvPr id="0" name="55_image55.png"/>
                    <pic:cNvPicPr/>
                  </pic:nvPicPr>
                  <pic:blipFill>
                    <a:blip r:embed="rId68"/>
                    <a:stretch>
                      <a:fillRect/>
                    </a:stretch>
                  </pic:blipFill>
                  <pic:spPr>
                    <a:xfrm>
                      <a:off x="0" y="0"/>
                      <a:ext cx="6309360" cy="3695788"/>
                    </a:xfrm>
                    <a:prstGeom prst="rect"/>
                  </pic:spPr>
                </pic:pic>
              </a:graphicData>
            </a:graphic>
          </wp:inline>
        </w:drawing>
      </w:r>
    </w:p>
    <w:p>
      <w:pPr>
        <w:pStyle w:val="Caption"/>
      </w:pPr>
      <w:r>
        <w:t>Figure 55. Edge enrichment differs sharply by Facebook feature family.</w:t>
      </w:r>
    </w:p>
    <w:p>
      <w:r>
        <w:t>Feature families have different alignment with edges. Location, languages and work have enrichments of 4.34×, 3.03× and 2.37×. Locale, education and gender are near the sampled random-pair expectation at approximately 1.00×, 1.04× and 1.06×. Birthday has high lift but a very small base rate, so it receives little weight in the global interpretation.</w:t>
      </w:r>
    </w:p>
    <w:p>
      <w:pPr>
        <w:pStyle w:val="Heading3"/>
      </w:pPr>
      <w:r>
        <w:t>8.3.2 Email-Eu-core temporal edge geometry</w:t>
      </w:r>
    </w:p>
    <w:p>
      <w:r>
        <w:t>The real temporal file contains 332,334 directed email events among 986 users over ~803.9 days, collapsing to 24,929 unique directed dyads.</w:t>
      </w:r>
    </w:p>
    <w:p>
      <w:pPr>
        <w:pStyle w:val="Caption"/>
        <w:keepNext/>
      </w:pPr>
      <w:r>
        <w:t>Table 80. Email temporal-edge measurements.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240"/>
        <w:gridCol w:w="6984"/>
      </w:tblGrid>
      <w:tr>
        <w:trPr>
          <w:cantSplit/>
          <w:tblHeader/>
        </w:trPr>
        <w:tc>
          <w:tcPr>
            <w:tcW w:type="dxa" w:w="3240"/>
            <w:vAlign w:val="center"/>
            <w:shd w:fill="F2F2F2"/>
          </w:tcPr>
          <w:p>
            <w:pPr>
              <w:keepNext/>
              <w:spacing w:after="0" w:before="0" w:line="240" w:lineRule="auto"/>
            </w:pPr>
            <w:r>
              <w:rPr>
                <w:rFonts w:ascii="Calibri" w:hAnsi="Calibri"/>
                <w:b/>
                <w:sz w:val="19"/>
              </w:rPr>
              <w:t>Measured quantity</w:t>
            </w:r>
          </w:p>
        </w:tc>
        <w:tc>
          <w:tcPr>
            <w:tcW w:type="dxa" w:w="6984"/>
            <w:vAlign w:val="center"/>
            <w:shd w:fill="F2F2F2"/>
          </w:tcPr>
          <w:p>
            <w:pPr>
              <w:keepNext/>
              <w:spacing w:after="0" w:before="0" w:line="240" w:lineRule="auto"/>
            </w:pPr>
            <w:r>
              <w:rPr>
                <w:rFonts w:ascii="Calibri" w:hAnsi="Calibri"/>
                <w:b/>
                <w:sz w:val="19"/>
              </w:rPr>
              <w:t>Value</w:t>
            </w:r>
          </w:p>
        </w:tc>
      </w:tr>
      <w:tr>
        <w:trPr>
          <w:cantSplit/>
        </w:trPr>
        <w:tc>
          <w:tcPr>
            <w:tcW w:type="dxa" w:w="3240"/>
            <w:vAlign w:val="center"/>
          </w:tcPr>
          <w:p>
            <w:pPr>
              <w:keepNext w:val="0"/>
              <w:spacing w:after="0" w:before="0" w:line="240" w:lineRule="auto"/>
            </w:pPr>
            <w:r>
              <w:rPr>
                <w:rFonts w:ascii="Calibri" w:hAnsi="Calibri"/>
                <w:b w:val="0"/>
                <w:sz w:val="19"/>
              </w:rPr>
              <w:t>Repeated-event fraction</w:t>
            </w:r>
          </w:p>
        </w:tc>
        <w:tc>
          <w:tcPr>
            <w:tcW w:type="dxa" w:w="6984"/>
            <w:vAlign w:val="center"/>
          </w:tcPr>
          <w:p>
            <w:pPr>
              <w:keepNext w:val="0"/>
              <w:spacing w:after="0" w:before="0" w:line="240" w:lineRule="auto"/>
              <w:jc w:val="right"/>
            </w:pPr>
            <w:r>
              <w:rPr>
                <w:rFonts w:ascii="Calibri" w:hAnsi="Calibri"/>
                <w:b w:val="0"/>
                <w:sz w:val="19"/>
              </w:rPr>
              <w:t>92.50%</w:t>
            </w:r>
          </w:p>
        </w:tc>
      </w:tr>
      <w:tr>
        <w:trPr>
          <w:cantSplit/>
        </w:trPr>
        <w:tc>
          <w:tcPr>
            <w:tcW w:type="dxa" w:w="3240"/>
            <w:vAlign w:val="center"/>
          </w:tcPr>
          <w:p>
            <w:pPr>
              <w:keepNext w:val="0"/>
              <w:spacing w:after="0" w:before="0" w:line="240" w:lineRule="auto"/>
            </w:pPr>
            <w:r>
              <w:rPr>
                <w:rFonts w:ascii="Calibri" w:hAnsi="Calibri"/>
                <w:b w:val="0"/>
                <w:sz w:val="19"/>
              </w:rPr>
              <w:t>Events per unique directed dyad</w:t>
            </w:r>
          </w:p>
        </w:tc>
        <w:tc>
          <w:tcPr>
            <w:tcW w:type="dxa" w:w="6984"/>
            <w:vAlign w:val="center"/>
          </w:tcPr>
          <w:p>
            <w:pPr>
              <w:keepNext w:val="0"/>
              <w:spacing w:after="0" w:before="0" w:line="240" w:lineRule="auto"/>
              <w:jc w:val="right"/>
            </w:pPr>
            <w:r>
              <w:rPr>
                <w:rFonts w:ascii="Calibri" w:hAnsi="Calibri"/>
                <w:b w:val="0"/>
                <w:sz w:val="19"/>
              </w:rPr>
              <w:t>13.33</w:t>
            </w:r>
          </w:p>
        </w:tc>
      </w:tr>
      <w:tr>
        <w:trPr>
          <w:cantSplit/>
        </w:trPr>
        <w:tc>
          <w:tcPr>
            <w:tcW w:type="dxa" w:w="3240"/>
            <w:vAlign w:val="center"/>
          </w:tcPr>
          <w:p>
            <w:pPr>
              <w:keepNext w:val="0"/>
              <w:spacing w:after="0" w:before="0" w:line="240" w:lineRule="auto"/>
            </w:pPr>
            <w:r>
              <w:rPr>
                <w:rFonts w:ascii="Calibri" w:hAnsi="Calibri"/>
                <w:b w:val="0"/>
                <w:sz w:val="19"/>
              </w:rPr>
              <w:t>Dyad event-count Gini</w:t>
            </w:r>
          </w:p>
        </w:tc>
        <w:tc>
          <w:tcPr>
            <w:tcW w:type="dxa" w:w="6984"/>
            <w:vAlign w:val="center"/>
          </w:tcPr>
          <w:p>
            <w:pPr>
              <w:keepNext w:val="0"/>
              <w:spacing w:after="0" w:before="0" w:line="240" w:lineRule="auto"/>
              <w:jc w:val="right"/>
            </w:pPr>
            <w:r>
              <w:rPr>
                <w:rFonts w:ascii="Calibri" w:hAnsi="Calibri"/>
                <w:b w:val="0"/>
                <w:sz w:val="19"/>
              </w:rPr>
              <w:t>0.777</w:t>
            </w:r>
          </w:p>
        </w:tc>
      </w:tr>
      <w:tr>
        <w:trPr>
          <w:cantSplit/>
        </w:trPr>
        <w:tc>
          <w:tcPr>
            <w:tcW w:type="dxa" w:w="3240"/>
            <w:vAlign w:val="center"/>
          </w:tcPr>
          <w:p>
            <w:pPr>
              <w:keepNext w:val="0"/>
              <w:spacing w:after="0" w:before="0" w:line="240" w:lineRule="auto"/>
            </w:pPr>
            <w:r>
              <w:rPr>
                <w:rFonts w:ascii="Calibri" w:hAnsi="Calibri"/>
                <w:b w:val="0"/>
                <w:sz w:val="19"/>
              </w:rPr>
              <w:t>Top 10% dyads' share of events</w:t>
            </w:r>
          </w:p>
        </w:tc>
        <w:tc>
          <w:tcPr>
            <w:tcW w:type="dxa" w:w="6984"/>
            <w:vAlign w:val="center"/>
          </w:tcPr>
          <w:p>
            <w:pPr>
              <w:keepNext w:val="0"/>
              <w:spacing w:after="0" w:before="0" w:line="240" w:lineRule="auto"/>
              <w:jc w:val="right"/>
            </w:pPr>
            <w:r>
              <w:rPr>
                <w:rFonts w:ascii="Calibri" w:hAnsi="Calibri"/>
                <w:b w:val="0"/>
                <w:sz w:val="19"/>
              </w:rPr>
              <w:t>69.80%</w:t>
            </w:r>
          </w:p>
        </w:tc>
      </w:tr>
      <w:tr>
        <w:trPr>
          <w:cantSplit/>
        </w:trPr>
        <w:tc>
          <w:tcPr>
            <w:tcW w:type="dxa" w:w="3240"/>
            <w:vAlign w:val="center"/>
          </w:tcPr>
          <w:p>
            <w:pPr>
              <w:keepNext w:val="0"/>
              <w:spacing w:after="0" w:before="0" w:line="240" w:lineRule="auto"/>
            </w:pPr>
            <w:r>
              <w:rPr>
                <w:rFonts w:ascii="Calibri" w:hAnsi="Calibri"/>
                <w:b w:val="0"/>
                <w:sz w:val="19"/>
              </w:rPr>
              <w:t>Top 1% dyads' share of events</w:t>
            </w:r>
          </w:p>
        </w:tc>
        <w:tc>
          <w:tcPr>
            <w:tcW w:type="dxa" w:w="6984"/>
            <w:vAlign w:val="center"/>
          </w:tcPr>
          <w:p>
            <w:pPr>
              <w:keepNext w:val="0"/>
              <w:spacing w:after="0" w:before="0" w:line="240" w:lineRule="auto"/>
              <w:jc w:val="right"/>
            </w:pPr>
            <w:r>
              <w:rPr>
                <w:rFonts w:ascii="Calibri" w:hAnsi="Calibri"/>
                <w:b w:val="0"/>
                <w:sz w:val="19"/>
              </w:rPr>
              <w:t>26.56%</w:t>
            </w:r>
          </w:p>
        </w:tc>
      </w:tr>
      <w:tr>
        <w:trPr>
          <w:cantSplit/>
        </w:trPr>
        <w:tc>
          <w:tcPr>
            <w:tcW w:type="dxa" w:w="3240"/>
            <w:vAlign w:val="center"/>
          </w:tcPr>
          <w:p>
            <w:pPr>
              <w:keepNext w:val="0"/>
              <w:spacing w:after="0" w:before="0" w:line="240" w:lineRule="auto"/>
            </w:pPr>
            <w:r>
              <w:rPr>
                <w:rFonts w:ascii="Calibri" w:hAnsi="Calibri"/>
                <w:b w:val="0"/>
                <w:sz w:val="19"/>
              </w:rPr>
              <w:t>Median sender burstiness</w:t>
            </w:r>
          </w:p>
        </w:tc>
        <w:tc>
          <w:tcPr>
            <w:tcW w:type="dxa" w:w="6984"/>
            <w:vAlign w:val="center"/>
          </w:tcPr>
          <w:p>
            <w:pPr>
              <w:keepNext w:val="0"/>
              <w:spacing w:after="0" w:before="0" w:line="240" w:lineRule="auto"/>
              <w:jc w:val="right"/>
            </w:pPr>
            <w:r>
              <w:rPr>
                <w:rFonts w:ascii="Calibri" w:hAnsi="Calibri"/>
                <w:b w:val="0"/>
                <w:sz w:val="19"/>
              </w:rPr>
              <w:t>0.569</w:t>
            </w:r>
          </w:p>
        </w:tc>
      </w:tr>
      <w:tr>
        <w:trPr>
          <w:cantSplit/>
        </w:trPr>
        <w:tc>
          <w:tcPr>
            <w:tcW w:type="dxa" w:w="3240"/>
            <w:vAlign w:val="center"/>
          </w:tcPr>
          <w:p>
            <w:pPr>
              <w:keepNext w:val="0"/>
              <w:spacing w:after="0" w:before="0" w:line="240" w:lineRule="auto"/>
            </w:pPr>
            <w:r>
              <w:rPr>
                <w:rFonts w:ascii="Calibri" w:hAnsi="Calibri"/>
                <w:b w:val="0"/>
                <w:sz w:val="19"/>
              </w:rPr>
              <w:t>Median dyad burstiness</w:t>
            </w:r>
          </w:p>
        </w:tc>
        <w:tc>
          <w:tcPr>
            <w:tcW w:type="dxa" w:w="6984"/>
            <w:vAlign w:val="center"/>
          </w:tcPr>
          <w:p>
            <w:pPr>
              <w:keepNext w:val="0"/>
              <w:spacing w:after="0" w:before="0" w:line="240" w:lineRule="auto"/>
              <w:jc w:val="right"/>
            </w:pPr>
            <w:r>
              <w:rPr>
                <w:rFonts w:ascii="Calibri" w:hAnsi="Calibri"/>
                <w:b w:val="0"/>
                <w:sz w:val="19"/>
              </w:rPr>
              <w:t>0.216</w:t>
            </w:r>
          </w:p>
        </w:tc>
      </w:tr>
      <w:tr>
        <w:trPr>
          <w:cantSplit/>
        </w:trPr>
        <w:tc>
          <w:tcPr>
            <w:tcW w:type="dxa" w:w="3240"/>
            <w:vAlign w:val="center"/>
          </w:tcPr>
          <w:p>
            <w:pPr>
              <w:keepNext w:val="0"/>
              <w:spacing w:after="0" w:before="0" w:line="240" w:lineRule="auto"/>
            </w:pPr>
            <w:r>
              <w:rPr>
                <w:rFonts w:ascii="Calibri" w:hAnsi="Calibri"/>
                <w:b w:val="0"/>
                <w:sz w:val="19"/>
              </w:rPr>
              <w:t>Median repeat-dyad gap</w:t>
            </w:r>
          </w:p>
        </w:tc>
        <w:tc>
          <w:tcPr>
            <w:tcW w:type="dxa" w:w="6984"/>
            <w:vAlign w:val="center"/>
          </w:tcPr>
          <w:p>
            <w:pPr>
              <w:keepNext w:val="0"/>
              <w:spacing w:after="0" w:before="0" w:line="240" w:lineRule="auto"/>
            </w:pPr>
            <w:r>
              <w:rPr>
                <w:rFonts w:ascii="Calibri" w:hAnsi="Calibri"/>
                <w:b w:val="0"/>
                <w:sz w:val="19"/>
              </w:rPr>
              <w:t>27.53 h</w:t>
            </w:r>
          </w:p>
        </w:tc>
      </w:tr>
      <w:tr>
        <w:trPr>
          <w:cantSplit/>
        </w:trPr>
        <w:tc>
          <w:tcPr>
            <w:tcW w:type="dxa" w:w="3240"/>
            <w:vAlign w:val="center"/>
          </w:tcPr>
          <w:p>
            <w:pPr>
              <w:keepNext w:val="0"/>
              <w:spacing w:after="0" w:before="0" w:line="240" w:lineRule="auto"/>
            </w:pPr>
            <w:r>
              <w:rPr>
                <w:rFonts w:ascii="Calibri" w:hAnsi="Calibri"/>
                <w:b w:val="0"/>
                <w:sz w:val="19"/>
              </w:rPr>
              <w:t>Consecutive 30-day edge-set Jaccard</w:t>
            </w:r>
          </w:p>
        </w:tc>
        <w:tc>
          <w:tcPr>
            <w:tcW w:type="dxa" w:w="6984"/>
            <w:vAlign w:val="center"/>
          </w:tcPr>
          <w:p>
            <w:pPr>
              <w:keepNext w:val="0"/>
              <w:spacing w:after="0" w:before="0" w:line="240" w:lineRule="auto"/>
              <w:jc w:val="right"/>
            </w:pPr>
            <w:r>
              <w:rPr>
                <w:rFonts w:ascii="Calibri" w:hAnsi="Calibri"/>
                <w:b w:val="0"/>
                <w:sz w:val="19"/>
              </w:rPr>
              <w:t>0.211</w:t>
            </w:r>
          </w:p>
        </w:tc>
      </w:tr>
      <w:tr>
        <w:trPr>
          <w:cantSplit/>
        </w:trPr>
        <w:tc>
          <w:tcPr>
            <w:tcW w:type="dxa" w:w="3240"/>
            <w:vAlign w:val="center"/>
          </w:tcPr>
          <w:p>
            <w:pPr>
              <w:keepNext w:val="0"/>
              <w:spacing w:after="0" w:before="0" w:line="240" w:lineRule="auto"/>
            </w:pPr>
            <w:r>
              <w:rPr>
                <w:rFonts w:ascii="Calibri" w:hAnsi="Calibri"/>
                <w:b w:val="0"/>
                <w:sz w:val="19"/>
              </w:rPr>
              <w:t>Prior-window edge retention</w:t>
            </w:r>
          </w:p>
        </w:tc>
        <w:tc>
          <w:tcPr>
            <w:tcW w:type="dxa" w:w="6984"/>
            <w:vAlign w:val="center"/>
          </w:tcPr>
          <w:p>
            <w:pPr>
              <w:keepNext w:val="0"/>
              <w:spacing w:after="0" w:before="0" w:line="240" w:lineRule="auto"/>
              <w:jc w:val="right"/>
            </w:pPr>
            <w:r>
              <w:rPr>
                <w:rFonts w:ascii="Calibri" w:hAnsi="Calibri"/>
                <w:b w:val="0"/>
                <w:sz w:val="19"/>
              </w:rPr>
              <w:t>32.61%</w:t>
            </w:r>
          </w:p>
        </w:tc>
      </w:tr>
      <w:tr>
        <w:trPr>
          <w:cantSplit/>
        </w:trPr>
        <w:tc>
          <w:tcPr>
            <w:tcW w:type="dxa" w:w="3240"/>
            <w:vAlign w:val="center"/>
          </w:tcPr>
          <w:p>
            <w:pPr>
              <w:keepNext/>
              <w:spacing w:after="0" w:before="0" w:line="240" w:lineRule="auto"/>
            </w:pPr>
            <w:r>
              <w:rPr>
                <w:rFonts w:ascii="Calibri" w:hAnsi="Calibri"/>
                <w:b w:val="0"/>
                <w:sz w:val="19"/>
              </w:rPr>
              <w:t>Current-window new-edge fraction</w:t>
            </w:r>
          </w:p>
        </w:tc>
        <w:tc>
          <w:tcPr>
            <w:tcW w:type="dxa" w:w="6984"/>
            <w:vAlign w:val="center"/>
          </w:tcPr>
          <w:p>
            <w:pPr>
              <w:keepNext/>
              <w:spacing w:after="0" w:before="0" w:line="240" w:lineRule="auto"/>
              <w:jc w:val="right"/>
            </w:pPr>
            <w:r>
              <w:rPr>
                <w:rFonts w:ascii="Calibri" w:hAnsi="Calibri"/>
                <w:b w:val="0"/>
                <w:sz w:val="19"/>
              </w:rPr>
              <w:t>36.40%</w:t>
            </w:r>
          </w:p>
        </w:tc>
      </w:tr>
    </w:tbl>
    <w:p>
      <w:pPr>
        <w:keepLines/>
        <w:spacing w:before="60" w:after="120"/>
      </w:pPr>
      <w:r>
        <w:rPr>
          <w:sz w:val="18"/>
        </w:rPr>
        <w:t>Measurements from the real public datasets specified in this section.</w:t>
      </w:r>
    </w:p>
    <w:p>
      <w:pPr>
        <w:keepNext/>
        <w:spacing w:after="60"/>
        <w:jc w:val="center"/>
      </w:pPr>
      <w:r>
        <w:drawing>
          <wp:inline xmlns:a="http://schemas.openxmlformats.org/drawingml/2006/main" xmlns:pic="http://schemas.openxmlformats.org/drawingml/2006/picture">
            <wp:extent cx="6309360" cy="3695788"/>
            <wp:docPr id="56" name="Picture 56"/>
            <wp:cNvGraphicFramePr>
              <a:graphicFrameLocks noChangeAspect="1"/>
            </wp:cNvGraphicFramePr>
            <a:graphic>
              <a:graphicData uri="http://schemas.openxmlformats.org/drawingml/2006/picture">
                <pic:pic>
                  <pic:nvPicPr>
                    <pic:cNvPr id="0" name="56_image56.png"/>
                    <pic:cNvPicPr/>
                  </pic:nvPicPr>
                  <pic:blipFill>
                    <a:blip r:embed="rId69"/>
                    <a:stretch>
                      <a:fillRect/>
                    </a:stretch>
                  </pic:blipFill>
                  <pic:spPr>
                    <a:xfrm>
                      <a:off x="0" y="0"/>
                      <a:ext cx="6309360" cy="3695788"/>
                    </a:xfrm>
                    <a:prstGeom prst="rect"/>
                  </pic:spPr>
                </pic:pic>
              </a:graphicData>
            </a:graphic>
          </wp:inline>
        </w:drawing>
      </w:r>
    </w:p>
    <w:p>
      <w:pPr>
        <w:pStyle w:val="Caption"/>
      </w:pPr>
      <w:r>
        <w:t>Figure 56. Static embeddedness and temporal recurrence in Email-Eu-core.</w:t>
      </w:r>
    </w:p>
    <w:p>
      <w:r>
        <w:t>Static topology and temporal activity are coupled but not interchangeable. Log dyad event count correlates 0.282 with common-neighbor count. Dyads with 50+ common neighbors average 33.3 events and have median observed lifetime ~327 days; dyads with zero common neighbors average 4.29 events and have median lifetime 0 days. At the same time, consecutive 30-day active-edge sets overlap weakly (mean Jaccard 0.211), so the static graph is a long-time union over a substantially changing active relation field.</w:t>
      </w:r>
    </w:p>
    <w:p>
      <w:r>
        <w:t>Important encoding caveat: SNAP creates a separate temporal edge for each recipient of an email. The very high global event-stream burstiness is therefore partly affected by multi-recipient messages and is not interpreted as a biological or behavioral timescale. Sender- and dyad-level burstiness are reported separately.</w:t>
      </w:r>
    </w:p>
    <w:p>
      <w:pPr>
        <w:pStyle w:val="Heading3"/>
      </w:pPr>
      <w:r>
        <w:t>8.3.3 Bitcoin-OTC signed / weighted edge-state geometry</w:t>
      </w:r>
    </w:p>
    <w:p>
      <w:r>
        <w:t>Bitcoin-OTC contains directed trust ratings. The public signed-network mirror used for these calculations contains 5,881 nodes and 35,592 directed rated edges; 89.99% are positive and 10.01% negative.</w:t>
      </w:r>
    </w:p>
    <w:p>
      <w:pPr>
        <w:pStyle w:val="Caption"/>
        <w:keepNext/>
      </w:pPr>
      <w:r>
        <w:t>Table 81. Bitcoin-OTC signed edge state.</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744"/>
        <w:gridCol w:w="3240"/>
        <w:gridCol w:w="3240"/>
      </w:tblGrid>
      <w:tr>
        <w:trPr>
          <w:cantSplit/>
          <w:tblHeader/>
        </w:trPr>
        <w:tc>
          <w:tcPr>
            <w:tcW w:type="dxa" w:w="3744"/>
            <w:vAlign w:val="center"/>
            <w:shd w:fill="F2F2F2"/>
          </w:tcPr>
          <w:p>
            <w:pPr>
              <w:keepNext/>
              <w:spacing w:after="0" w:before="0" w:line="240" w:lineRule="auto"/>
            </w:pPr>
            <w:r>
              <w:rPr>
                <w:rFonts w:ascii="Calibri" w:hAnsi="Calibri"/>
                <w:b/>
                <w:sz w:val="19"/>
              </w:rPr>
              <w:t>Quantity</w:t>
            </w:r>
          </w:p>
        </w:tc>
        <w:tc>
          <w:tcPr>
            <w:tcW w:type="dxa" w:w="3240"/>
            <w:vAlign w:val="center"/>
            <w:shd w:fill="F2F2F2"/>
          </w:tcPr>
          <w:p>
            <w:pPr>
              <w:keepNext/>
              <w:spacing w:after="0" w:before="0" w:line="240" w:lineRule="auto"/>
            </w:pPr>
            <w:r>
              <w:rPr>
                <w:rFonts w:ascii="Calibri" w:hAnsi="Calibri"/>
                <w:b/>
                <w:sz w:val="19"/>
              </w:rPr>
              <w:t>Positive</w:t>
            </w:r>
          </w:p>
        </w:tc>
        <w:tc>
          <w:tcPr>
            <w:tcW w:type="dxa" w:w="3240"/>
            <w:vAlign w:val="center"/>
            <w:shd w:fill="F2F2F2"/>
          </w:tcPr>
          <w:p>
            <w:pPr>
              <w:keepNext/>
              <w:spacing w:after="0" w:before="0" w:line="240" w:lineRule="auto"/>
            </w:pPr>
            <w:r>
              <w:rPr>
                <w:rFonts w:ascii="Calibri" w:hAnsi="Calibri"/>
                <w:b/>
                <w:sz w:val="19"/>
              </w:rPr>
              <w:t>Negative</w:t>
            </w:r>
          </w:p>
        </w:tc>
      </w:tr>
      <w:tr>
        <w:trPr>
          <w:cantSplit/>
        </w:trPr>
        <w:tc>
          <w:tcPr>
            <w:tcW w:type="dxa" w:w="3744"/>
            <w:vAlign w:val="center"/>
          </w:tcPr>
          <w:p>
            <w:pPr>
              <w:keepNext w:val="0"/>
              <w:spacing w:after="0" w:before="0" w:line="240" w:lineRule="auto"/>
            </w:pPr>
            <w:r>
              <w:rPr>
                <w:rFonts w:ascii="Calibri" w:hAnsi="Calibri"/>
                <w:b w:val="0"/>
                <w:sz w:val="19"/>
              </w:rPr>
              <w:t>Mean absolute rating</w:t>
            </w:r>
          </w:p>
        </w:tc>
        <w:tc>
          <w:tcPr>
            <w:tcW w:type="dxa" w:w="3240"/>
            <w:vAlign w:val="center"/>
          </w:tcPr>
          <w:p>
            <w:pPr>
              <w:keepNext w:val="0"/>
              <w:spacing w:after="0" w:before="0" w:line="240" w:lineRule="auto"/>
              <w:jc w:val="right"/>
            </w:pPr>
            <w:r>
              <w:rPr>
                <w:rFonts w:ascii="Calibri" w:hAnsi="Calibri"/>
                <w:b w:val="0"/>
                <w:sz w:val="19"/>
              </w:rPr>
              <w:t>1.97</w:t>
            </w:r>
          </w:p>
        </w:tc>
        <w:tc>
          <w:tcPr>
            <w:tcW w:type="dxa" w:w="3240"/>
            <w:vAlign w:val="center"/>
          </w:tcPr>
          <w:p>
            <w:pPr>
              <w:keepNext w:val="0"/>
              <w:spacing w:after="0" w:before="0" w:line="240" w:lineRule="auto"/>
              <w:jc w:val="right"/>
            </w:pPr>
            <w:r>
              <w:rPr>
                <w:rFonts w:ascii="Calibri" w:hAnsi="Calibri"/>
                <w:b w:val="0"/>
                <w:sz w:val="19"/>
              </w:rPr>
              <w:t>7.56</w:t>
            </w:r>
          </w:p>
        </w:tc>
      </w:tr>
      <w:tr>
        <w:trPr>
          <w:cantSplit/>
        </w:trPr>
        <w:tc>
          <w:tcPr>
            <w:tcW w:type="dxa" w:w="3744"/>
            <w:vAlign w:val="center"/>
          </w:tcPr>
          <w:p>
            <w:pPr>
              <w:keepNext w:val="0"/>
              <w:spacing w:after="0" w:before="0" w:line="240" w:lineRule="auto"/>
            </w:pPr>
            <w:r>
              <w:rPr>
                <w:rFonts w:ascii="Calibri" w:hAnsi="Calibri"/>
                <w:b w:val="0"/>
                <w:sz w:val="19"/>
              </w:rPr>
              <w:t>Mean common neighbors</w:t>
            </w:r>
          </w:p>
        </w:tc>
        <w:tc>
          <w:tcPr>
            <w:tcW w:type="dxa" w:w="3240"/>
            <w:vAlign w:val="center"/>
          </w:tcPr>
          <w:p>
            <w:pPr>
              <w:keepNext w:val="0"/>
              <w:spacing w:after="0" w:before="0" w:line="240" w:lineRule="auto"/>
              <w:jc w:val="right"/>
            </w:pPr>
            <w:r>
              <w:rPr>
                <w:rFonts w:ascii="Calibri" w:hAnsi="Calibri"/>
                <w:b w:val="0"/>
                <w:sz w:val="19"/>
              </w:rPr>
              <w:t>4.61</w:t>
            </w:r>
          </w:p>
        </w:tc>
        <w:tc>
          <w:tcPr>
            <w:tcW w:type="dxa" w:w="3240"/>
            <w:vAlign w:val="center"/>
          </w:tcPr>
          <w:p>
            <w:pPr>
              <w:keepNext w:val="0"/>
              <w:spacing w:after="0" w:before="0" w:line="240" w:lineRule="auto"/>
              <w:jc w:val="right"/>
            </w:pPr>
            <w:r>
              <w:rPr>
                <w:rFonts w:ascii="Calibri" w:hAnsi="Calibri"/>
                <w:b w:val="0"/>
                <w:sz w:val="19"/>
              </w:rPr>
              <w:t>5.45</w:t>
            </w:r>
          </w:p>
        </w:tc>
      </w:tr>
      <w:tr>
        <w:trPr>
          <w:cantSplit/>
        </w:trPr>
        <w:tc>
          <w:tcPr>
            <w:tcW w:type="dxa" w:w="3744"/>
            <w:vAlign w:val="center"/>
          </w:tcPr>
          <w:p>
            <w:pPr>
              <w:keepNext w:val="0"/>
              <w:spacing w:after="0" w:before="0" w:line="240" w:lineRule="auto"/>
            </w:pPr>
            <w:r>
              <w:rPr>
                <w:rFonts w:ascii="Calibri" w:hAnsi="Calibri"/>
                <w:b w:val="0"/>
                <w:sz w:val="19"/>
              </w:rPr>
              <w:t>Median common neighbors</w:t>
            </w:r>
          </w:p>
        </w:tc>
        <w:tc>
          <w:tcPr>
            <w:tcW w:type="dxa" w:w="3240"/>
            <w:vAlign w:val="center"/>
          </w:tcPr>
          <w:p>
            <w:pPr>
              <w:keepNext w:val="0"/>
              <w:spacing w:after="0" w:before="0" w:line="240" w:lineRule="auto"/>
              <w:jc w:val="right"/>
            </w:pPr>
            <w:r>
              <w:rPr>
                <w:rFonts w:ascii="Calibri" w:hAnsi="Calibri"/>
                <w:b w:val="0"/>
                <w:sz w:val="19"/>
              </w:rPr>
              <w:t>2</w:t>
            </w:r>
          </w:p>
        </w:tc>
        <w:tc>
          <w:tcPr>
            <w:tcW w:type="dxa" w:w="3240"/>
            <w:vAlign w:val="center"/>
          </w:tcPr>
          <w:p>
            <w:pPr>
              <w:keepNext w:val="0"/>
              <w:spacing w:after="0" w:before="0" w:line="240" w:lineRule="auto"/>
              <w:jc w:val="right"/>
            </w:pPr>
            <w:r>
              <w:rPr>
                <w:rFonts w:ascii="Calibri" w:hAnsi="Calibri"/>
                <w:b w:val="0"/>
                <w:sz w:val="19"/>
              </w:rPr>
              <w:t>3</w:t>
            </w:r>
          </w:p>
        </w:tc>
      </w:tr>
      <w:tr>
        <w:trPr>
          <w:cantSplit/>
        </w:trPr>
        <w:tc>
          <w:tcPr>
            <w:tcW w:type="dxa" w:w="3744"/>
            <w:vAlign w:val="center"/>
          </w:tcPr>
          <w:p>
            <w:pPr>
              <w:keepNext/>
              <w:spacing w:after="0" w:before="0" w:line="240" w:lineRule="auto"/>
            </w:pPr>
            <w:r>
              <w:rPr>
                <w:rFonts w:ascii="Calibri" w:hAnsi="Calibri"/>
                <w:b w:val="0"/>
                <w:sz w:val="19"/>
              </w:rPr>
              <w:t>Mean endpoint degree geometric mean</w:t>
            </w:r>
          </w:p>
        </w:tc>
        <w:tc>
          <w:tcPr>
            <w:tcW w:type="dxa" w:w="3240"/>
            <w:vAlign w:val="center"/>
          </w:tcPr>
          <w:p>
            <w:pPr>
              <w:keepNext/>
              <w:spacing w:after="0" w:before="0" w:line="240" w:lineRule="auto"/>
              <w:jc w:val="right"/>
            </w:pPr>
            <w:r>
              <w:rPr>
                <w:rFonts w:ascii="Calibri" w:hAnsi="Calibri"/>
                <w:b w:val="0"/>
                <w:sz w:val="19"/>
              </w:rPr>
              <w:t>39.41</w:t>
            </w:r>
          </w:p>
        </w:tc>
        <w:tc>
          <w:tcPr>
            <w:tcW w:type="dxa" w:w="3240"/>
            <w:vAlign w:val="center"/>
          </w:tcPr>
          <w:p>
            <w:pPr>
              <w:keepNext/>
              <w:spacing w:after="0" w:before="0" w:line="240" w:lineRule="auto"/>
              <w:jc w:val="right"/>
            </w:pPr>
            <w:r>
              <w:rPr>
                <w:rFonts w:ascii="Calibri" w:hAnsi="Calibri"/>
                <w:b w:val="0"/>
                <w:sz w:val="19"/>
              </w:rPr>
              <w:t>42.13</w:t>
            </w:r>
          </w:p>
        </w:tc>
      </w:tr>
    </w:tbl>
    <w:p>
      <w:pPr>
        <w:keepLines/>
        <w:spacing w:before="60" w:after="120"/>
      </w:pPr>
      <w:r>
        <w:rPr>
          <w:sz w:val="18"/>
        </w:rPr>
        <w:t>Measurements from the real public datasets specified in this section.</w:t>
      </w:r>
    </w:p>
    <w:p>
      <w:pPr>
        <w:keepNext/>
        <w:spacing w:after="60"/>
        <w:jc w:val="center"/>
      </w:pPr>
      <w:r>
        <w:drawing>
          <wp:inline xmlns:a="http://schemas.openxmlformats.org/drawingml/2006/main" xmlns:pic="http://schemas.openxmlformats.org/drawingml/2006/picture">
            <wp:extent cx="6309360" cy="3695788"/>
            <wp:docPr id="57" name="Picture 57"/>
            <wp:cNvGraphicFramePr>
              <a:graphicFrameLocks noChangeAspect="1"/>
            </wp:cNvGraphicFramePr>
            <a:graphic>
              <a:graphicData uri="http://schemas.openxmlformats.org/drawingml/2006/picture">
                <pic:pic>
                  <pic:nvPicPr>
                    <pic:cNvPr id="0" name="57_image57.png"/>
                    <pic:cNvPicPr/>
                  </pic:nvPicPr>
                  <pic:blipFill>
                    <a:blip r:embed="rId70"/>
                    <a:stretch>
                      <a:fillRect/>
                    </a:stretch>
                  </pic:blipFill>
                  <pic:spPr>
                    <a:xfrm>
                      <a:off x="0" y="0"/>
                      <a:ext cx="6309360" cy="3695788"/>
                    </a:xfrm>
                    <a:prstGeom prst="rect"/>
                  </pic:spPr>
                </pic:pic>
              </a:graphicData>
            </a:graphic>
          </wp:inline>
        </w:drawing>
      </w:r>
    </w:p>
    <w:p>
      <w:pPr>
        <w:pStyle w:val="Caption"/>
      </w:pPr>
      <w:r>
        <w:t>Figure 57. Bitcoin-OTC negative-edge frequency by static embeddedness.</w:t>
      </w:r>
    </w:p>
    <w:p>
      <w:r>
        <w:t>Negative relations are not simply peripheral. Their fraction rises from 7.3% at zero common neighbors to ~14.6% at 5–19 common neighbors, then falls to 7.8% at 20+ common neighbors. Among reciprocal directed ratings, 97.46% agree in sign and rating values correlate 0.611. Edge sign and magnitude therefore form a dyad-specific relational state that is coupled to, but not determined by, static embeddedness.</w:t>
      </w:r>
    </w:p>
    <w:p>
      <w:pPr>
        <w:pStyle w:val="Heading3"/>
      </w:pPr>
      <w:r>
        <w:t>8.3.4 Combined measured geometry</w:t>
      </w:r>
    </w:p>
    <w:p>
      <w:r>
        <w:t>Topology, node-attribute similarity, temporal activation and signed or weighted edges supply distinct measured descriptions. Their observed associations are incomplete, motivating separate state channels before testing whether a particular task permits their compression.</w:t>
      </w:r>
    </w:p>
    <w:p>
      <w:pPr>
        <w:pStyle w:val="ListBullet"/>
      </w:pPr>
      <w:r>
        <w:t>Facebook shows modest alignment of pooled profile similarity with edges and stronger alignment of social circles and selected feature families.</w:t>
      </w:r>
    </w:p>
    <w:p>
      <w:pPr>
        <w:pStyle w:val="ListBullet"/>
      </w:pPr>
      <w:r>
        <w:t>Email: a stable static edge union coexists with strong temporal turnover and extremely concentrated dyad activity.</w:t>
      </w:r>
    </w:p>
    <w:p>
      <w:pPr>
        <w:pStyle w:val="ListBullet"/>
      </w:pPr>
      <w:r>
        <w:t>Bitcoin-OTC: edge sign and magnitude carry relational state with a non-monotonic dependence on local embeddedness.</w:t>
      </w:r>
    </w:p>
    <w:p>
      <w:pPr>
        <w:pStyle w:val="Heading3"/>
      </w:pPr>
      <w:r>
        <w:t>8.3.5 Training implications</w:t>
      </w:r>
    </w:p>
    <w:p>
      <w:r>
        <w:t>1. Keep node attributes, edge attributes and temporal activity as separate state channels until a sufficiency test justifies fusion.</w:t>
      </w:r>
    </w:p>
    <w:p>
      <w:r>
        <w:t>2. Do not use one pooled node-feature metric as the graph's semantic geometry. Facebook feature families show strongly different topology alignment.</w:t>
      </w:r>
    </w:p>
    <w:p>
      <w:r>
        <w:t>3. Do not treat a static adjacency matrix as the currently active graph when time matters. Email's static graph is a union over rapidly changing active edge sets.</w:t>
      </w:r>
    </w:p>
    <w:p>
      <w:r>
        <w:t>4. Give temporal relations their own clocks. Node activity bursts and dyad recurrence have different timescales in the same real email network.</w:t>
      </w:r>
    </w:p>
    <w:p>
      <w:r>
        <w:t>5. Treat signed / weighted edges as relation state rather than copying them into endpoint features. Bitcoin ratings are strongly dyad-specific and reciprocal.</w:t>
      </w:r>
    </w:p>
    <w:p>
      <w:r>
        <w:t>6. Use topology-conditioned but not topology-determined relation models. Edge attributes and temporal persistence correlate with embeddedness, but the relationships are incomplete and sometimes non-monotonic.</w:t>
      </w:r>
    </w:p>
    <w:p>
      <w:r>
        <w:t>7. Evaluate topology, node state, edge state and temporal activity before combining them into one representation. These measurements specify inputs for model comparison rather than demonstrate an improved graph core.</w:t>
      </w:r>
    </w:p>
    <w:p>
      <w:pPr>
        <w:pStyle w:val="Heading3"/>
      </w:pPr>
      <w:r>
        <w:t>8.3.6 Provenance and caveats</w:t>
      </w:r>
    </w:p>
    <w:p>
      <w:pPr>
        <w:pStyle w:val="ListBullet"/>
      </w:pPr>
      <w:r>
        <w:t>Facebook: SNAP ego-Facebook. Profile-feature meanings are anonymized; equality/shared categories remain measurable.</w:t>
      </w:r>
    </w:p>
    <w:p>
      <w:pPr>
        <w:pStyle w:val="ListBullet"/>
      </w:pPr>
      <w:r>
        <w:t>Email: SNAP Email-Eu-core temporal. Raw 332,334-event file was read from a public GitHub mirror; official SNAP statistics match the 986-node / 332,334-event / 803-day dataset.</w:t>
      </w:r>
    </w:p>
    <w:p>
      <w:pPr>
        <w:pStyle w:val="ListBullet"/>
      </w:pPr>
      <w:r>
        <w:t>Bitcoin-OTC: a public signed-network mirror containing source, target and rating was used for sign/topology calculations. It omits timestamps; no Bitcoin temporal statistic is claimed. SNAP documents the original SOURCE, TARGET, RATING, TIME format.</w:t>
      </w:r>
    </w:p>
    <w:p>
      <w:pPr>
        <w:pStyle w:val="ListBullet"/>
      </w:pPr>
      <w:r>
        <w:t>All reported pairwise and temporal quantities above were computed directly from the retrieved records; no synthetic graph data enter this experiment.</w:t>
      </w:r>
    </w:p>
    <w:p>
      <w:pPr>
        <w:pStyle w:val="Heading2"/>
      </w:pPr>
      <w:r>
        <w:t>8.4 REAL-GRAPH-ACTIVE-FIELD-GEOMETRY-024 Static Neighbourhoods, Active Relations, and Time-Scale Separation</w:t>
      </w:r>
    </w:p>
    <w:p>
      <w:r>
        <w:t>This analysis uses Email-Eu-core-temporal to measure the fraction of lifetime neighbourhoods active within finite windows, differences between node and dyad temporal variation, and associations of topology with relation persistence. The time axis is checked before windowed calculation.</w:t>
      </w:r>
    </w:p>
    <w:p>
      <w:r>
        <w:t>Executive finding. In the real Email-Eu-core-temporal event stream, the long-run graph is much larger than the relation field occupied in any one window. Node-level activity changes more smoothly than directed relation composition, and topology-defined structural basins condition persistence without specifying the currently active edge.</w:t>
      </w:r>
    </w:p>
    <w:p>
      <w:pPr>
        <w:pStyle w:val="Heading3"/>
      </w:pPr>
      <w:r>
        <w:t>8.4.1 Data boundary and time-axis audit</w:t>
      </w:r>
    </w:p>
    <w:p>
      <w:r>
        <w:t>Source. SNAP Email-Eu-core-temporal. The archived calculation parses 332,334 directed recipient-events across 986 users and 24,929 directed dyads. The validated public mirror is SteveHuntsman/PathHomologyDataAndScripts/email-Eu-core-temporal.txt, Git blob SHA 6d864f3a7d511359c8fc19c6a83b4e2302741669.</w:t>
      </w:r>
    </w:p>
    <w:p>
      <w:r>
        <w:t>The timestamp stream contains one exceptional 271.816-day zero-event gap after day 525.522; the second-largest gap is only 5.476 days. Dynamic measurements therefore use complete windows inside the primary 525.522-day continuous observed segment. This keeps an observation boundary from being interpreted as a behavioural pause.</w:t>
      </w:r>
    </w:p>
    <w:p>
      <w:pPr>
        <w:keepNext/>
        <w:spacing w:after="60"/>
        <w:jc w:val="center"/>
      </w:pPr>
      <w:r>
        <w:drawing>
          <wp:inline xmlns:a="http://schemas.openxmlformats.org/drawingml/2006/main" xmlns:pic="http://schemas.openxmlformats.org/drawingml/2006/picture">
            <wp:extent cx="6309360" cy="2862380"/>
            <wp:docPr id="58" name="Picture 58"/>
            <wp:cNvGraphicFramePr>
              <a:graphicFrameLocks noChangeAspect="1"/>
            </wp:cNvGraphicFramePr>
            <a:graphic>
              <a:graphicData uri="http://schemas.openxmlformats.org/drawingml/2006/picture">
                <pic:pic>
                  <pic:nvPicPr>
                    <pic:cNvPr id="0" name="58_image58.png"/>
                    <pic:cNvPicPr/>
                  </pic:nvPicPr>
                  <pic:blipFill>
                    <a:blip r:embed="rId71"/>
                    <a:stretch>
                      <a:fillRect/>
                    </a:stretch>
                  </pic:blipFill>
                  <pic:spPr>
                    <a:xfrm>
                      <a:off x="0" y="0"/>
                      <a:ext cx="6309360" cy="2862380"/>
                    </a:xfrm>
                    <a:prstGeom prst="rect"/>
                  </pic:spPr>
                </pic:pic>
              </a:graphicData>
            </a:graphic>
          </wp:inline>
        </w:drawing>
      </w:r>
    </w:p>
    <w:p>
      <w:pPr>
        <w:pStyle w:val="Caption"/>
      </w:pPr>
      <w:r>
        <w:t>Figure 58. The timestamp axis contains one exceptional observation gap; dynamic windows are restricted to the continuous primary segment.</w:t>
      </w:r>
    </w:p>
    <w:p>
      <w:pPr>
        <w:pStyle w:val="Heading3"/>
      </w:pPr>
      <w:r>
        <w:t>8.4.2 Active neighbourhoods occupy a sparse slice of lifetime topology</w:t>
      </w:r>
    </w:p>
    <w:p>
      <w:r>
        <w:t>Windowed measurements show a consistent separation between lifetime adjacency and current occupancy. Median active-neighbour coverage rises with the window, but even a 90-day window exposes only 40.0% of lifetime neighbours for the median active node. Event weighting makes the occupied support smaller still.</w:t>
      </w:r>
    </w:p>
    <w:p>
      <w:pPr>
        <w:pStyle w:val="Caption"/>
        <w:keepNext/>
      </w:pPr>
      <w:r>
        <w:t>Table 82. Active neighbourhood coverage by window.</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Window</w:t>
            </w:r>
          </w:p>
        </w:tc>
        <w:tc>
          <w:tcPr>
            <w:tcW w:type="dxa" w:w="1722"/>
            <w:vAlign w:val="center"/>
            <w:shd w:fill="F2F2F2"/>
          </w:tcPr>
          <w:p>
            <w:pPr>
              <w:keepNext/>
              <w:spacing w:after="0" w:before="0" w:line="240" w:lineRule="auto"/>
            </w:pPr>
            <w:r>
              <w:rPr>
                <w:rFonts w:ascii="Calibri" w:hAnsi="Calibri"/>
                <w:b/>
                <w:sz w:val="19"/>
              </w:rPr>
              <w:t>Complete windows</w:t>
            </w:r>
          </w:p>
        </w:tc>
        <w:tc>
          <w:tcPr>
            <w:tcW w:type="dxa" w:w="1722"/>
            <w:vAlign w:val="center"/>
            <w:shd w:fill="F2F2F2"/>
          </w:tcPr>
          <w:p>
            <w:pPr>
              <w:keepNext/>
              <w:spacing w:after="0" w:before="0" w:line="240" w:lineRule="auto"/>
            </w:pPr>
            <w:r>
              <w:rPr>
                <w:rFonts w:ascii="Calibri" w:hAnsi="Calibri"/>
                <w:b/>
                <w:sz w:val="19"/>
              </w:rPr>
              <w:t>Median coverage</w:t>
            </w:r>
          </w:p>
        </w:tc>
        <w:tc>
          <w:tcPr>
            <w:tcW w:type="dxa" w:w="1722"/>
            <w:vAlign w:val="center"/>
            <w:shd w:fill="F2F2F2"/>
          </w:tcPr>
          <w:p>
            <w:pPr>
              <w:keepNext/>
              <w:spacing w:after="0" w:before="0" w:line="240" w:lineRule="auto"/>
            </w:pPr>
            <w:r>
              <w:rPr>
                <w:rFonts w:ascii="Calibri" w:hAnsi="Calibri"/>
                <w:b/>
                <w:sz w:val="19"/>
              </w:rPr>
              <w:t>Active partners</w:t>
            </w:r>
          </w:p>
        </w:tc>
        <w:tc>
          <w:tcPr>
            <w:tcW w:type="dxa" w:w="1722"/>
            <w:vAlign w:val="center"/>
            <w:shd w:fill="F2F2F2"/>
          </w:tcPr>
          <w:p>
            <w:pPr>
              <w:keepNext/>
              <w:spacing w:after="0" w:before="0" w:line="240" w:lineRule="auto"/>
            </w:pPr>
            <w:r>
              <w:rPr>
                <w:rFonts w:ascii="Calibri" w:hAnsi="Calibri"/>
                <w:b/>
                <w:sz w:val="19"/>
              </w:rPr>
              <w:t>Effective partners</w:t>
            </w:r>
          </w:p>
        </w:tc>
        <w:tc>
          <w:tcPr>
            <w:tcW w:type="dxa" w:w="1722"/>
            <w:vAlign w:val="center"/>
            <w:shd w:fill="F2F2F2"/>
          </w:tcPr>
          <w:p>
            <w:pPr>
              <w:keepNext/>
              <w:spacing w:after="0" w:before="0" w:line="240" w:lineRule="auto"/>
            </w:pPr>
            <w:r>
              <w:rPr>
                <w:rFonts w:ascii="Calibri" w:hAnsi="Calibri"/>
                <w:b/>
                <w:sz w:val="19"/>
              </w:rPr>
              <w:t>Effective static coverage</w:t>
            </w:r>
          </w:p>
        </w:tc>
      </w:tr>
      <w:tr>
        <w:trPr>
          <w:cantSplit/>
        </w:trPr>
        <w:tc>
          <w:tcPr>
            <w:tcW w:type="dxa" w:w="1613"/>
            <w:vAlign w:val="center"/>
          </w:tcPr>
          <w:p>
            <w:pPr>
              <w:keepNext w:val="0"/>
              <w:spacing w:after="0" w:before="0" w:line="240" w:lineRule="auto"/>
            </w:pPr>
            <w:r>
              <w:rPr>
                <w:rFonts w:ascii="Calibri" w:hAnsi="Calibri"/>
                <w:b w:val="0"/>
                <w:sz w:val="19"/>
              </w:rPr>
              <w:t>7 d</w:t>
            </w:r>
          </w:p>
        </w:tc>
        <w:tc>
          <w:tcPr>
            <w:tcW w:type="dxa" w:w="1722"/>
            <w:vAlign w:val="center"/>
          </w:tcPr>
          <w:p>
            <w:pPr>
              <w:keepNext w:val="0"/>
              <w:spacing w:after="0" w:before="0" w:line="240" w:lineRule="auto"/>
              <w:jc w:val="right"/>
            </w:pPr>
            <w:r>
              <w:rPr>
                <w:rFonts w:ascii="Calibri" w:hAnsi="Calibri"/>
                <w:b w:val="0"/>
                <w:sz w:val="19"/>
              </w:rPr>
              <w:t>75</w:t>
            </w:r>
          </w:p>
        </w:tc>
        <w:tc>
          <w:tcPr>
            <w:tcW w:type="dxa" w:w="1722"/>
            <w:vAlign w:val="center"/>
          </w:tcPr>
          <w:p>
            <w:pPr>
              <w:keepNext w:val="0"/>
              <w:spacing w:after="0" w:before="0" w:line="240" w:lineRule="auto"/>
              <w:jc w:val="right"/>
            </w:pPr>
            <w:r>
              <w:rPr>
                <w:rFonts w:ascii="Calibri" w:hAnsi="Calibri"/>
                <w:b w:val="0"/>
                <w:sz w:val="19"/>
              </w:rPr>
              <w:t>10.0%</w:t>
            </w:r>
          </w:p>
        </w:tc>
        <w:tc>
          <w:tcPr>
            <w:tcW w:type="dxa" w:w="1722"/>
            <w:vAlign w:val="center"/>
          </w:tcPr>
          <w:p>
            <w:pPr>
              <w:keepNext w:val="0"/>
              <w:spacing w:after="0" w:before="0" w:line="240" w:lineRule="auto"/>
              <w:jc w:val="right"/>
            </w:pPr>
            <w:r>
              <w:rPr>
                <w:rFonts w:ascii="Calibri" w:hAnsi="Calibri"/>
                <w:b w:val="0"/>
                <w:sz w:val="19"/>
              </w:rPr>
              <w:t>3</w:t>
            </w:r>
          </w:p>
        </w:tc>
        <w:tc>
          <w:tcPr>
            <w:tcW w:type="dxa" w:w="1722"/>
            <w:vAlign w:val="center"/>
          </w:tcPr>
          <w:p>
            <w:pPr>
              <w:keepNext w:val="0"/>
              <w:spacing w:after="0" w:before="0" w:line="240" w:lineRule="auto"/>
              <w:jc w:val="right"/>
            </w:pPr>
            <w:r>
              <w:rPr>
                <w:rFonts w:ascii="Calibri" w:hAnsi="Calibri"/>
                <w:b w:val="0"/>
                <w:sz w:val="19"/>
              </w:rPr>
              <w:t>2.67</w:t>
            </w:r>
          </w:p>
        </w:tc>
        <w:tc>
          <w:tcPr>
            <w:tcW w:type="dxa" w:w="1722"/>
            <w:vAlign w:val="center"/>
          </w:tcPr>
          <w:p>
            <w:pPr>
              <w:keepNext w:val="0"/>
              <w:spacing w:after="0" w:before="0" w:line="240" w:lineRule="auto"/>
              <w:jc w:val="right"/>
            </w:pPr>
            <w:r>
              <w:rPr>
                <w:rFonts w:ascii="Calibri" w:hAnsi="Calibri"/>
                <w:b w:val="0"/>
                <w:sz w:val="19"/>
              </w:rPr>
              <w:t>7.6%</w:t>
            </w:r>
          </w:p>
        </w:tc>
      </w:tr>
      <w:tr>
        <w:trPr>
          <w:cantSplit/>
        </w:trPr>
        <w:tc>
          <w:tcPr>
            <w:tcW w:type="dxa" w:w="1613"/>
            <w:vAlign w:val="center"/>
          </w:tcPr>
          <w:p>
            <w:pPr>
              <w:keepNext w:val="0"/>
              <w:spacing w:after="0" w:before="0" w:line="240" w:lineRule="auto"/>
            </w:pPr>
            <w:r>
              <w:rPr>
                <w:rFonts w:ascii="Calibri" w:hAnsi="Calibri"/>
                <w:b w:val="0"/>
                <w:sz w:val="19"/>
              </w:rPr>
              <w:t>14 d</w:t>
            </w:r>
          </w:p>
        </w:tc>
        <w:tc>
          <w:tcPr>
            <w:tcW w:type="dxa" w:w="1722"/>
            <w:vAlign w:val="center"/>
          </w:tcPr>
          <w:p>
            <w:pPr>
              <w:keepNext w:val="0"/>
              <w:spacing w:after="0" w:before="0" w:line="240" w:lineRule="auto"/>
              <w:jc w:val="right"/>
            </w:pPr>
            <w:r>
              <w:rPr>
                <w:rFonts w:ascii="Calibri" w:hAnsi="Calibri"/>
                <w:b w:val="0"/>
                <w:sz w:val="19"/>
              </w:rPr>
              <w:t>37</w:t>
            </w:r>
          </w:p>
        </w:tc>
        <w:tc>
          <w:tcPr>
            <w:tcW w:type="dxa" w:w="1722"/>
            <w:vAlign w:val="center"/>
          </w:tcPr>
          <w:p>
            <w:pPr>
              <w:keepNext w:val="0"/>
              <w:spacing w:after="0" w:before="0" w:line="240" w:lineRule="auto"/>
              <w:jc w:val="right"/>
            </w:pPr>
            <w:r>
              <w:rPr>
                <w:rFonts w:ascii="Calibri" w:hAnsi="Calibri"/>
                <w:b w:val="0"/>
                <w:sz w:val="19"/>
              </w:rPr>
              <w:t>14.8%</w:t>
            </w:r>
          </w:p>
        </w:tc>
        <w:tc>
          <w:tcPr>
            <w:tcW w:type="dxa" w:w="1722"/>
            <w:vAlign w:val="center"/>
          </w:tcPr>
          <w:p>
            <w:pPr>
              <w:keepNext w:val="0"/>
              <w:spacing w:after="0" w:before="0" w:line="240" w:lineRule="auto"/>
              <w:jc w:val="right"/>
            </w:pPr>
            <w:r>
              <w:rPr>
                <w:rFonts w:ascii="Calibri" w:hAnsi="Calibri"/>
                <w:b w:val="0"/>
                <w:sz w:val="19"/>
              </w:rPr>
              <w:t>5</w:t>
            </w:r>
          </w:p>
        </w:tc>
        <w:tc>
          <w:tcPr>
            <w:tcW w:type="dxa" w:w="1722"/>
            <w:vAlign w:val="center"/>
          </w:tcPr>
          <w:p>
            <w:pPr>
              <w:keepNext w:val="0"/>
              <w:spacing w:after="0" w:before="0" w:line="240" w:lineRule="auto"/>
              <w:jc w:val="right"/>
            </w:pPr>
            <w:r>
              <w:rPr>
                <w:rFonts w:ascii="Calibri" w:hAnsi="Calibri"/>
                <w:b w:val="0"/>
                <w:sz w:val="19"/>
              </w:rPr>
              <w:t>3.13</w:t>
            </w:r>
          </w:p>
        </w:tc>
        <w:tc>
          <w:tcPr>
            <w:tcW w:type="dxa" w:w="1722"/>
            <w:vAlign w:val="center"/>
          </w:tcPr>
          <w:p>
            <w:pPr>
              <w:keepNext w:val="0"/>
              <w:spacing w:after="0" w:before="0" w:line="240" w:lineRule="auto"/>
              <w:jc w:val="right"/>
            </w:pPr>
            <w:r>
              <w:rPr>
                <w:rFonts w:ascii="Calibri" w:hAnsi="Calibri"/>
                <w:b w:val="0"/>
                <w:sz w:val="19"/>
              </w:rPr>
              <w:t>9.9%</w:t>
            </w:r>
          </w:p>
        </w:tc>
      </w:tr>
      <w:tr>
        <w:trPr>
          <w:cantSplit/>
        </w:trPr>
        <w:tc>
          <w:tcPr>
            <w:tcW w:type="dxa" w:w="1613"/>
            <w:vAlign w:val="center"/>
          </w:tcPr>
          <w:p>
            <w:pPr>
              <w:keepNext w:val="0"/>
              <w:spacing w:after="0" w:before="0" w:line="240" w:lineRule="auto"/>
            </w:pPr>
            <w:r>
              <w:rPr>
                <w:rFonts w:ascii="Calibri" w:hAnsi="Calibri"/>
                <w:b w:val="0"/>
                <w:sz w:val="19"/>
              </w:rPr>
              <w:t>30 d</w:t>
            </w:r>
          </w:p>
        </w:tc>
        <w:tc>
          <w:tcPr>
            <w:tcW w:type="dxa" w:w="1722"/>
            <w:vAlign w:val="center"/>
          </w:tcPr>
          <w:p>
            <w:pPr>
              <w:keepNext w:val="0"/>
              <w:spacing w:after="0" w:before="0" w:line="240" w:lineRule="auto"/>
              <w:jc w:val="right"/>
            </w:pPr>
            <w:r>
              <w:rPr>
                <w:rFonts w:ascii="Calibri" w:hAnsi="Calibri"/>
                <w:b w:val="0"/>
                <w:sz w:val="19"/>
              </w:rPr>
              <w:t>17</w:t>
            </w:r>
          </w:p>
        </w:tc>
        <w:tc>
          <w:tcPr>
            <w:tcW w:type="dxa" w:w="1722"/>
            <w:vAlign w:val="center"/>
          </w:tcPr>
          <w:p>
            <w:pPr>
              <w:keepNext w:val="0"/>
              <w:spacing w:after="0" w:before="0" w:line="240" w:lineRule="auto"/>
              <w:jc w:val="right"/>
            </w:pPr>
            <w:r>
              <w:rPr>
                <w:rFonts w:ascii="Calibri" w:hAnsi="Calibri"/>
                <w:b w:val="0"/>
                <w:sz w:val="19"/>
              </w:rPr>
              <w:t>22.5%</w:t>
            </w:r>
          </w:p>
        </w:tc>
        <w:tc>
          <w:tcPr>
            <w:tcW w:type="dxa" w:w="1722"/>
            <w:vAlign w:val="center"/>
          </w:tcPr>
          <w:p>
            <w:pPr>
              <w:keepNext w:val="0"/>
              <w:spacing w:after="0" w:before="0" w:line="240" w:lineRule="auto"/>
              <w:jc w:val="right"/>
            </w:pPr>
            <w:r>
              <w:rPr>
                <w:rFonts w:ascii="Calibri" w:hAnsi="Calibri"/>
                <w:b w:val="0"/>
                <w:sz w:val="19"/>
              </w:rPr>
              <w:t>7</w:t>
            </w:r>
          </w:p>
        </w:tc>
        <w:tc>
          <w:tcPr>
            <w:tcW w:type="dxa" w:w="1722"/>
            <w:vAlign w:val="center"/>
          </w:tcPr>
          <w:p>
            <w:pPr>
              <w:keepNext w:val="0"/>
              <w:spacing w:after="0" w:before="0" w:line="240" w:lineRule="auto"/>
              <w:jc w:val="right"/>
            </w:pPr>
            <w:r>
              <w:rPr>
                <w:rFonts w:ascii="Calibri" w:hAnsi="Calibri"/>
                <w:b w:val="0"/>
                <w:sz w:val="19"/>
              </w:rPr>
              <w:t>3.70</w:t>
            </w:r>
          </w:p>
        </w:tc>
        <w:tc>
          <w:tcPr>
            <w:tcW w:type="dxa" w:w="1722"/>
            <w:vAlign w:val="center"/>
          </w:tcPr>
          <w:p>
            <w:pPr>
              <w:keepNext w:val="0"/>
              <w:spacing w:after="0" w:before="0" w:line="240" w:lineRule="auto"/>
              <w:jc w:val="right"/>
            </w:pPr>
            <w:r>
              <w:rPr>
                <w:rFonts w:ascii="Calibri" w:hAnsi="Calibri"/>
                <w:b w:val="0"/>
                <w:sz w:val="19"/>
              </w:rPr>
              <w:t>12.6%</w:t>
            </w:r>
          </w:p>
        </w:tc>
      </w:tr>
      <w:tr>
        <w:trPr>
          <w:cantSplit/>
        </w:trPr>
        <w:tc>
          <w:tcPr>
            <w:tcW w:type="dxa" w:w="1613"/>
            <w:vAlign w:val="center"/>
          </w:tcPr>
          <w:p>
            <w:pPr>
              <w:keepNext w:val="0"/>
              <w:spacing w:after="0" w:before="0" w:line="240" w:lineRule="auto"/>
            </w:pPr>
            <w:r>
              <w:rPr>
                <w:rFonts w:ascii="Calibri" w:hAnsi="Calibri"/>
                <w:b w:val="0"/>
                <w:sz w:val="19"/>
              </w:rPr>
              <w:t>60 d</w:t>
            </w:r>
          </w:p>
        </w:tc>
        <w:tc>
          <w:tcPr>
            <w:tcW w:type="dxa" w:w="1722"/>
            <w:vAlign w:val="center"/>
          </w:tcPr>
          <w:p>
            <w:pPr>
              <w:keepNext w:val="0"/>
              <w:spacing w:after="0" w:before="0" w:line="240" w:lineRule="auto"/>
              <w:jc w:val="right"/>
            </w:pPr>
            <w:r>
              <w:rPr>
                <w:rFonts w:ascii="Calibri" w:hAnsi="Calibri"/>
                <w:b w:val="0"/>
                <w:sz w:val="19"/>
              </w:rPr>
              <w:t>8</w:t>
            </w:r>
          </w:p>
        </w:tc>
        <w:tc>
          <w:tcPr>
            <w:tcW w:type="dxa" w:w="1722"/>
            <w:vAlign w:val="center"/>
          </w:tcPr>
          <w:p>
            <w:pPr>
              <w:keepNext w:val="0"/>
              <w:spacing w:after="0" w:before="0" w:line="240" w:lineRule="auto"/>
              <w:jc w:val="right"/>
            </w:pPr>
            <w:r>
              <w:rPr>
                <w:rFonts w:ascii="Calibri" w:hAnsi="Calibri"/>
                <w:b w:val="0"/>
                <w:sz w:val="19"/>
              </w:rPr>
              <w:t>32.9%</w:t>
            </w:r>
          </w:p>
        </w:tc>
        <w:tc>
          <w:tcPr>
            <w:tcW w:type="dxa" w:w="1722"/>
            <w:vAlign w:val="center"/>
          </w:tcPr>
          <w:p>
            <w:pPr>
              <w:keepNext w:val="0"/>
              <w:spacing w:after="0" w:before="0" w:line="240" w:lineRule="auto"/>
              <w:jc w:val="right"/>
            </w:pPr>
            <w:r>
              <w:rPr>
                <w:rFonts w:ascii="Calibri" w:hAnsi="Calibri"/>
                <w:b w:val="0"/>
                <w:sz w:val="19"/>
              </w:rPr>
              <w:t>9</w:t>
            </w:r>
          </w:p>
        </w:tc>
        <w:tc>
          <w:tcPr>
            <w:tcW w:type="dxa" w:w="1722"/>
            <w:vAlign w:val="center"/>
          </w:tcPr>
          <w:p>
            <w:pPr>
              <w:keepNext w:val="0"/>
              <w:spacing w:after="0" w:before="0" w:line="240" w:lineRule="auto"/>
              <w:jc w:val="right"/>
            </w:pPr>
            <w:r>
              <w:rPr>
                <w:rFonts w:ascii="Calibri" w:hAnsi="Calibri"/>
                <w:b w:val="0"/>
                <w:sz w:val="19"/>
              </w:rPr>
              <w:t>4.23</w:t>
            </w:r>
          </w:p>
        </w:tc>
        <w:tc>
          <w:tcPr>
            <w:tcW w:type="dxa" w:w="1722"/>
            <w:vAlign w:val="center"/>
          </w:tcPr>
          <w:p>
            <w:pPr>
              <w:keepNext w:val="0"/>
              <w:spacing w:after="0" w:before="0" w:line="240" w:lineRule="auto"/>
              <w:jc w:val="right"/>
            </w:pPr>
            <w:r>
              <w:rPr>
                <w:rFonts w:ascii="Calibri" w:hAnsi="Calibri"/>
                <w:b w:val="0"/>
                <w:sz w:val="19"/>
              </w:rPr>
              <w:t>15.8%</w:t>
            </w:r>
          </w:p>
        </w:tc>
      </w:tr>
      <w:tr>
        <w:trPr>
          <w:cantSplit/>
        </w:trPr>
        <w:tc>
          <w:tcPr>
            <w:tcW w:type="dxa" w:w="1613"/>
            <w:vAlign w:val="center"/>
          </w:tcPr>
          <w:p>
            <w:pPr>
              <w:keepNext/>
              <w:spacing w:after="0" w:before="0" w:line="240" w:lineRule="auto"/>
            </w:pPr>
            <w:r>
              <w:rPr>
                <w:rFonts w:ascii="Calibri" w:hAnsi="Calibri"/>
                <w:b w:val="0"/>
                <w:sz w:val="19"/>
              </w:rPr>
              <w:t>90 d</w:t>
            </w:r>
          </w:p>
        </w:tc>
        <w:tc>
          <w:tcPr>
            <w:tcW w:type="dxa" w:w="1722"/>
            <w:vAlign w:val="center"/>
          </w:tcPr>
          <w:p>
            <w:pPr>
              <w:keepNext/>
              <w:spacing w:after="0" w:before="0" w:line="240" w:lineRule="auto"/>
              <w:jc w:val="right"/>
            </w:pPr>
            <w:r>
              <w:rPr>
                <w:rFonts w:ascii="Calibri" w:hAnsi="Calibri"/>
                <w:b w:val="0"/>
                <w:sz w:val="19"/>
              </w:rPr>
              <w:t>5</w:t>
            </w:r>
          </w:p>
        </w:tc>
        <w:tc>
          <w:tcPr>
            <w:tcW w:type="dxa" w:w="1722"/>
            <w:vAlign w:val="center"/>
          </w:tcPr>
          <w:p>
            <w:pPr>
              <w:keepNext/>
              <w:spacing w:after="0" w:before="0" w:line="240" w:lineRule="auto"/>
              <w:jc w:val="right"/>
            </w:pPr>
            <w:r>
              <w:rPr>
                <w:rFonts w:ascii="Calibri" w:hAnsi="Calibri"/>
                <w:b w:val="0"/>
                <w:sz w:val="19"/>
              </w:rPr>
              <w:t>40.0%</w:t>
            </w:r>
          </w:p>
        </w:tc>
        <w:tc>
          <w:tcPr>
            <w:tcW w:type="dxa" w:w="1722"/>
            <w:vAlign w:val="center"/>
          </w:tcPr>
          <w:p>
            <w:pPr>
              <w:keepNext/>
              <w:spacing w:after="0" w:before="0" w:line="240" w:lineRule="auto"/>
              <w:jc w:val="right"/>
            </w:pPr>
            <w:r>
              <w:rPr>
                <w:rFonts w:ascii="Calibri" w:hAnsi="Calibri"/>
                <w:b w:val="0"/>
                <w:sz w:val="19"/>
              </w:rPr>
              <w:t>10</w:t>
            </w:r>
          </w:p>
        </w:tc>
        <w:tc>
          <w:tcPr>
            <w:tcW w:type="dxa" w:w="1722"/>
            <w:vAlign w:val="center"/>
          </w:tcPr>
          <w:p>
            <w:pPr>
              <w:keepNext/>
              <w:spacing w:after="0" w:before="0" w:line="240" w:lineRule="auto"/>
              <w:jc w:val="right"/>
            </w:pPr>
            <w:r>
              <w:rPr>
                <w:rFonts w:ascii="Calibri" w:hAnsi="Calibri"/>
                <w:b w:val="0"/>
                <w:sz w:val="19"/>
              </w:rPr>
              <w:t>4.49</w:t>
            </w:r>
          </w:p>
        </w:tc>
        <w:tc>
          <w:tcPr>
            <w:tcW w:type="dxa" w:w="1722"/>
            <w:vAlign w:val="center"/>
          </w:tcPr>
          <w:p>
            <w:pPr>
              <w:keepNext/>
              <w:spacing w:after="0" w:before="0" w:line="240" w:lineRule="auto"/>
              <w:jc w:val="right"/>
            </w:pPr>
            <w:r>
              <w:rPr>
                <w:rFonts w:ascii="Calibri" w:hAnsi="Calibri"/>
                <w:b w:val="0"/>
                <w:sz w:val="19"/>
              </w:rPr>
              <w:t>17.7%</w:t>
            </w:r>
          </w:p>
        </w:tc>
      </w:tr>
    </w:tbl>
    <w:p>
      <w:pPr>
        <w:keepLines/>
        <w:spacing w:before="60" w:after="120"/>
      </w:pPr>
      <w:r>
        <w:rPr>
          <w:sz w:val="18"/>
        </w:rPr>
        <w:t>Measurements from the real public datasets specified in this section.</w:t>
      </w:r>
    </w:p>
    <w:p>
      <w:r>
        <w:t>At 30 days, the median active node reaches 22.5% of its lifetime neighbours. Seven partners are present, but event concentration reduces that set to 3.70 equally occupied effective partners, corresponding to 12.6% effective static coverage.</w:t>
      </w:r>
    </w:p>
    <w:p>
      <w:pPr>
        <w:keepNext/>
        <w:spacing w:after="60"/>
        <w:jc w:val="center"/>
      </w:pPr>
      <w:r>
        <w:drawing>
          <wp:inline xmlns:a="http://schemas.openxmlformats.org/drawingml/2006/main" xmlns:pic="http://schemas.openxmlformats.org/drawingml/2006/picture">
            <wp:extent cx="6309360" cy="3428287"/>
            <wp:docPr id="59" name="Picture 59"/>
            <wp:cNvGraphicFramePr>
              <a:graphicFrameLocks noChangeAspect="1"/>
            </wp:cNvGraphicFramePr>
            <a:graphic>
              <a:graphicData uri="http://schemas.openxmlformats.org/drawingml/2006/picture">
                <pic:pic>
                  <pic:nvPicPr>
                    <pic:cNvPr id="0" name="59_image59.png"/>
                    <pic:cNvPicPr/>
                  </pic:nvPicPr>
                  <pic:blipFill>
                    <a:blip r:embed="rId72"/>
                    <a:stretch>
                      <a:fillRect/>
                    </a:stretch>
                  </pic:blipFill>
                  <pic:spPr>
                    <a:xfrm>
                      <a:off x="0" y="0"/>
                      <a:ext cx="6309360" cy="3428287"/>
                    </a:xfrm>
                    <a:prstGeom prst="rect"/>
                  </pic:spPr>
                </pic:pic>
              </a:graphicData>
            </a:graphic>
          </wp:inline>
        </w:drawing>
      </w:r>
    </w:p>
    <w:p>
      <w:pPr>
        <w:pStyle w:val="Caption"/>
      </w:pPr>
      <w:r>
        <w:t>Figure 59. Longer windows expose more of lifetime topology, but the active relation field remains a minority slice.</w:t>
      </w:r>
    </w:p>
    <w:p>
      <w:pPr>
        <w:pStyle w:val="Heading3"/>
      </w:pPr>
      <w:r>
        <w:t>8.4.3 Node activity and directed relation activity occupy different temporal geometries</w:t>
      </w:r>
    </w:p>
    <w:p>
      <w:r>
        <w:t>The distinction is visible directly in adjacent-window continuity. At 30 days, node-state cosine is 0.952 and directed-dyad cosine is 0.683. Across all 16 adjacent 30-day window pairs, node continuity is higher. The paired mean gap is 0.269. The envelope of who is active is therefore substantially smoother than the identity and weighting of the active directed relations.</w:t>
      </w:r>
    </w:p>
    <w:p>
      <w:pPr>
        <w:pStyle w:val="Caption"/>
        <w:keepNext/>
      </w:pPr>
      <w:r>
        <w:t>Table 83. Node and dyad continuity and spectral support.</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435"/>
        <w:gridCol w:w="1435"/>
        <w:gridCol w:w="1435"/>
        <w:gridCol w:w="1435"/>
        <w:gridCol w:w="1435"/>
        <w:gridCol w:w="1435"/>
      </w:tblGrid>
      <w:tr>
        <w:trPr>
          <w:cantSplit/>
          <w:tblHeader/>
        </w:trPr>
        <w:tc>
          <w:tcPr>
            <w:tcW w:type="dxa" w:w="1613"/>
            <w:vAlign w:val="center"/>
            <w:shd w:fill="F2F2F2"/>
          </w:tcPr>
          <w:p>
            <w:pPr>
              <w:keepNext/>
              <w:spacing w:after="0" w:before="0" w:line="240" w:lineRule="auto"/>
            </w:pPr>
            <w:r>
              <w:rPr>
                <w:rFonts w:ascii="Calibri" w:hAnsi="Calibri"/>
                <w:b/>
                <w:sz w:val="18"/>
              </w:rPr>
              <w:t>Window</w:t>
            </w:r>
          </w:p>
        </w:tc>
        <w:tc>
          <w:tcPr>
            <w:tcW w:type="dxa" w:w="1435"/>
            <w:vAlign w:val="center"/>
            <w:shd w:fill="F2F2F2"/>
          </w:tcPr>
          <w:p>
            <w:pPr>
              <w:keepNext/>
              <w:spacing w:after="0" w:before="0" w:line="240" w:lineRule="auto"/>
            </w:pPr>
            <w:r>
              <w:rPr>
                <w:rFonts w:ascii="Calibri" w:hAnsi="Calibri"/>
                <w:b/>
                <w:sz w:val="18"/>
              </w:rPr>
              <w:t>Node cosine</w:t>
            </w:r>
          </w:p>
        </w:tc>
        <w:tc>
          <w:tcPr>
            <w:tcW w:type="dxa" w:w="1435"/>
            <w:vAlign w:val="center"/>
            <w:shd w:fill="F2F2F2"/>
          </w:tcPr>
          <w:p>
            <w:pPr>
              <w:keepNext/>
              <w:spacing w:after="0" w:before="0" w:line="240" w:lineRule="auto"/>
            </w:pPr>
            <w:r>
              <w:rPr>
                <w:rFonts w:ascii="Calibri" w:hAnsi="Calibri"/>
                <w:b/>
                <w:sz w:val="18"/>
              </w:rPr>
              <w:t>Dyad cosine</w:t>
            </w:r>
          </w:p>
        </w:tc>
        <w:tc>
          <w:tcPr>
            <w:tcW w:type="dxa" w:w="1435"/>
            <w:vAlign w:val="center"/>
            <w:shd w:fill="F2F2F2"/>
          </w:tcPr>
          <w:p>
            <w:pPr>
              <w:keepNext/>
              <w:spacing w:after="0" w:before="0" w:line="240" w:lineRule="auto"/>
            </w:pPr>
            <w:r>
              <w:rPr>
                <w:rFonts w:ascii="Calibri" w:hAnsi="Calibri"/>
                <w:b/>
                <w:sz w:val="18"/>
              </w:rPr>
              <w:t>Node r95</w:t>
            </w:r>
          </w:p>
        </w:tc>
        <w:tc>
          <w:tcPr>
            <w:tcW w:type="dxa" w:w="1435"/>
            <w:vAlign w:val="center"/>
            <w:shd w:fill="F2F2F2"/>
          </w:tcPr>
          <w:p>
            <w:pPr>
              <w:keepNext/>
              <w:spacing w:after="0" w:before="0" w:line="240" w:lineRule="auto"/>
            </w:pPr>
            <w:r>
              <w:rPr>
                <w:rFonts w:ascii="Calibri" w:hAnsi="Calibri"/>
                <w:b/>
                <w:sz w:val="18"/>
              </w:rPr>
              <w:t>Dyad r95</w:t>
            </w:r>
          </w:p>
        </w:tc>
        <w:tc>
          <w:tcPr>
            <w:tcW w:type="dxa" w:w="1435"/>
            <w:vAlign w:val="center"/>
            <w:shd w:fill="F2F2F2"/>
          </w:tcPr>
          <w:p>
            <w:pPr>
              <w:keepNext/>
              <w:spacing w:after="0" w:before="0" w:line="240" w:lineRule="auto"/>
            </w:pPr>
            <w:r>
              <w:rPr>
                <w:rFonts w:ascii="Calibri" w:hAnsi="Calibri"/>
                <w:b/>
                <w:sz w:val="18"/>
              </w:rPr>
              <w:t>Node entropy rank</w:t>
            </w:r>
          </w:p>
        </w:tc>
        <w:tc>
          <w:tcPr>
            <w:tcW w:type="dxa" w:w="1435"/>
            <w:vAlign w:val="center"/>
            <w:shd w:fill="F2F2F2"/>
          </w:tcPr>
          <w:p>
            <w:pPr>
              <w:keepNext/>
              <w:spacing w:after="0" w:before="0" w:line="240" w:lineRule="auto"/>
            </w:pPr>
            <w:r>
              <w:rPr>
                <w:rFonts w:ascii="Calibri" w:hAnsi="Calibri"/>
                <w:b/>
                <w:sz w:val="18"/>
              </w:rPr>
              <w:t>Dyad entropy rank</w:t>
            </w:r>
          </w:p>
        </w:tc>
      </w:tr>
      <w:tr>
        <w:trPr>
          <w:cantSplit/>
        </w:trPr>
        <w:tc>
          <w:tcPr>
            <w:tcW w:type="dxa" w:w="1613"/>
            <w:vAlign w:val="center"/>
          </w:tcPr>
          <w:p>
            <w:pPr>
              <w:keepNext w:val="0"/>
              <w:spacing w:after="0" w:before="0" w:line="240" w:lineRule="auto"/>
            </w:pPr>
            <w:r>
              <w:rPr>
                <w:rFonts w:ascii="Calibri" w:hAnsi="Calibri"/>
                <w:b w:val="0"/>
                <w:sz w:val="18"/>
              </w:rPr>
              <w:t>7 d</w:t>
            </w:r>
          </w:p>
        </w:tc>
        <w:tc>
          <w:tcPr>
            <w:tcW w:type="dxa" w:w="1435"/>
            <w:vAlign w:val="center"/>
          </w:tcPr>
          <w:p>
            <w:pPr>
              <w:keepNext w:val="0"/>
              <w:spacing w:after="0" w:before="0" w:line="240" w:lineRule="auto"/>
              <w:jc w:val="right"/>
            </w:pPr>
            <w:r>
              <w:rPr>
                <w:rFonts w:ascii="Calibri" w:hAnsi="Calibri"/>
                <w:b w:val="0"/>
                <w:sz w:val="18"/>
              </w:rPr>
              <w:t>0.866</w:t>
            </w:r>
          </w:p>
        </w:tc>
        <w:tc>
          <w:tcPr>
            <w:tcW w:type="dxa" w:w="1435"/>
            <w:vAlign w:val="center"/>
          </w:tcPr>
          <w:p>
            <w:pPr>
              <w:keepNext w:val="0"/>
              <w:spacing w:after="0" w:before="0" w:line="240" w:lineRule="auto"/>
              <w:jc w:val="right"/>
            </w:pPr>
            <w:r>
              <w:rPr>
                <w:rFonts w:ascii="Calibri" w:hAnsi="Calibri"/>
                <w:b w:val="0"/>
                <w:sz w:val="18"/>
              </w:rPr>
              <w:t>0.494</w:t>
            </w:r>
          </w:p>
        </w:tc>
        <w:tc>
          <w:tcPr>
            <w:tcW w:type="dxa" w:w="1435"/>
            <w:vAlign w:val="center"/>
          </w:tcPr>
          <w:p>
            <w:pPr>
              <w:keepNext w:val="0"/>
              <w:spacing w:after="0" w:before="0" w:line="240" w:lineRule="auto"/>
              <w:jc w:val="right"/>
            </w:pPr>
            <w:r>
              <w:rPr>
                <w:rFonts w:ascii="Calibri" w:hAnsi="Calibri"/>
                <w:b w:val="0"/>
                <w:sz w:val="18"/>
              </w:rPr>
              <w:t>55</w:t>
            </w:r>
          </w:p>
        </w:tc>
        <w:tc>
          <w:tcPr>
            <w:tcW w:type="dxa" w:w="1435"/>
            <w:vAlign w:val="center"/>
          </w:tcPr>
          <w:p>
            <w:pPr>
              <w:keepNext w:val="0"/>
              <w:spacing w:after="0" w:before="0" w:line="240" w:lineRule="auto"/>
              <w:jc w:val="right"/>
            </w:pPr>
            <w:r>
              <w:rPr>
                <w:rFonts w:ascii="Calibri" w:hAnsi="Calibri"/>
                <w:b w:val="0"/>
                <w:sz w:val="18"/>
              </w:rPr>
              <w:t>64</w:t>
            </w:r>
          </w:p>
        </w:tc>
        <w:tc>
          <w:tcPr>
            <w:tcW w:type="dxa" w:w="1435"/>
            <w:vAlign w:val="center"/>
          </w:tcPr>
          <w:p>
            <w:pPr>
              <w:keepNext w:val="0"/>
              <w:spacing w:after="0" w:before="0" w:line="240" w:lineRule="auto"/>
              <w:jc w:val="right"/>
            </w:pPr>
            <w:r>
              <w:rPr>
                <w:rFonts w:ascii="Calibri" w:hAnsi="Calibri"/>
                <w:b w:val="0"/>
                <w:sz w:val="18"/>
              </w:rPr>
              <w:t>25.24</w:t>
            </w:r>
          </w:p>
        </w:tc>
        <w:tc>
          <w:tcPr>
            <w:tcW w:type="dxa" w:w="1435"/>
            <w:vAlign w:val="center"/>
          </w:tcPr>
          <w:p>
            <w:pPr>
              <w:keepNext w:val="0"/>
              <w:spacing w:after="0" w:before="0" w:line="240" w:lineRule="auto"/>
              <w:jc w:val="right"/>
            </w:pPr>
            <w:r>
              <w:rPr>
                <w:rFonts w:ascii="Calibri" w:hAnsi="Calibri"/>
                <w:b w:val="0"/>
                <w:sz w:val="18"/>
              </w:rPr>
              <w:t>56.25</w:t>
            </w:r>
          </w:p>
        </w:tc>
      </w:tr>
      <w:tr>
        <w:trPr>
          <w:cantSplit/>
        </w:trPr>
        <w:tc>
          <w:tcPr>
            <w:tcW w:type="dxa" w:w="1613"/>
            <w:vAlign w:val="center"/>
          </w:tcPr>
          <w:p>
            <w:pPr>
              <w:keepNext w:val="0"/>
              <w:spacing w:after="0" w:before="0" w:line="240" w:lineRule="auto"/>
            </w:pPr>
            <w:r>
              <w:rPr>
                <w:rFonts w:ascii="Calibri" w:hAnsi="Calibri"/>
                <w:b w:val="0"/>
                <w:sz w:val="18"/>
              </w:rPr>
              <w:t>14 d</w:t>
            </w:r>
          </w:p>
        </w:tc>
        <w:tc>
          <w:tcPr>
            <w:tcW w:type="dxa" w:w="1435"/>
            <w:vAlign w:val="center"/>
          </w:tcPr>
          <w:p>
            <w:pPr>
              <w:keepNext w:val="0"/>
              <w:spacing w:after="0" w:before="0" w:line="240" w:lineRule="auto"/>
              <w:jc w:val="right"/>
            </w:pPr>
            <w:r>
              <w:rPr>
                <w:rFonts w:ascii="Calibri" w:hAnsi="Calibri"/>
                <w:b w:val="0"/>
                <w:sz w:val="18"/>
              </w:rPr>
              <w:t>0.923</w:t>
            </w:r>
          </w:p>
        </w:tc>
        <w:tc>
          <w:tcPr>
            <w:tcW w:type="dxa" w:w="1435"/>
            <w:vAlign w:val="center"/>
          </w:tcPr>
          <w:p>
            <w:pPr>
              <w:keepNext w:val="0"/>
              <w:spacing w:after="0" w:before="0" w:line="240" w:lineRule="auto"/>
              <w:jc w:val="right"/>
            </w:pPr>
            <w:r>
              <w:rPr>
                <w:rFonts w:ascii="Calibri" w:hAnsi="Calibri"/>
                <w:b w:val="0"/>
                <w:sz w:val="18"/>
              </w:rPr>
              <w:t>0.597</w:t>
            </w:r>
          </w:p>
        </w:tc>
        <w:tc>
          <w:tcPr>
            <w:tcW w:type="dxa" w:w="1435"/>
            <w:vAlign w:val="center"/>
          </w:tcPr>
          <w:p>
            <w:pPr>
              <w:keepNext w:val="0"/>
              <w:spacing w:after="0" w:before="0" w:line="240" w:lineRule="auto"/>
              <w:jc w:val="right"/>
            </w:pPr>
            <w:r>
              <w:rPr>
                <w:rFonts w:ascii="Calibri" w:hAnsi="Calibri"/>
                <w:b w:val="0"/>
                <w:sz w:val="18"/>
              </w:rPr>
              <w:t>29</w:t>
            </w:r>
          </w:p>
        </w:tc>
        <w:tc>
          <w:tcPr>
            <w:tcW w:type="dxa" w:w="1435"/>
            <w:vAlign w:val="center"/>
          </w:tcPr>
          <w:p>
            <w:pPr>
              <w:keepNext w:val="0"/>
              <w:spacing w:after="0" w:before="0" w:line="240" w:lineRule="auto"/>
              <w:jc w:val="right"/>
            </w:pPr>
            <w:r>
              <w:rPr>
                <w:rFonts w:ascii="Calibri" w:hAnsi="Calibri"/>
                <w:b w:val="0"/>
                <w:sz w:val="18"/>
              </w:rPr>
              <w:t>33</w:t>
            </w:r>
          </w:p>
        </w:tc>
        <w:tc>
          <w:tcPr>
            <w:tcW w:type="dxa" w:w="1435"/>
            <w:vAlign w:val="center"/>
          </w:tcPr>
          <w:p>
            <w:pPr>
              <w:keepNext w:val="0"/>
              <w:spacing w:after="0" w:before="0" w:line="240" w:lineRule="auto"/>
              <w:jc w:val="right"/>
            </w:pPr>
            <w:r>
              <w:rPr>
                <w:rFonts w:ascii="Calibri" w:hAnsi="Calibri"/>
                <w:b w:val="0"/>
                <w:sz w:val="18"/>
              </w:rPr>
              <w:t>16.03</w:t>
            </w:r>
          </w:p>
        </w:tc>
        <w:tc>
          <w:tcPr>
            <w:tcW w:type="dxa" w:w="1435"/>
            <w:vAlign w:val="center"/>
          </w:tcPr>
          <w:p>
            <w:pPr>
              <w:keepNext w:val="0"/>
              <w:spacing w:after="0" w:before="0" w:line="240" w:lineRule="auto"/>
              <w:jc w:val="right"/>
            </w:pPr>
            <w:r>
              <w:rPr>
                <w:rFonts w:ascii="Calibri" w:hAnsi="Calibri"/>
                <w:b w:val="0"/>
                <w:sz w:val="18"/>
              </w:rPr>
              <w:t>29.24</w:t>
            </w:r>
          </w:p>
        </w:tc>
      </w:tr>
      <w:tr>
        <w:trPr>
          <w:cantSplit/>
        </w:trPr>
        <w:tc>
          <w:tcPr>
            <w:tcW w:type="dxa" w:w="1613"/>
            <w:vAlign w:val="center"/>
          </w:tcPr>
          <w:p>
            <w:pPr>
              <w:keepNext w:val="0"/>
              <w:spacing w:after="0" w:before="0" w:line="240" w:lineRule="auto"/>
            </w:pPr>
            <w:r>
              <w:rPr>
                <w:rFonts w:ascii="Calibri" w:hAnsi="Calibri"/>
                <w:b w:val="0"/>
                <w:sz w:val="18"/>
              </w:rPr>
              <w:t>30 d</w:t>
            </w:r>
          </w:p>
        </w:tc>
        <w:tc>
          <w:tcPr>
            <w:tcW w:type="dxa" w:w="1435"/>
            <w:vAlign w:val="center"/>
          </w:tcPr>
          <w:p>
            <w:pPr>
              <w:keepNext w:val="0"/>
              <w:spacing w:after="0" w:before="0" w:line="240" w:lineRule="auto"/>
              <w:jc w:val="right"/>
            </w:pPr>
            <w:r>
              <w:rPr>
                <w:rFonts w:ascii="Calibri" w:hAnsi="Calibri"/>
                <w:b w:val="0"/>
                <w:sz w:val="18"/>
              </w:rPr>
              <w:t>0.952</w:t>
            </w:r>
          </w:p>
        </w:tc>
        <w:tc>
          <w:tcPr>
            <w:tcW w:type="dxa" w:w="1435"/>
            <w:vAlign w:val="center"/>
          </w:tcPr>
          <w:p>
            <w:pPr>
              <w:keepNext w:val="0"/>
              <w:spacing w:after="0" w:before="0" w:line="240" w:lineRule="auto"/>
              <w:jc w:val="right"/>
            </w:pPr>
            <w:r>
              <w:rPr>
                <w:rFonts w:ascii="Calibri" w:hAnsi="Calibri"/>
                <w:b w:val="0"/>
                <w:sz w:val="18"/>
              </w:rPr>
              <w:t>0.683</w:t>
            </w:r>
          </w:p>
        </w:tc>
        <w:tc>
          <w:tcPr>
            <w:tcW w:type="dxa" w:w="1435"/>
            <w:vAlign w:val="center"/>
          </w:tcPr>
          <w:p>
            <w:pPr>
              <w:keepNext w:val="0"/>
              <w:spacing w:after="0" w:before="0" w:line="240" w:lineRule="auto"/>
              <w:jc w:val="right"/>
            </w:pPr>
            <w:r>
              <w:rPr>
                <w:rFonts w:ascii="Calibri" w:hAnsi="Calibri"/>
                <w:b w:val="0"/>
                <w:sz w:val="18"/>
              </w:rPr>
              <w:t>13</w:t>
            </w:r>
          </w:p>
        </w:tc>
        <w:tc>
          <w:tcPr>
            <w:tcW w:type="dxa" w:w="1435"/>
            <w:vAlign w:val="center"/>
          </w:tcPr>
          <w:p>
            <w:pPr>
              <w:keepNext w:val="0"/>
              <w:spacing w:after="0" w:before="0" w:line="240" w:lineRule="auto"/>
              <w:jc w:val="right"/>
            </w:pPr>
            <w:r>
              <w:rPr>
                <w:rFonts w:ascii="Calibri" w:hAnsi="Calibri"/>
                <w:b w:val="0"/>
                <w:sz w:val="18"/>
              </w:rPr>
              <w:t>15</w:t>
            </w:r>
          </w:p>
        </w:tc>
        <w:tc>
          <w:tcPr>
            <w:tcW w:type="dxa" w:w="1435"/>
            <w:vAlign w:val="center"/>
          </w:tcPr>
          <w:p>
            <w:pPr>
              <w:keepNext w:val="0"/>
              <w:spacing w:after="0" w:before="0" w:line="240" w:lineRule="auto"/>
              <w:jc w:val="right"/>
            </w:pPr>
            <w:r>
              <w:rPr>
                <w:rFonts w:ascii="Calibri" w:hAnsi="Calibri"/>
                <w:b w:val="0"/>
                <w:sz w:val="18"/>
              </w:rPr>
              <w:t>8.40</w:t>
            </w:r>
          </w:p>
        </w:tc>
        <w:tc>
          <w:tcPr>
            <w:tcW w:type="dxa" w:w="1435"/>
            <w:vAlign w:val="center"/>
          </w:tcPr>
          <w:p>
            <w:pPr>
              <w:keepNext w:val="0"/>
              <w:spacing w:after="0" w:before="0" w:line="240" w:lineRule="auto"/>
              <w:jc w:val="right"/>
            </w:pPr>
            <w:r>
              <w:rPr>
                <w:rFonts w:ascii="Calibri" w:hAnsi="Calibri"/>
                <w:b w:val="0"/>
                <w:sz w:val="18"/>
              </w:rPr>
              <w:t>13.55</w:t>
            </w:r>
          </w:p>
        </w:tc>
      </w:tr>
      <w:tr>
        <w:trPr>
          <w:cantSplit/>
        </w:trPr>
        <w:tc>
          <w:tcPr>
            <w:tcW w:type="dxa" w:w="1613"/>
            <w:vAlign w:val="center"/>
          </w:tcPr>
          <w:p>
            <w:pPr>
              <w:keepNext w:val="0"/>
              <w:spacing w:after="0" w:before="0" w:line="240" w:lineRule="auto"/>
            </w:pPr>
            <w:r>
              <w:rPr>
                <w:rFonts w:ascii="Calibri" w:hAnsi="Calibri"/>
                <w:b w:val="0"/>
                <w:sz w:val="18"/>
              </w:rPr>
              <w:t>60 d</w:t>
            </w:r>
          </w:p>
        </w:tc>
        <w:tc>
          <w:tcPr>
            <w:tcW w:type="dxa" w:w="1435"/>
            <w:vAlign w:val="center"/>
          </w:tcPr>
          <w:p>
            <w:pPr>
              <w:keepNext w:val="0"/>
              <w:spacing w:after="0" w:before="0" w:line="240" w:lineRule="auto"/>
              <w:jc w:val="right"/>
            </w:pPr>
            <w:r>
              <w:rPr>
                <w:rFonts w:ascii="Calibri" w:hAnsi="Calibri"/>
                <w:b w:val="0"/>
                <w:sz w:val="18"/>
              </w:rPr>
              <w:t>0.962</w:t>
            </w:r>
          </w:p>
        </w:tc>
        <w:tc>
          <w:tcPr>
            <w:tcW w:type="dxa" w:w="1435"/>
            <w:vAlign w:val="center"/>
          </w:tcPr>
          <w:p>
            <w:pPr>
              <w:keepNext w:val="0"/>
              <w:spacing w:after="0" w:before="0" w:line="240" w:lineRule="auto"/>
              <w:jc w:val="right"/>
            </w:pPr>
            <w:r>
              <w:rPr>
                <w:rFonts w:ascii="Calibri" w:hAnsi="Calibri"/>
                <w:b w:val="0"/>
                <w:sz w:val="18"/>
              </w:rPr>
              <w:t>0.743</w:t>
            </w:r>
          </w:p>
        </w:tc>
        <w:tc>
          <w:tcPr>
            <w:tcW w:type="dxa" w:w="1435"/>
            <w:vAlign w:val="center"/>
          </w:tcPr>
          <w:p>
            <w:pPr>
              <w:keepNext w:val="0"/>
              <w:spacing w:after="0" w:before="0" w:line="240" w:lineRule="auto"/>
              <w:jc w:val="right"/>
            </w:pPr>
            <w:r>
              <w:rPr>
                <w:rFonts w:ascii="Calibri" w:hAnsi="Calibri"/>
                <w:b w:val="0"/>
                <w:sz w:val="18"/>
              </w:rPr>
              <w:t>6</w:t>
            </w:r>
          </w:p>
        </w:tc>
        <w:tc>
          <w:tcPr>
            <w:tcW w:type="dxa" w:w="1435"/>
            <w:vAlign w:val="center"/>
          </w:tcPr>
          <w:p>
            <w:pPr>
              <w:keepNext w:val="0"/>
              <w:spacing w:after="0" w:before="0" w:line="240" w:lineRule="auto"/>
              <w:jc w:val="right"/>
            </w:pPr>
            <w:r>
              <w:rPr>
                <w:rFonts w:ascii="Calibri" w:hAnsi="Calibri"/>
                <w:b w:val="0"/>
                <w:sz w:val="18"/>
              </w:rPr>
              <w:t>7</w:t>
            </w:r>
          </w:p>
        </w:tc>
        <w:tc>
          <w:tcPr>
            <w:tcW w:type="dxa" w:w="1435"/>
            <w:vAlign w:val="center"/>
          </w:tcPr>
          <w:p>
            <w:pPr>
              <w:keepNext w:val="0"/>
              <w:spacing w:after="0" w:before="0" w:line="240" w:lineRule="auto"/>
              <w:jc w:val="right"/>
            </w:pPr>
            <w:r>
              <w:rPr>
                <w:rFonts w:ascii="Calibri" w:hAnsi="Calibri"/>
                <w:b w:val="0"/>
                <w:sz w:val="18"/>
              </w:rPr>
              <w:t>5.08</w:t>
            </w:r>
          </w:p>
        </w:tc>
        <w:tc>
          <w:tcPr>
            <w:tcW w:type="dxa" w:w="1435"/>
            <w:vAlign w:val="center"/>
          </w:tcPr>
          <w:p>
            <w:pPr>
              <w:keepNext w:val="0"/>
              <w:spacing w:after="0" w:before="0" w:line="240" w:lineRule="auto"/>
              <w:jc w:val="right"/>
            </w:pPr>
            <w:r>
              <w:rPr>
                <w:rFonts w:ascii="Calibri" w:hAnsi="Calibri"/>
                <w:b w:val="0"/>
                <w:sz w:val="18"/>
              </w:rPr>
              <w:t>6.38</w:t>
            </w:r>
          </w:p>
        </w:tc>
      </w:tr>
      <w:tr>
        <w:trPr>
          <w:cantSplit/>
        </w:trPr>
        <w:tc>
          <w:tcPr>
            <w:tcW w:type="dxa" w:w="1613"/>
            <w:vAlign w:val="center"/>
          </w:tcPr>
          <w:p>
            <w:pPr>
              <w:keepNext/>
              <w:spacing w:after="0" w:before="0" w:line="240" w:lineRule="auto"/>
            </w:pPr>
            <w:r>
              <w:rPr>
                <w:rFonts w:ascii="Calibri" w:hAnsi="Calibri"/>
                <w:b w:val="0"/>
                <w:sz w:val="18"/>
              </w:rPr>
              <w:t>90 d</w:t>
            </w:r>
          </w:p>
        </w:tc>
        <w:tc>
          <w:tcPr>
            <w:tcW w:type="dxa" w:w="1435"/>
            <w:vAlign w:val="center"/>
          </w:tcPr>
          <w:p>
            <w:pPr>
              <w:keepNext/>
              <w:spacing w:after="0" w:before="0" w:line="240" w:lineRule="auto"/>
              <w:jc w:val="right"/>
            </w:pPr>
            <w:r>
              <w:rPr>
                <w:rFonts w:ascii="Calibri" w:hAnsi="Calibri"/>
                <w:b w:val="0"/>
                <w:sz w:val="18"/>
              </w:rPr>
              <w:t>0.965</w:t>
            </w:r>
          </w:p>
        </w:tc>
        <w:tc>
          <w:tcPr>
            <w:tcW w:type="dxa" w:w="1435"/>
            <w:vAlign w:val="center"/>
          </w:tcPr>
          <w:p>
            <w:pPr>
              <w:keepNext/>
              <w:spacing w:after="0" w:before="0" w:line="240" w:lineRule="auto"/>
              <w:jc w:val="right"/>
            </w:pPr>
            <w:r>
              <w:rPr>
                <w:rFonts w:ascii="Calibri" w:hAnsi="Calibri"/>
                <w:b w:val="0"/>
                <w:sz w:val="18"/>
              </w:rPr>
              <w:t>0.766</w:t>
            </w:r>
          </w:p>
        </w:tc>
        <w:tc>
          <w:tcPr>
            <w:tcW w:type="dxa" w:w="1435"/>
            <w:vAlign w:val="center"/>
          </w:tcPr>
          <w:p>
            <w:pPr>
              <w:keepNext/>
              <w:spacing w:after="0" w:before="0" w:line="240" w:lineRule="auto"/>
              <w:jc w:val="right"/>
            </w:pPr>
            <w:r>
              <w:rPr>
                <w:rFonts w:ascii="Calibri" w:hAnsi="Calibri"/>
                <w:b w:val="0"/>
                <w:sz w:val="18"/>
              </w:rPr>
              <w:t>4</w:t>
            </w:r>
          </w:p>
        </w:tc>
        <w:tc>
          <w:tcPr>
            <w:tcW w:type="dxa" w:w="1435"/>
            <w:vAlign w:val="center"/>
          </w:tcPr>
          <w:p>
            <w:pPr>
              <w:keepNext/>
              <w:spacing w:after="0" w:before="0" w:line="240" w:lineRule="auto"/>
              <w:jc w:val="right"/>
            </w:pPr>
            <w:r>
              <w:rPr>
                <w:rFonts w:ascii="Calibri" w:hAnsi="Calibri"/>
                <w:b w:val="0"/>
                <w:sz w:val="18"/>
              </w:rPr>
              <w:t>4</w:t>
            </w:r>
          </w:p>
        </w:tc>
        <w:tc>
          <w:tcPr>
            <w:tcW w:type="dxa" w:w="1435"/>
            <w:vAlign w:val="center"/>
          </w:tcPr>
          <w:p>
            <w:pPr>
              <w:keepNext/>
              <w:spacing w:after="0" w:before="0" w:line="240" w:lineRule="auto"/>
              <w:jc w:val="right"/>
            </w:pPr>
            <w:r>
              <w:rPr>
                <w:rFonts w:ascii="Calibri" w:hAnsi="Calibri"/>
                <w:b w:val="0"/>
                <w:sz w:val="18"/>
              </w:rPr>
              <w:t>3.20</w:t>
            </w:r>
          </w:p>
        </w:tc>
        <w:tc>
          <w:tcPr>
            <w:tcW w:type="dxa" w:w="1435"/>
            <w:vAlign w:val="center"/>
          </w:tcPr>
          <w:p>
            <w:pPr>
              <w:keepNext/>
              <w:spacing w:after="0" w:before="0" w:line="240" w:lineRule="auto"/>
              <w:jc w:val="right"/>
            </w:pPr>
            <w:r>
              <w:rPr>
                <w:rFonts w:ascii="Calibri" w:hAnsi="Calibri"/>
                <w:b w:val="0"/>
                <w:sz w:val="18"/>
              </w:rPr>
              <w:t>3.79</w:t>
            </w:r>
          </w:p>
        </w:tc>
      </w:tr>
    </w:tbl>
    <w:p>
      <w:pPr>
        <w:keepLines/>
        <w:spacing w:before="60" w:after="120"/>
      </w:pPr>
      <w:r>
        <w:rPr>
          <w:sz w:val="18"/>
        </w:rPr>
        <w:t>Measurements from the real public datasets specified in this section. Spectral ranks are bounded by the number of complete windows, which falls as window width increases.</w:t>
      </w:r>
    </w:p>
    <w:p>
      <w:pPr>
        <w:keepNext/>
        <w:spacing w:after="60"/>
        <w:jc w:val="center"/>
      </w:pPr>
      <w:r>
        <w:drawing>
          <wp:inline xmlns:a="http://schemas.openxmlformats.org/drawingml/2006/main" xmlns:pic="http://schemas.openxmlformats.org/drawingml/2006/picture">
            <wp:extent cx="6309360" cy="3428287"/>
            <wp:docPr id="60" name="Picture 60"/>
            <wp:cNvGraphicFramePr>
              <a:graphicFrameLocks noChangeAspect="1"/>
            </wp:cNvGraphicFramePr>
            <a:graphic>
              <a:graphicData uri="http://schemas.openxmlformats.org/drawingml/2006/picture">
                <pic:pic>
                  <pic:nvPicPr>
                    <pic:cNvPr id="0" name="60_image60.png"/>
                    <pic:cNvPicPr/>
                  </pic:nvPicPr>
                  <pic:blipFill>
                    <a:blip r:embed="rId73"/>
                    <a:stretch>
                      <a:fillRect/>
                    </a:stretch>
                  </pic:blipFill>
                  <pic:spPr>
                    <a:xfrm>
                      <a:off x="0" y="0"/>
                      <a:ext cx="6309360" cy="3428287"/>
                    </a:xfrm>
                    <a:prstGeom prst="rect"/>
                  </pic:spPr>
                </pic:pic>
              </a:graphicData>
            </a:graphic>
          </wp:inline>
        </w:drawing>
      </w:r>
    </w:p>
    <w:p>
      <w:pPr>
        <w:pStyle w:val="Caption"/>
      </w:pPr>
      <w:r>
        <w:t>Figure 60. Node-level activity retains substantially more adjacent-window continuity than directed relation activity.</w:t>
      </w:r>
    </w:p>
    <w:p>
      <w:r>
        <w:t>Across the measured scales, directed-dyad activity has broader entropy-effective spectral support than node activity. Wider windows reduce both ranks. These ranks are also bounded by the number of windows, which decreases as windows widen; within-scale node–dyad comparisons and cross-scale trends should therefore be interpreted separately.</w:t>
      </w:r>
    </w:p>
    <w:p>
      <w:pPr>
        <w:keepNext/>
        <w:spacing w:after="60"/>
        <w:jc w:val="center"/>
      </w:pPr>
      <w:r>
        <w:drawing>
          <wp:inline xmlns:a="http://schemas.openxmlformats.org/drawingml/2006/main" xmlns:pic="http://schemas.openxmlformats.org/drawingml/2006/picture">
            <wp:extent cx="6309360" cy="3430831"/>
            <wp:docPr id="61" name="Picture 61"/>
            <wp:cNvGraphicFramePr>
              <a:graphicFrameLocks noChangeAspect="1"/>
            </wp:cNvGraphicFramePr>
            <a:graphic>
              <a:graphicData uri="http://schemas.openxmlformats.org/drawingml/2006/picture">
                <pic:pic>
                  <pic:nvPicPr>
                    <pic:cNvPr id="0" name="61_image66.png"/>
                    <pic:cNvPicPr/>
                  </pic:nvPicPr>
                  <pic:blipFill>
                    <a:blip r:embed="rId74"/>
                    <a:stretch>
                      <a:fillRect/>
                    </a:stretch>
                  </pic:blipFill>
                  <pic:spPr>
                    <a:xfrm>
                      <a:off x="0" y="0"/>
                      <a:ext cx="6309360" cy="3430831"/>
                    </a:xfrm>
                    <a:prstGeom prst="rect"/>
                  </pic:spPr>
                </pic:pic>
              </a:graphicData>
            </a:graphic>
          </wp:inline>
        </w:drawing>
      </w:r>
    </w:p>
    <w:p>
      <w:pPr>
        <w:pStyle w:val="Caption"/>
      </w:pPr>
      <w:r>
        <w:t>Figure 61. Directed-dyad state carries broader temporal spectral support across the measured scales.</w:t>
      </w:r>
    </w:p>
    <w:p>
      <w:pPr>
        <w:pStyle w:val="Heading3"/>
      </w:pPr>
      <w:r>
        <w:t>8.4.4 Degree changes the activity regime without turning lifetime topology into current occupancy</w:t>
      </w:r>
    </w:p>
    <w:p>
      <w:r>
        <w:t>Static degree strongly changes the probability that a node remains active, but it does not make the whole lifetime neighbourhood active at once. The highest-degree group illustrates the separation most clearly: degree-78+ nodes are active in the next 30-day window 99.9% of the time, yet their median current-neighbour coverage is only 23.5%.</w:t>
      </w:r>
    </w:p>
    <w:p>
      <w:pPr>
        <w:pStyle w:val="Caption"/>
        <w:keepNext/>
      </w:pPr>
      <w:r>
        <w:t>Table 84. Activity by static-degree group.</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2153"/>
        <w:gridCol w:w="2153"/>
        <w:gridCol w:w="2153"/>
        <w:gridCol w:w="2153"/>
      </w:tblGrid>
      <w:tr>
        <w:trPr>
          <w:cantSplit/>
          <w:tblHeader/>
        </w:trPr>
        <w:tc>
          <w:tcPr>
            <w:tcW w:type="dxa" w:w="1613"/>
            <w:vAlign w:val="center"/>
            <w:shd w:fill="F2F2F2"/>
          </w:tcPr>
          <w:p>
            <w:pPr>
              <w:keepNext/>
              <w:spacing w:after="0" w:before="0" w:line="240" w:lineRule="auto"/>
            </w:pPr>
            <w:r>
              <w:rPr>
                <w:rFonts w:ascii="Calibri" w:hAnsi="Calibri"/>
                <w:b/>
                <w:sz w:val="19"/>
              </w:rPr>
              <w:t>Static degree</w:t>
            </w:r>
          </w:p>
        </w:tc>
        <w:tc>
          <w:tcPr>
            <w:tcW w:type="dxa" w:w="2153"/>
            <w:vAlign w:val="center"/>
            <w:shd w:fill="F2F2F2"/>
          </w:tcPr>
          <w:p>
            <w:pPr>
              <w:keepNext/>
              <w:spacing w:after="0" w:before="0" w:line="240" w:lineRule="auto"/>
            </w:pPr>
            <w:r>
              <w:rPr>
                <w:rFonts w:ascii="Calibri" w:hAnsi="Calibri"/>
                <w:b/>
                <w:sz w:val="19"/>
              </w:rPr>
              <w:t>Nodes</w:t>
            </w:r>
          </w:p>
        </w:tc>
        <w:tc>
          <w:tcPr>
            <w:tcW w:type="dxa" w:w="2153"/>
            <w:vAlign w:val="center"/>
            <w:shd w:fill="F2F2F2"/>
          </w:tcPr>
          <w:p>
            <w:pPr>
              <w:keepNext/>
              <w:spacing w:after="0" w:before="0" w:line="240" w:lineRule="auto"/>
            </w:pPr>
            <w:r>
              <w:rPr>
                <w:rFonts w:ascii="Calibri" w:hAnsi="Calibri"/>
                <w:b/>
                <w:sz w:val="19"/>
              </w:rPr>
              <w:t>Median coverage</w:t>
            </w:r>
          </w:p>
        </w:tc>
        <w:tc>
          <w:tcPr>
            <w:tcW w:type="dxa" w:w="2153"/>
            <w:vAlign w:val="center"/>
            <w:shd w:fill="F2F2F2"/>
          </w:tcPr>
          <w:p>
            <w:pPr>
              <w:keepNext/>
              <w:spacing w:after="0" w:before="0" w:line="240" w:lineRule="auto"/>
            </w:pPr>
            <w:r>
              <w:rPr>
                <w:rFonts w:ascii="Calibri" w:hAnsi="Calibri"/>
                <w:b/>
                <w:sz w:val="19"/>
              </w:rPr>
              <w:t>Active next month</w:t>
            </w:r>
          </w:p>
        </w:tc>
        <w:tc>
          <w:tcPr>
            <w:tcW w:type="dxa" w:w="2153"/>
            <w:vAlign w:val="center"/>
            <w:shd w:fill="F2F2F2"/>
          </w:tcPr>
          <w:p>
            <w:pPr>
              <w:keepNext/>
              <w:spacing w:after="0" w:before="0" w:line="240" w:lineRule="auto"/>
            </w:pPr>
            <w:r>
              <w:rPr>
                <w:rFonts w:ascii="Calibri" w:hAnsi="Calibri"/>
                <w:b/>
                <w:sz w:val="19"/>
              </w:rPr>
              <w:t>Median partner retention</w:t>
            </w:r>
          </w:p>
        </w:tc>
      </w:tr>
      <w:tr>
        <w:trPr>
          <w:cantSplit/>
        </w:trPr>
        <w:tc>
          <w:tcPr>
            <w:tcW w:type="dxa" w:w="1613"/>
            <w:vAlign w:val="center"/>
          </w:tcPr>
          <w:p>
            <w:pPr>
              <w:keepNext w:val="0"/>
              <w:spacing w:after="0" w:before="0" w:line="240" w:lineRule="auto"/>
              <w:jc w:val="right"/>
            </w:pPr>
            <w:r>
              <w:rPr>
                <w:rFonts w:ascii="Calibri" w:hAnsi="Calibri"/>
                <w:b w:val="0"/>
                <w:sz w:val="19"/>
              </w:rPr>
              <w:t>1–6</w:t>
            </w:r>
          </w:p>
        </w:tc>
        <w:tc>
          <w:tcPr>
            <w:tcW w:type="dxa" w:w="2153"/>
            <w:vAlign w:val="center"/>
          </w:tcPr>
          <w:p>
            <w:pPr>
              <w:keepNext w:val="0"/>
              <w:spacing w:after="0" w:before="0" w:line="240" w:lineRule="auto"/>
              <w:jc w:val="right"/>
            </w:pPr>
            <w:r>
              <w:rPr>
                <w:rFonts w:ascii="Calibri" w:hAnsi="Calibri"/>
                <w:b w:val="0"/>
                <w:sz w:val="19"/>
              </w:rPr>
              <w:t>247</w:t>
            </w:r>
          </w:p>
        </w:tc>
        <w:tc>
          <w:tcPr>
            <w:tcW w:type="dxa" w:w="2153"/>
            <w:vAlign w:val="center"/>
          </w:tcPr>
          <w:p>
            <w:pPr>
              <w:keepNext w:val="0"/>
              <w:spacing w:after="0" w:before="0" w:line="240" w:lineRule="auto"/>
              <w:jc w:val="right"/>
            </w:pPr>
            <w:r>
              <w:rPr>
                <w:rFonts w:ascii="Calibri" w:hAnsi="Calibri"/>
                <w:b w:val="0"/>
                <w:sz w:val="19"/>
              </w:rPr>
              <w:t>33.3%</w:t>
            </w:r>
          </w:p>
        </w:tc>
        <w:tc>
          <w:tcPr>
            <w:tcW w:type="dxa" w:w="2153"/>
            <w:vAlign w:val="center"/>
          </w:tcPr>
          <w:p>
            <w:pPr>
              <w:keepNext w:val="0"/>
              <w:spacing w:after="0" w:before="0" w:line="240" w:lineRule="auto"/>
              <w:jc w:val="right"/>
            </w:pPr>
            <w:r>
              <w:rPr>
                <w:rFonts w:ascii="Calibri" w:hAnsi="Calibri"/>
                <w:b w:val="0"/>
                <w:sz w:val="19"/>
              </w:rPr>
              <w:t>50.6%</w:t>
            </w:r>
          </w:p>
        </w:tc>
        <w:tc>
          <w:tcPr>
            <w:tcW w:type="dxa" w:w="2153"/>
            <w:vAlign w:val="center"/>
          </w:tcPr>
          <w:p>
            <w:pPr>
              <w:keepNext w:val="0"/>
              <w:spacing w:after="0" w:before="0" w:line="240" w:lineRule="auto"/>
              <w:jc w:val="right"/>
            </w:pPr>
            <w:r>
              <w:rPr>
                <w:rFonts w:ascii="Calibri" w:hAnsi="Calibri"/>
                <w:b w:val="0"/>
                <w:sz w:val="19"/>
              </w:rPr>
              <w:t>1.000</w:t>
            </w:r>
          </w:p>
        </w:tc>
      </w:tr>
      <w:tr>
        <w:trPr>
          <w:cantSplit/>
        </w:trPr>
        <w:tc>
          <w:tcPr>
            <w:tcW w:type="dxa" w:w="1613"/>
            <w:vAlign w:val="center"/>
          </w:tcPr>
          <w:p>
            <w:pPr>
              <w:keepNext w:val="0"/>
              <w:spacing w:after="0" w:before="0" w:line="240" w:lineRule="auto"/>
              <w:jc w:val="right"/>
            </w:pPr>
            <w:r>
              <w:rPr>
                <w:rFonts w:ascii="Calibri" w:hAnsi="Calibri"/>
                <w:b w:val="0"/>
                <w:sz w:val="19"/>
              </w:rPr>
              <w:t>7–22</w:t>
            </w:r>
          </w:p>
        </w:tc>
        <w:tc>
          <w:tcPr>
            <w:tcW w:type="dxa" w:w="2153"/>
            <w:vAlign w:val="center"/>
          </w:tcPr>
          <w:p>
            <w:pPr>
              <w:keepNext w:val="0"/>
              <w:spacing w:after="0" w:before="0" w:line="240" w:lineRule="auto"/>
              <w:jc w:val="right"/>
            </w:pPr>
            <w:r>
              <w:rPr>
                <w:rFonts w:ascii="Calibri" w:hAnsi="Calibri"/>
                <w:b w:val="0"/>
                <w:sz w:val="19"/>
              </w:rPr>
              <w:t>252</w:t>
            </w:r>
          </w:p>
        </w:tc>
        <w:tc>
          <w:tcPr>
            <w:tcW w:type="dxa" w:w="2153"/>
            <w:vAlign w:val="center"/>
          </w:tcPr>
          <w:p>
            <w:pPr>
              <w:keepNext w:val="0"/>
              <w:spacing w:after="0" w:before="0" w:line="240" w:lineRule="auto"/>
              <w:jc w:val="right"/>
            </w:pPr>
            <w:r>
              <w:rPr>
                <w:rFonts w:ascii="Calibri" w:hAnsi="Calibri"/>
                <w:b w:val="0"/>
                <w:sz w:val="19"/>
              </w:rPr>
              <w:t>21.1%</w:t>
            </w:r>
          </w:p>
        </w:tc>
        <w:tc>
          <w:tcPr>
            <w:tcW w:type="dxa" w:w="2153"/>
            <w:vAlign w:val="center"/>
          </w:tcPr>
          <w:p>
            <w:pPr>
              <w:keepNext w:val="0"/>
              <w:spacing w:after="0" w:before="0" w:line="240" w:lineRule="auto"/>
              <w:jc w:val="right"/>
            </w:pPr>
            <w:r>
              <w:rPr>
                <w:rFonts w:ascii="Calibri" w:hAnsi="Calibri"/>
                <w:b w:val="0"/>
                <w:sz w:val="19"/>
              </w:rPr>
              <w:t>87.5%</w:t>
            </w:r>
          </w:p>
        </w:tc>
        <w:tc>
          <w:tcPr>
            <w:tcW w:type="dxa" w:w="2153"/>
            <w:vAlign w:val="center"/>
          </w:tcPr>
          <w:p>
            <w:pPr>
              <w:keepNext w:val="0"/>
              <w:spacing w:after="0" w:before="0" w:line="240" w:lineRule="auto"/>
              <w:jc w:val="right"/>
            </w:pPr>
            <w:r>
              <w:rPr>
                <w:rFonts w:ascii="Calibri" w:hAnsi="Calibri"/>
                <w:b w:val="0"/>
                <w:sz w:val="19"/>
              </w:rPr>
              <w:t>0.500</w:t>
            </w:r>
          </w:p>
        </w:tc>
      </w:tr>
      <w:tr>
        <w:trPr>
          <w:cantSplit/>
        </w:trPr>
        <w:tc>
          <w:tcPr>
            <w:tcW w:type="dxa" w:w="1613"/>
            <w:vAlign w:val="center"/>
          </w:tcPr>
          <w:p>
            <w:pPr>
              <w:keepNext w:val="0"/>
              <w:spacing w:after="0" w:before="0" w:line="240" w:lineRule="auto"/>
              <w:jc w:val="right"/>
            </w:pPr>
            <w:r>
              <w:rPr>
                <w:rFonts w:ascii="Calibri" w:hAnsi="Calibri"/>
                <w:b w:val="0"/>
                <w:sz w:val="19"/>
              </w:rPr>
              <w:t>23–44</w:t>
            </w:r>
          </w:p>
        </w:tc>
        <w:tc>
          <w:tcPr>
            <w:tcW w:type="dxa" w:w="2153"/>
            <w:vAlign w:val="center"/>
          </w:tcPr>
          <w:p>
            <w:pPr>
              <w:keepNext w:val="0"/>
              <w:spacing w:after="0" w:before="0" w:line="240" w:lineRule="auto"/>
              <w:jc w:val="right"/>
            </w:pPr>
            <w:r>
              <w:rPr>
                <w:rFonts w:ascii="Calibri" w:hAnsi="Calibri"/>
                <w:b w:val="0"/>
                <w:sz w:val="19"/>
              </w:rPr>
              <w:t>240</w:t>
            </w:r>
          </w:p>
        </w:tc>
        <w:tc>
          <w:tcPr>
            <w:tcW w:type="dxa" w:w="2153"/>
            <w:vAlign w:val="center"/>
          </w:tcPr>
          <w:p>
            <w:pPr>
              <w:keepNext w:val="0"/>
              <w:spacing w:after="0" w:before="0" w:line="240" w:lineRule="auto"/>
              <w:jc w:val="right"/>
            </w:pPr>
            <w:r>
              <w:rPr>
                <w:rFonts w:ascii="Calibri" w:hAnsi="Calibri"/>
                <w:b w:val="0"/>
                <w:sz w:val="19"/>
              </w:rPr>
              <w:t>21.4%</w:t>
            </w:r>
          </w:p>
        </w:tc>
        <w:tc>
          <w:tcPr>
            <w:tcW w:type="dxa" w:w="2153"/>
            <w:vAlign w:val="center"/>
          </w:tcPr>
          <w:p>
            <w:pPr>
              <w:keepNext w:val="0"/>
              <w:spacing w:after="0" w:before="0" w:line="240" w:lineRule="auto"/>
              <w:jc w:val="right"/>
            </w:pPr>
            <w:r>
              <w:rPr>
                <w:rFonts w:ascii="Calibri" w:hAnsi="Calibri"/>
                <w:b w:val="0"/>
                <w:sz w:val="19"/>
              </w:rPr>
              <w:t>98.5%</w:t>
            </w:r>
          </w:p>
        </w:tc>
        <w:tc>
          <w:tcPr>
            <w:tcW w:type="dxa" w:w="2153"/>
            <w:vAlign w:val="center"/>
          </w:tcPr>
          <w:p>
            <w:pPr>
              <w:keepNext w:val="0"/>
              <w:spacing w:after="0" w:before="0" w:line="240" w:lineRule="auto"/>
              <w:jc w:val="right"/>
            </w:pPr>
            <w:r>
              <w:rPr>
                <w:rFonts w:ascii="Calibri" w:hAnsi="Calibri"/>
                <w:b w:val="0"/>
                <w:sz w:val="19"/>
              </w:rPr>
              <w:t>0.571</w:t>
            </w:r>
          </w:p>
        </w:tc>
      </w:tr>
      <w:tr>
        <w:trPr>
          <w:cantSplit/>
        </w:trPr>
        <w:tc>
          <w:tcPr>
            <w:tcW w:type="dxa" w:w="1613"/>
            <w:vAlign w:val="center"/>
          </w:tcPr>
          <w:p>
            <w:pPr>
              <w:keepNext w:val="0"/>
              <w:spacing w:after="0" w:before="0" w:line="240" w:lineRule="auto"/>
              <w:jc w:val="right"/>
            </w:pPr>
            <w:r>
              <w:rPr>
                <w:rFonts w:ascii="Calibri" w:hAnsi="Calibri"/>
                <w:b w:val="0"/>
                <w:sz w:val="19"/>
              </w:rPr>
              <w:t>45–77</w:t>
            </w:r>
          </w:p>
        </w:tc>
        <w:tc>
          <w:tcPr>
            <w:tcW w:type="dxa" w:w="2153"/>
            <w:vAlign w:val="center"/>
          </w:tcPr>
          <w:p>
            <w:pPr>
              <w:keepNext w:val="0"/>
              <w:spacing w:after="0" w:before="0" w:line="240" w:lineRule="auto"/>
              <w:jc w:val="right"/>
            </w:pPr>
            <w:r>
              <w:rPr>
                <w:rFonts w:ascii="Calibri" w:hAnsi="Calibri"/>
                <w:b w:val="0"/>
                <w:sz w:val="19"/>
              </w:rPr>
              <w:t>147</w:t>
            </w:r>
          </w:p>
        </w:tc>
        <w:tc>
          <w:tcPr>
            <w:tcW w:type="dxa" w:w="2153"/>
            <w:vAlign w:val="center"/>
          </w:tcPr>
          <w:p>
            <w:pPr>
              <w:keepNext w:val="0"/>
              <w:spacing w:after="0" w:before="0" w:line="240" w:lineRule="auto"/>
              <w:jc w:val="right"/>
            </w:pPr>
            <w:r>
              <w:rPr>
                <w:rFonts w:ascii="Calibri" w:hAnsi="Calibri"/>
                <w:b w:val="0"/>
                <w:sz w:val="19"/>
              </w:rPr>
              <w:t>22.2%</w:t>
            </w:r>
          </w:p>
        </w:tc>
        <w:tc>
          <w:tcPr>
            <w:tcW w:type="dxa" w:w="2153"/>
            <w:vAlign w:val="center"/>
          </w:tcPr>
          <w:p>
            <w:pPr>
              <w:keepNext w:val="0"/>
              <w:spacing w:after="0" w:before="0" w:line="240" w:lineRule="auto"/>
              <w:jc w:val="right"/>
            </w:pPr>
            <w:r>
              <w:rPr>
                <w:rFonts w:ascii="Calibri" w:hAnsi="Calibri"/>
                <w:b w:val="0"/>
                <w:sz w:val="19"/>
              </w:rPr>
              <w:t>99.3%</w:t>
            </w:r>
          </w:p>
        </w:tc>
        <w:tc>
          <w:tcPr>
            <w:tcW w:type="dxa" w:w="2153"/>
            <w:vAlign w:val="center"/>
          </w:tcPr>
          <w:p>
            <w:pPr>
              <w:keepNext w:val="0"/>
              <w:spacing w:after="0" w:before="0" w:line="240" w:lineRule="auto"/>
              <w:jc w:val="right"/>
            </w:pPr>
            <w:r>
              <w:rPr>
                <w:rFonts w:ascii="Calibri" w:hAnsi="Calibri"/>
                <w:b w:val="0"/>
                <w:sz w:val="19"/>
              </w:rPr>
              <w:t>0.562</w:t>
            </w:r>
          </w:p>
        </w:tc>
      </w:tr>
      <w:tr>
        <w:trPr>
          <w:cantSplit/>
        </w:trPr>
        <w:tc>
          <w:tcPr>
            <w:tcW w:type="dxa" w:w="1613"/>
            <w:vAlign w:val="center"/>
          </w:tcPr>
          <w:p>
            <w:pPr>
              <w:keepNext/>
              <w:spacing w:after="0" w:before="0" w:line="240" w:lineRule="auto"/>
              <w:jc w:val="right"/>
            </w:pPr>
            <w:r>
              <w:rPr>
                <w:rFonts w:ascii="Calibri" w:hAnsi="Calibri"/>
                <w:b w:val="0"/>
                <w:sz w:val="19"/>
              </w:rPr>
              <w:t>78+</w:t>
            </w:r>
          </w:p>
        </w:tc>
        <w:tc>
          <w:tcPr>
            <w:tcW w:type="dxa" w:w="2153"/>
            <w:vAlign w:val="center"/>
          </w:tcPr>
          <w:p>
            <w:pPr>
              <w:keepNext/>
              <w:spacing w:after="0" w:before="0" w:line="240" w:lineRule="auto"/>
              <w:jc w:val="right"/>
            </w:pPr>
            <w:r>
              <w:rPr>
                <w:rFonts w:ascii="Calibri" w:hAnsi="Calibri"/>
                <w:b w:val="0"/>
                <w:sz w:val="19"/>
              </w:rPr>
              <w:t>100</w:t>
            </w:r>
          </w:p>
        </w:tc>
        <w:tc>
          <w:tcPr>
            <w:tcW w:type="dxa" w:w="2153"/>
            <w:vAlign w:val="center"/>
          </w:tcPr>
          <w:p>
            <w:pPr>
              <w:keepNext/>
              <w:spacing w:after="0" w:before="0" w:line="240" w:lineRule="auto"/>
              <w:jc w:val="right"/>
            </w:pPr>
            <w:r>
              <w:rPr>
                <w:rFonts w:ascii="Calibri" w:hAnsi="Calibri"/>
                <w:b w:val="0"/>
                <w:sz w:val="19"/>
              </w:rPr>
              <w:t>23.5%</w:t>
            </w:r>
          </w:p>
        </w:tc>
        <w:tc>
          <w:tcPr>
            <w:tcW w:type="dxa" w:w="2153"/>
            <w:vAlign w:val="center"/>
          </w:tcPr>
          <w:p>
            <w:pPr>
              <w:keepNext/>
              <w:spacing w:after="0" w:before="0" w:line="240" w:lineRule="auto"/>
              <w:jc w:val="right"/>
            </w:pPr>
            <w:r>
              <w:rPr>
                <w:rFonts w:ascii="Calibri" w:hAnsi="Calibri"/>
                <w:b w:val="0"/>
                <w:sz w:val="19"/>
              </w:rPr>
              <w:t>99.9%</w:t>
            </w:r>
          </w:p>
        </w:tc>
        <w:tc>
          <w:tcPr>
            <w:tcW w:type="dxa" w:w="2153"/>
            <w:vAlign w:val="center"/>
          </w:tcPr>
          <w:p>
            <w:pPr>
              <w:keepNext/>
              <w:spacing w:after="0" w:before="0" w:line="240" w:lineRule="auto"/>
              <w:jc w:val="right"/>
            </w:pPr>
            <w:r>
              <w:rPr>
                <w:rFonts w:ascii="Calibri" w:hAnsi="Calibri"/>
                <w:b w:val="0"/>
                <w:sz w:val="19"/>
              </w:rPr>
              <w:t>0.570</w:t>
            </w:r>
          </w:p>
        </w:tc>
      </w:tr>
    </w:tbl>
    <w:p>
      <w:pPr>
        <w:keepLines/>
        <w:spacing w:before="60" w:after="120"/>
      </w:pPr>
      <w:r>
        <w:rPr>
          <w:sz w:val="18"/>
        </w:rPr>
        <w:t>Measurements from the real public datasets specified in this section.</w:t>
      </w:r>
    </w:p>
    <w:p>
      <w:pPr>
        <w:keepNext/>
        <w:spacing w:after="60"/>
        <w:jc w:val="center"/>
      </w:pPr>
      <w:r>
        <w:drawing>
          <wp:inline xmlns:a="http://schemas.openxmlformats.org/drawingml/2006/main" xmlns:pic="http://schemas.openxmlformats.org/drawingml/2006/picture">
            <wp:extent cx="6309360" cy="3339177"/>
            <wp:docPr id="62" name="Picture 62"/>
            <wp:cNvGraphicFramePr>
              <a:graphicFrameLocks noChangeAspect="1"/>
            </wp:cNvGraphicFramePr>
            <a:graphic>
              <a:graphicData uri="http://schemas.openxmlformats.org/drawingml/2006/picture">
                <pic:pic>
                  <pic:nvPicPr>
                    <pic:cNvPr id="0" name="62_image67.png"/>
                    <pic:cNvPicPr/>
                  </pic:nvPicPr>
                  <pic:blipFill>
                    <a:blip r:embed="rId75"/>
                    <a:stretch>
                      <a:fillRect/>
                    </a:stretch>
                  </pic:blipFill>
                  <pic:spPr>
                    <a:xfrm>
                      <a:off x="0" y="0"/>
                      <a:ext cx="6309360" cy="3339177"/>
                    </a:xfrm>
                    <a:prstGeom prst="rect"/>
                  </pic:spPr>
                </pic:pic>
              </a:graphicData>
            </a:graphic>
          </wp:inline>
        </w:drawing>
      </w:r>
    </w:p>
    <w:p>
      <w:pPr>
        <w:pStyle w:val="Caption"/>
      </w:pPr>
      <w:r>
        <w:t>Figure 62. High-degree nodes' activity and occupied neighbourhoods in real Email-Eu-core-temporal data. Persistent node activity coexists with minority coverage of lifetime neighbours in a monthly window.</w:t>
      </w:r>
    </w:p>
    <w:p>
      <w:pPr>
        <w:pStyle w:val="Heading3"/>
      </w:pPr>
      <w:r>
        <w:t>8.4.5 Long-run topology forms a persistence landscape</w:t>
      </w:r>
    </w:p>
    <w:p>
      <w:r>
        <w:t>A deterministic topology-only modularity probe yields 10 structural communities (Q=0.393). Cross-partition edges are 45.6% of long-run undirected topology but carry only 25.0% of primary-segment events. Relations inside the topology-defined basins recur more strongly and persist longer than cross-basin relations.</w:t>
      </w:r>
    </w:p>
    <w:p>
      <w:pPr>
        <w:pStyle w:val="Caption"/>
        <w:keepNext/>
      </w:pPr>
      <w:r>
        <w:t>Table 85. Persistence within and across topology partitions.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722"/>
        <w:gridCol w:w="1722"/>
        <w:gridCol w:w="1722"/>
        <w:gridCol w:w="1722"/>
        <w:gridCol w:w="1722"/>
      </w:tblGrid>
      <w:tr>
        <w:trPr>
          <w:cantSplit/>
          <w:tblHeader/>
        </w:trPr>
        <w:tc>
          <w:tcPr>
            <w:tcW w:type="dxa" w:w="1613"/>
            <w:vAlign w:val="center"/>
            <w:shd w:fill="F2F2F2"/>
          </w:tcPr>
          <w:p>
            <w:pPr>
              <w:keepNext/>
              <w:spacing w:after="0" w:before="0" w:line="240" w:lineRule="auto"/>
            </w:pPr>
            <w:r>
              <w:rPr>
                <w:rFonts w:ascii="Calibri" w:hAnsi="Calibri"/>
                <w:b/>
                <w:sz w:val="19"/>
              </w:rPr>
              <w:t>Relation class</w:t>
            </w:r>
          </w:p>
        </w:tc>
        <w:tc>
          <w:tcPr>
            <w:tcW w:type="dxa" w:w="1722"/>
            <w:vAlign w:val="center"/>
            <w:shd w:fill="F2F2F2"/>
          </w:tcPr>
          <w:p>
            <w:pPr>
              <w:keepNext/>
              <w:spacing w:after="0" w:before="0" w:line="240" w:lineRule="auto"/>
            </w:pPr>
            <w:r>
              <w:rPr>
                <w:rFonts w:ascii="Calibri" w:hAnsi="Calibri"/>
                <w:b/>
                <w:sz w:val="19"/>
              </w:rPr>
              <w:t>Active dyads</w:t>
            </w:r>
          </w:p>
        </w:tc>
        <w:tc>
          <w:tcPr>
            <w:tcW w:type="dxa" w:w="1722"/>
            <w:vAlign w:val="center"/>
            <w:shd w:fill="F2F2F2"/>
          </w:tcPr>
          <w:p>
            <w:pPr>
              <w:keepNext/>
              <w:spacing w:after="0" w:before="0" w:line="240" w:lineRule="auto"/>
            </w:pPr>
            <w:r>
              <w:rPr>
                <w:rFonts w:ascii="Calibri" w:hAnsi="Calibri"/>
                <w:b/>
                <w:sz w:val="19"/>
              </w:rPr>
              <w:t>Mean events/dyad</w:t>
            </w:r>
          </w:p>
        </w:tc>
        <w:tc>
          <w:tcPr>
            <w:tcW w:type="dxa" w:w="1722"/>
            <w:vAlign w:val="center"/>
            <w:shd w:fill="F2F2F2"/>
          </w:tcPr>
          <w:p>
            <w:pPr>
              <w:keepNext/>
              <w:spacing w:after="0" w:before="0" w:line="240" w:lineRule="auto"/>
            </w:pPr>
            <w:r>
              <w:rPr>
                <w:rFonts w:ascii="Calibri" w:hAnsi="Calibri"/>
                <w:b/>
                <w:sz w:val="19"/>
              </w:rPr>
              <w:t>Median lifetime</w:t>
            </w:r>
          </w:p>
        </w:tc>
        <w:tc>
          <w:tcPr>
            <w:tcW w:type="dxa" w:w="1722"/>
            <w:vAlign w:val="center"/>
            <w:shd w:fill="F2F2F2"/>
          </w:tcPr>
          <w:p>
            <w:pPr>
              <w:keepNext/>
              <w:spacing w:after="0" w:before="0" w:line="240" w:lineRule="auto"/>
            </w:pPr>
            <w:r>
              <w:rPr>
                <w:rFonts w:ascii="Calibri" w:hAnsi="Calibri"/>
                <w:b/>
                <w:sz w:val="19"/>
              </w:rPr>
              <w:t>Mean Jaccard</w:t>
            </w:r>
          </w:p>
        </w:tc>
        <w:tc>
          <w:tcPr>
            <w:tcW w:type="dxa" w:w="1722"/>
            <w:vAlign w:val="center"/>
            <w:shd w:fill="F2F2F2"/>
          </w:tcPr>
          <w:p>
            <w:pPr>
              <w:keepNext/>
              <w:spacing w:after="0" w:before="0" w:line="240" w:lineRule="auto"/>
            </w:pPr>
            <w:r>
              <w:rPr>
                <w:rFonts w:ascii="Calibri" w:hAnsi="Calibri"/>
                <w:b/>
                <w:sz w:val="19"/>
              </w:rPr>
              <w:t>Mean retention</w:t>
            </w:r>
          </w:p>
        </w:tc>
      </w:tr>
      <w:tr>
        <w:trPr>
          <w:cantSplit/>
        </w:trPr>
        <w:tc>
          <w:tcPr>
            <w:tcW w:type="dxa" w:w="1613"/>
            <w:vAlign w:val="center"/>
          </w:tcPr>
          <w:p>
            <w:pPr>
              <w:keepNext w:val="0"/>
              <w:spacing w:after="0" w:before="0" w:line="240" w:lineRule="auto"/>
            </w:pPr>
            <w:r>
              <w:rPr>
                <w:rFonts w:ascii="Calibri" w:hAnsi="Calibri"/>
                <w:b w:val="0"/>
                <w:sz w:val="19"/>
              </w:rPr>
              <w:t>within partition</w:t>
            </w:r>
          </w:p>
        </w:tc>
        <w:tc>
          <w:tcPr>
            <w:tcW w:type="dxa" w:w="1722"/>
            <w:vAlign w:val="center"/>
          </w:tcPr>
          <w:p>
            <w:pPr>
              <w:keepNext w:val="0"/>
              <w:spacing w:after="0" w:before="0" w:line="240" w:lineRule="auto"/>
              <w:jc w:val="right"/>
            </w:pPr>
            <w:r>
              <w:rPr>
                <w:rFonts w:ascii="Calibri" w:hAnsi="Calibri"/>
                <w:b w:val="0"/>
                <w:sz w:val="19"/>
              </w:rPr>
              <w:t>13,488</w:t>
            </w:r>
          </w:p>
        </w:tc>
        <w:tc>
          <w:tcPr>
            <w:tcW w:type="dxa" w:w="1722"/>
            <w:vAlign w:val="center"/>
          </w:tcPr>
          <w:p>
            <w:pPr>
              <w:keepNext w:val="0"/>
              <w:spacing w:after="0" w:before="0" w:line="240" w:lineRule="auto"/>
              <w:jc w:val="right"/>
            </w:pPr>
            <w:r>
              <w:rPr>
                <w:rFonts w:ascii="Calibri" w:hAnsi="Calibri"/>
                <w:b w:val="0"/>
                <w:sz w:val="19"/>
              </w:rPr>
              <w:t>17.62</w:t>
            </w:r>
          </w:p>
        </w:tc>
        <w:tc>
          <w:tcPr>
            <w:tcW w:type="dxa" w:w="1722"/>
            <w:vAlign w:val="center"/>
          </w:tcPr>
          <w:p>
            <w:pPr>
              <w:keepNext w:val="0"/>
              <w:spacing w:after="0" w:before="0" w:line="240" w:lineRule="auto"/>
            </w:pPr>
            <w:r>
              <w:rPr>
                <w:rFonts w:ascii="Calibri" w:hAnsi="Calibri"/>
                <w:b w:val="0"/>
                <w:sz w:val="19"/>
              </w:rPr>
              <w:t>118.92 d</w:t>
            </w:r>
          </w:p>
        </w:tc>
        <w:tc>
          <w:tcPr>
            <w:tcW w:type="dxa" w:w="1722"/>
            <w:vAlign w:val="center"/>
          </w:tcPr>
          <w:p>
            <w:pPr>
              <w:keepNext w:val="0"/>
              <w:spacing w:after="0" w:before="0" w:line="240" w:lineRule="auto"/>
              <w:jc w:val="right"/>
            </w:pPr>
            <w:r>
              <w:rPr>
                <w:rFonts w:ascii="Calibri" w:hAnsi="Calibri"/>
                <w:b w:val="0"/>
                <w:sz w:val="19"/>
              </w:rPr>
              <w:t>0.373</w:t>
            </w:r>
          </w:p>
        </w:tc>
        <w:tc>
          <w:tcPr>
            <w:tcW w:type="dxa" w:w="1722"/>
            <w:vAlign w:val="center"/>
          </w:tcPr>
          <w:p>
            <w:pPr>
              <w:keepNext w:val="0"/>
              <w:spacing w:after="0" w:before="0" w:line="240" w:lineRule="auto"/>
              <w:jc w:val="right"/>
            </w:pPr>
            <w:r>
              <w:rPr>
                <w:rFonts w:ascii="Calibri" w:hAnsi="Calibri"/>
                <w:b w:val="0"/>
                <w:sz w:val="19"/>
              </w:rPr>
              <w:t>0.560</w:t>
            </w:r>
          </w:p>
        </w:tc>
      </w:tr>
      <w:tr>
        <w:trPr>
          <w:cantSplit/>
        </w:trPr>
        <w:tc>
          <w:tcPr>
            <w:tcW w:type="dxa" w:w="1613"/>
            <w:vAlign w:val="center"/>
          </w:tcPr>
          <w:p>
            <w:pPr>
              <w:keepNext/>
              <w:spacing w:after="0" w:before="0" w:line="240" w:lineRule="auto"/>
            </w:pPr>
            <w:r>
              <w:rPr>
                <w:rFonts w:ascii="Calibri" w:hAnsi="Calibri"/>
                <w:b w:val="0"/>
                <w:sz w:val="19"/>
              </w:rPr>
              <w:t>cross partition</w:t>
            </w:r>
          </w:p>
        </w:tc>
        <w:tc>
          <w:tcPr>
            <w:tcW w:type="dxa" w:w="1722"/>
            <w:vAlign w:val="center"/>
          </w:tcPr>
          <w:p>
            <w:pPr>
              <w:keepNext/>
              <w:spacing w:after="0" w:before="0" w:line="240" w:lineRule="auto"/>
              <w:jc w:val="right"/>
            </w:pPr>
            <w:r>
              <w:rPr>
                <w:rFonts w:ascii="Calibri" w:hAnsi="Calibri"/>
                <w:b w:val="0"/>
                <w:sz w:val="19"/>
              </w:rPr>
              <w:t>10,772</w:t>
            </w:r>
          </w:p>
        </w:tc>
        <w:tc>
          <w:tcPr>
            <w:tcW w:type="dxa" w:w="1722"/>
            <w:vAlign w:val="center"/>
          </w:tcPr>
          <w:p>
            <w:pPr>
              <w:keepNext/>
              <w:spacing w:after="0" w:before="0" w:line="240" w:lineRule="auto"/>
              <w:jc w:val="right"/>
            </w:pPr>
            <w:r>
              <w:rPr>
                <w:rFonts w:ascii="Calibri" w:hAnsi="Calibri"/>
                <w:b w:val="0"/>
                <w:sz w:val="19"/>
              </w:rPr>
              <w:t>7.34</w:t>
            </w:r>
          </w:p>
        </w:tc>
        <w:tc>
          <w:tcPr>
            <w:tcW w:type="dxa" w:w="1722"/>
            <w:vAlign w:val="center"/>
          </w:tcPr>
          <w:p>
            <w:pPr>
              <w:keepNext/>
              <w:spacing w:after="0" w:before="0" w:line="240" w:lineRule="auto"/>
            </w:pPr>
            <w:r>
              <w:rPr>
                <w:rFonts w:ascii="Calibri" w:hAnsi="Calibri"/>
                <w:b w:val="0"/>
                <w:sz w:val="19"/>
              </w:rPr>
              <w:t>4.80 d</w:t>
            </w:r>
          </w:p>
        </w:tc>
        <w:tc>
          <w:tcPr>
            <w:tcW w:type="dxa" w:w="1722"/>
            <w:vAlign w:val="center"/>
          </w:tcPr>
          <w:p>
            <w:pPr>
              <w:keepNext/>
              <w:spacing w:after="0" w:before="0" w:line="240" w:lineRule="auto"/>
              <w:jc w:val="right"/>
            </w:pPr>
            <w:r>
              <w:rPr>
                <w:rFonts w:ascii="Calibri" w:hAnsi="Calibri"/>
                <w:b w:val="0"/>
                <w:sz w:val="19"/>
              </w:rPr>
              <w:t>0.233</w:t>
            </w:r>
          </w:p>
        </w:tc>
        <w:tc>
          <w:tcPr>
            <w:tcW w:type="dxa" w:w="1722"/>
            <w:vAlign w:val="center"/>
          </w:tcPr>
          <w:p>
            <w:pPr>
              <w:keepNext/>
              <w:spacing w:after="0" w:before="0" w:line="240" w:lineRule="auto"/>
              <w:jc w:val="right"/>
            </w:pPr>
            <w:r>
              <w:rPr>
                <w:rFonts w:ascii="Calibri" w:hAnsi="Calibri"/>
                <w:b w:val="0"/>
                <w:sz w:val="19"/>
              </w:rPr>
              <w:t>0.393</w:t>
            </w:r>
          </w:p>
        </w:tc>
      </w:tr>
    </w:tbl>
    <w:p>
      <w:pPr>
        <w:keepLines/>
        <w:spacing w:before="60" w:after="120"/>
      </w:pPr>
      <w:r>
        <w:rPr>
          <w:sz w:val="18"/>
        </w:rPr>
        <w:t>Measurements from the real public datasets specified in this section.</w:t>
      </w:r>
    </w:p>
    <w:p>
      <w:r>
        <w:t>Within-partition retention exceeds cross-partition retention in all 16 adjacent 30-day pairs. The mean within-minus-cross difference is 0.167, with bootstrap 95% interval 0.150–0.181. This partition is a topology-defined diagnostic partition; it is not presented as the institution’s department labels.</w:t>
      </w:r>
    </w:p>
    <w:p>
      <w:pPr>
        <w:keepNext/>
        <w:spacing w:after="60"/>
        <w:jc w:val="center"/>
      </w:pPr>
      <w:r>
        <w:drawing>
          <wp:inline xmlns:a="http://schemas.openxmlformats.org/drawingml/2006/main" xmlns:pic="http://schemas.openxmlformats.org/drawingml/2006/picture">
            <wp:extent cx="6309360" cy="3626522"/>
            <wp:docPr id="63" name="Picture 63"/>
            <wp:cNvGraphicFramePr>
              <a:graphicFrameLocks noChangeAspect="1"/>
            </wp:cNvGraphicFramePr>
            <a:graphic>
              <a:graphicData uri="http://schemas.openxmlformats.org/drawingml/2006/picture">
                <pic:pic>
                  <pic:nvPicPr>
                    <pic:cNvPr id="0" name="63_image61.png"/>
                    <pic:cNvPicPr/>
                  </pic:nvPicPr>
                  <pic:blipFill>
                    <a:blip r:embed="rId76"/>
                    <a:stretch>
                      <a:fillRect/>
                    </a:stretch>
                  </pic:blipFill>
                  <pic:spPr>
                    <a:xfrm>
                      <a:off x="0" y="0"/>
                      <a:ext cx="6309360" cy="3626522"/>
                    </a:xfrm>
                    <a:prstGeom prst="rect"/>
                  </pic:spPr>
                </pic:pic>
              </a:graphicData>
            </a:graphic>
          </wp:inline>
        </w:drawing>
      </w:r>
    </w:p>
    <w:p>
      <w:pPr>
        <w:pStyle w:val="Caption"/>
      </w:pPr>
      <w:r>
        <w:t>Figure 63. Relations inside topology-defined structural basins recur more strongly than cross-basin relations.</w:t>
      </w:r>
    </w:p>
    <w:p>
      <w:pPr>
        <w:pStyle w:val="Heading3"/>
      </w:pPr>
      <w:r>
        <w:t>8.4.6 Discussion the map is not the traffic</w:t>
      </w:r>
    </w:p>
    <w:p>
      <w:r>
        <w:t>After 024, the graph is easier to picture if we stop treating an adjacency matrix as a photograph. The lifetime graph is closer to a road atlas: it records routes that have existed. The active relation field is the traffic on those roads now. At a 30-day scale the median active node uses only 22.5% of its lifetime neighbours, and event weighting contracts that already sparse set to 12.6% effective static coverage. The atlas is real, but most roads are dark in any one monthly snapshot.</w:t>
      </w:r>
    </w:p>
    <w:p>
      <w:r>
        <w:t>The high-degree nodes make the distinction especially vivid. Their activity does not disappear: the degree-78+ group remains active into the next month 99.9% of the time. What changes is the occupied relation set. Those nodes still activate only 23.5% of their lifetime neighbours at the median. In engineering terms, high node activity is not evidence for dense simultaneous message passing over all stored edges. A model that equates “important/high-degree node” with “activate its whole neighbourhood” would be injecting computation into relations the real system is not currently using.</w:t>
      </w:r>
    </w:p>
    <w:p>
      <w:r>
        <w:t>The node/dyad comparison adds a second moving layer. Node-state cosine at 30 days is 0.952; directed-dyad cosine is 0.683, and the node state is smoother in every adjacent monthly pair. The practical picture is a comparatively slow activity envelope with a faster relation microstate moving underneath it. The evidence therefore supports separate update clocks: one state can track whether a node is active, another can track which directed relations are carrying the activity.</w:t>
      </w:r>
    </w:p>
    <w:p>
      <w:r>
        <w:t>The 10-community diagnostic associates topology with recurrence: mean retention is 0.560 within communities and 0.393 across them, with the same direction in all 16 adjacent monthly pairs. Long-run topology can therefore supply a persistence prior or routing bias, and current relation state can represent the activity observed within a particular window.</w:t>
      </w:r>
    </w:p>
    <w:p>
      <w:pPr>
        <w:pStyle w:val="Heading3"/>
      </w:pPr>
      <w:r>
        <w:t>8.4.7 Evidence-derived engineering guidance</w:t>
      </w:r>
    </w:p>
    <w:p>
      <w:r>
        <w:t>1. Keep long-run adjacency and current relation activation as separate state objects.</w:t>
      </w:r>
    </w:p>
    <w:p>
      <w:r>
        <w:t>2. Allow node activity and dyad activity to update on different temporal clocks.</w:t>
      </w:r>
    </w:p>
    <w:p>
      <w:r>
        <w:t>3. Preserve active-neighbour sparsity and event-weight concentration before aggregation.</w:t>
      </w:r>
    </w:p>
    <w:p>
      <w:r>
        <w:t>4. Use long-run topology as a persistence prior rather than as a substitute for current edge state.</w:t>
      </w:r>
    </w:p>
    <w:p>
      <w:r>
        <w:t>5. Use static degree as a capacity or normalization coordinate rather than as a proxy for current occupancy.</w:t>
      </w:r>
    </w:p>
    <w:p>
      <w:pPr>
        <w:pStyle w:val="Heading3"/>
      </w:pPr>
      <w:r>
        <w:t>8.4.8 Evidence status</w:t>
      </w:r>
    </w:p>
    <w:p>
      <w:r>
        <w:t>All 024 quantities above are taken from archived CSV/JSON outputs generated from the real Email-Eu-core-temporal event records. Validated mirror identity: SteveHuntsman/PathHomologyDataAndScripts/email-Eu-core-temporal.txt; Git blob SHA 6d864f3a7d511359c8fc19c6a83b4e2302741669; 5,517,753 bytes. No synthetic graph generator enters the reported measurements.</w:t>
      </w:r>
    </w:p>
    <w:p>
      <w:pPr>
        <w:pStyle w:val="Heading2"/>
      </w:pPr>
      <w:r>
        <w:t>8.5 REAL-GRAPH-TEMPORAL-RENORMALIZATION-025 What Time Coarse-Graining Does to a Real Relation Field</w:t>
      </w:r>
    </w:p>
    <w:p>
      <w:r>
        <w:t>Scope. Use the verified 024 real-data outputs at 7, 14, 30, 60 and 90 days to measure how active-neighbour exposure, weighted effective occupancy, node/dyad continuity, spectral support and edge turnover change as the temporal window is enlarged. This is a second-stage calculation over measured real-data tables; no generated event stream enters the analysis.</w:t>
      </w:r>
    </w:p>
    <w:p>
      <w:r>
        <w:t>Executive finding. Longer windows expose more of the lifetime graph, but the newly exposed relations are increasingly low-weight. Temporal coarse-graining also narrows the node-versus-dyad gap without erasing it: even at 90 days, the active directed-edge set continues to turn over heavily.</w:t>
      </w:r>
    </w:p>
    <w:p>
      <w:pPr>
        <w:pStyle w:val="Heading3"/>
      </w:pPr>
      <w:r>
        <w:t>8.5.1 Multiscale summary</w:t>
      </w:r>
    </w:p>
    <w:p>
      <w:pPr>
        <w:pStyle w:val="Caption"/>
        <w:keepNext/>
      </w:pPr>
      <w:r>
        <w:t>Table 86. Multiscale relation-field summary.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613"/>
        <w:gridCol w:w="1076"/>
        <w:gridCol w:w="1076"/>
        <w:gridCol w:w="1076"/>
        <w:gridCol w:w="1076"/>
        <w:gridCol w:w="1076"/>
        <w:gridCol w:w="1076"/>
        <w:gridCol w:w="1076"/>
        <w:gridCol w:w="1076"/>
      </w:tblGrid>
      <w:tr>
        <w:trPr>
          <w:cantSplit/>
          <w:tblHeader/>
        </w:trPr>
        <w:tc>
          <w:tcPr>
            <w:tcW w:type="dxa" w:w="1613"/>
            <w:vAlign w:val="center"/>
            <w:shd w:fill="F2F2F2"/>
          </w:tcPr>
          <w:p>
            <w:pPr>
              <w:keepNext/>
              <w:spacing w:after="0" w:before="0" w:line="240" w:lineRule="auto"/>
            </w:pPr>
            <w:r>
              <w:rPr>
                <w:rFonts w:ascii="Calibri" w:hAnsi="Calibri"/>
                <w:b/>
                <w:sz w:val="18"/>
              </w:rPr>
              <w:t>Window</w:t>
            </w:r>
          </w:p>
        </w:tc>
        <w:tc>
          <w:tcPr>
            <w:tcW w:type="dxa" w:w="1076"/>
            <w:vAlign w:val="center"/>
            <w:shd w:fill="F2F2F2"/>
          </w:tcPr>
          <w:p>
            <w:pPr>
              <w:keepNext/>
              <w:spacing w:after="0" w:before="0" w:line="240" w:lineRule="auto"/>
            </w:pPr>
            <w:r>
              <w:rPr>
                <w:rFonts w:ascii="Calibri" w:hAnsi="Calibri"/>
                <w:b/>
                <w:sz w:val="18"/>
              </w:rPr>
              <w:t>Raw coverage</w:t>
            </w:r>
          </w:p>
        </w:tc>
        <w:tc>
          <w:tcPr>
            <w:tcW w:type="dxa" w:w="1076"/>
            <w:vAlign w:val="center"/>
            <w:shd w:fill="F2F2F2"/>
          </w:tcPr>
          <w:p>
            <w:pPr>
              <w:keepNext/>
              <w:spacing w:after="0" w:before="0" w:line="240" w:lineRule="auto"/>
            </w:pPr>
            <w:r>
              <w:rPr>
                <w:rFonts w:ascii="Calibri" w:hAnsi="Calibri"/>
                <w:b/>
                <w:sz w:val="18"/>
              </w:rPr>
              <w:t>Effective coverage</w:t>
            </w:r>
          </w:p>
        </w:tc>
        <w:tc>
          <w:tcPr>
            <w:tcW w:type="dxa" w:w="1076"/>
            <w:vAlign w:val="center"/>
            <w:shd w:fill="F2F2F2"/>
          </w:tcPr>
          <w:p>
            <w:pPr>
              <w:keepNext/>
              <w:spacing w:after="0" w:before="0" w:line="240" w:lineRule="auto"/>
            </w:pPr>
            <w:r>
              <w:rPr>
                <w:rFonts w:ascii="Calibri" w:hAnsi="Calibri"/>
                <w:b/>
                <w:sz w:val="18"/>
              </w:rPr>
              <w:t>Active partners</w:t>
            </w:r>
          </w:p>
        </w:tc>
        <w:tc>
          <w:tcPr>
            <w:tcW w:type="dxa" w:w="1076"/>
            <w:vAlign w:val="center"/>
            <w:shd w:fill="F2F2F2"/>
          </w:tcPr>
          <w:p>
            <w:pPr>
              <w:keepNext/>
              <w:spacing w:after="0" w:before="0" w:line="240" w:lineRule="auto"/>
            </w:pPr>
            <w:r>
              <w:rPr>
                <w:rFonts w:ascii="Calibri" w:hAnsi="Calibri"/>
                <w:b/>
                <w:sz w:val="18"/>
              </w:rPr>
              <w:t>Effective partners</w:t>
            </w:r>
          </w:p>
        </w:tc>
        <w:tc>
          <w:tcPr>
            <w:tcW w:type="dxa" w:w="1076"/>
            <w:vAlign w:val="center"/>
            <w:shd w:fill="F2F2F2"/>
          </w:tcPr>
          <w:p>
            <w:pPr>
              <w:keepNext/>
              <w:spacing w:after="0" w:before="0" w:line="240" w:lineRule="auto"/>
            </w:pPr>
            <w:r>
              <w:rPr>
                <w:rFonts w:ascii="Calibri" w:hAnsi="Calibri"/>
                <w:b/>
                <w:sz w:val="18"/>
              </w:rPr>
              <w:t>Node cosine</w:t>
            </w:r>
          </w:p>
        </w:tc>
        <w:tc>
          <w:tcPr>
            <w:tcW w:type="dxa" w:w="1076"/>
            <w:vAlign w:val="center"/>
            <w:shd w:fill="F2F2F2"/>
          </w:tcPr>
          <w:p>
            <w:pPr>
              <w:keepNext/>
              <w:spacing w:after="0" w:before="0" w:line="240" w:lineRule="auto"/>
            </w:pPr>
            <w:r>
              <w:rPr>
                <w:rFonts w:ascii="Calibri" w:hAnsi="Calibri"/>
                <w:b/>
                <w:sz w:val="18"/>
              </w:rPr>
              <w:t>Dyad cosine</w:t>
            </w:r>
          </w:p>
        </w:tc>
        <w:tc>
          <w:tcPr>
            <w:tcW w:type="dxa" w:w="1076"/>
            <w:vAlign w:val="center"/>
            <w:shd w:fill="F2F2F2"/>
          </w:tcPr>
          <w:p>
            <w:pPr>
              <w:keepNext/>
              <w:spacing w:after="0" w:before="0" w:line="240" w:lineRule="auto"/>
            </w:pPr>
            <w:r>
              <w:rPr>
                <w:rFonts w:ascii="Calibri" w:hAnsi="Calibri"/>
                <w:b/>
                <w:sz w:val="18"/>
              </w:rPr>
              <w:t>Retention</w:t>
            </w:r>
          </w:p>
        </w:tc>
        <w:tc>
          <w:tcPr>
            <w:tcW w:type="dxa" w:w="1076"/>
            <w:vAlign w:val="center"/>
            <w:shd w:fill="F2F2F2"/>
          </w:tcPr>
          <w:p>
            <w:pPr>
              <w:keepNext/>
              <w:spacing w:after="0" w:before="0" w:line="240" w:lineRule="auto"/>
            </w:pPr>
            <w:r>
              <w:rPr>
                <w:rFonts w:ascii="Calibri" w:hAnsi="Calibri"/>
                <w:b/>
                <w:sz w:val="18"/>
              </w:rPr>
              <w:t>New edges</w:t>
            </w:r>
          </w:p>
        </w:tc>
      </w:tr>
      <w:tr>
        <w:trPr>
          <w:cantSplit/>
        </w:trPr>
        <w:tc>
          <w:tcPr>
            <w:tcW w:type="dxa" w:w="1613"/>
            <w:vAlign w:val="center"/>
          </w:tcPr>
          <w:p>
            <w:pPr>
              <w:keepNext w:val="0"/>
              <w:spacing w:after="0" w:before="0" w:line="240" w:lineRule="auto"/>
            </w:pPr>
            <w:r>
              <w:rPr>
                <w:rFonts w:ascii="Calibri" w:hAnsi="Calibri"/>
                <w:b w:val="0"/>
                <w:sz w:val="18"/>
              </w:rPr>
              <w:t>7 d</w:t>
            </w:r>
          </w:p>
        </w:tc>
        <w:tc>
          <w:tcPr>
            <w:tcW w:type="dxa" w:w="1076"/>
            <w:vAlign w:val="center"/>
          </w:tcPr>
          <w:p>
            <w:pPr>
              <w:keepNext w:val="0"/>
              <w:spacing w:after="0" w:before="0" w:line="240" w:lineRule="auto"/>
              <w:jc w:val="right"/>
            </w:pPr>
            <w:r>
              <w:rPr>
                <w:rFonts w:ascii="Calibri" w:hAnsi="Calibri"/>
                <w:b w:val="0"/>
                <w:sz w:val="18"/>
              </w:rPr>
              <w:t>10.0%</w:t>
            </w:r>
          </w:p>
        </w:tc>
        <w:tc>
          <w:tcPr>
            <w:tcW w:type="dxa" w:w="1076"/>
            <w:vAlign w:val="center"/>
          </w:tcPr>
          <w:p>
            <w:pPr>
              <w:keepNext w:val="0"/>
              <w:spacing w:after="0" w:before="0" w:line="240" w:lineRule="auto"/>
              <w:jc w:val="right"/>
            </w:pPr>
            <w:r>
              <w:rPr>
                <w:rFonts w:ascii="Calibri" w:hAnsi="Calibri"/>
                <w:b w:val="0"/>
                <w:sz w:val="18"/>
              </w:rPr>
              <w:t>7.6%</w:t>
            </w:r>
          </w:p>
        </w:tc>
        <w:tc>
          <w:tcPr>
            <w:tcW w:type="dxa" w:w="1076"/>
            <w:vAlign w:val="center"/>
          </w:tcPr>
          <w:p>
            <w:pPr>
              <w:keepNext w:val="0"/>
              <w:spacing w:after="0" w:before="0" w:line="240" w:lineRule="auto"/>
              <w:jc w:val="right"/>
            </w:pPr>
            <w:r>
              <w:rPr>
                <w:rFonts w:ascii="Calibri" w:hAnsi="Calibri"/>
                <w:b w:val="0"/>
                <w:sz w:val="18"/>
              </w:rPr>
              <w:t>3</w:t>
            </w:r>
          </w:p>
        </w:tc>
        <w:tc>
          <w:tcPr>
            <w:tcW w:type="dxa" w:w="1076"/>
            <w:vAlign w:val="center"/>
          </w:tcPr>
          <w:p>
            <w:pPr>
              <w:keepNext w:val="0"/>
              <w:spacing w:after="0" w:before="0" w:line="240" w:lineRule="auto"/>
              <w:jc w:val="right"/>
            </w:pPr>
            <w:r>
              <w:rPr>
                <w:rFonts w:ascii="Calibri" w:hAnsi="Calibri"/>
                <w:b w:val="0"/>
                <w:sz w:val="18"/>
              </w:rPr>
              <w:t>2.67</w:t>
            </w:r>
          </w:p>
        </w:tc>
        <w:tc>
          <w:tcPr>
            <w:tcW w:type="dxa" w:w="1076"/>
            <w:vAlign w:val="center"/>
          </w:tcPr>
          <w:p>
            <w:pPr>
              <w:keepNext w:val="0"/>
              <w:spacing w:after="0" w:before="0" w:line="240" w:lineRule="auto"/>
              <w:jc w:val="right"/>
            </w:pPr>
            <w:r>
              <w:rPr>
                <w:rFonts w:ascii="Calibri" w:hAnsi="Calibri"/>
                <w:b w:val="0"/>
                <w:sz w:val="18"/>
              </w:rPr>
              <w:t>0.866</w:t>
            </w:r>
          </w:p>
        </w:tc>
        <w:tc>
          <w:tcPr>
            <w:tcW w:type="dxa" w:w="1076"/>
            <w:vAlign w:val="center"/>
          </w:tcPr>
          <w:p>
            <w:pPr>
              <w:keepNext w:val="0"/>
              <w:spacing w:after="0" w:before="0" w:line="240" w:lineRule="auto"/>
              <w:jc w:val="right"/>
            </w:pPr>
            <w:r>
              <w:rPr>
                <w:rFonts w:ascii="Calibri" w:hAnsi="Calibri"/>
                <w:b w:val="0"/>
                <w:sz w:val="18"/>
              </w:rPr>
              <w:t>0.494</w:t>
            </w:r>
          </w:p>
        </w:tc>
        <w:tc>
          <w:tcPr>
            <w:tcW w:type="dxa" w:w="1076"/>
            <w:vAlign w:val="center"/>
          </w:tcPr>
          <w:p>
            <w:pPr>
              <w:keepNext w:val="0"/>
              <w:spacing w:after="0" w:before="0" w:line="240" w:lineRule="auto"/>
              <w:jc w:val="right"/>
            </w:pPr>
            <w:r>
              <w:rPr>
                <w:rFonts w:ascii="Calibri" w:hAnsi="Calibri"/>
                <w:b w:val="0"/>
                <w:sz w:val="18"/>
              </w:rPr>
              <w:t>39.6%</w:t>
            </w:r>
          </w:p>
        </w:tc>
        <w:tc>
          <w:tcPr>
            <w:tcW w:type="dxa" w:w="1076"/>
            <w:vAlign w:val="center"/>
          </w:tcPr>
          <w:p>
            <w:pPr>
              <w:keepNext w:val="0"/>
              <w:spacing w:after="0" w:before="0" w:line="240" w:lineRule="auto"/>
              <w:jc w:val="right"/>
            </w:pPr>
            <w:r>
              <w:rPr>
                <w:rFonts w:ascii="Calibri" w:hAnsi="Calibri"/>
                <w:b w:val="0"/>
                <w:sz w:val="18"/>
              </w:rPr>
              <w:t>60.7%</w:t>
            </w:r>
          </w:p>
        </w:tc>
      </w:tr>
      <w:tr>
        <w:trPr>
          <w:cantSplit/>
        </w:trPr>
        <w:tc>
          <w:tcPr>
            <w:tcW w:type="dxa" w:w="1613"/>
            <w:vAlign w:val="center"/>
          </w:tcPr>
          <w:p>
            <w:pPr>
              <w:keepNext w:val="0"/>
              <w:spacing w:after="0" w:before="0" w:line="240" w:lineRule="auto"/>
            </w:pPr>
            <w:r>
              <w:rPr>
                <w:rFonts w:ascii="Calibri" w:hAnsi="Calibri"/>
                <w:b w:val="0"/>
                <w:sz w:val="18"/>
              </w:rPr>
              <w:t>14 d</w:t>
            </w:r>
          </w:p>
        </w:tc>
        <w:tc>
          <w:tcPr>
            <w:tcW w:type="dxa" w:w="1076"/>
            <w:vAlign w:val="center"/>
          </w:tcPr>
          <w:p>
            <w:pPr>
              <w:keepNext w:val="0"/>
              <w:spacing w:after="0" w:before="0" w:line="240" w:lineRule="auto"/>
              <w:jc w:val="right"/>
            </w:pPr>
            <w:r>
              <w:rPr>
                <w:rFonts w:ascii="Calibri" w:hAnsi="Calibri"/>
                <w:b w:val="0"/>
                <w:sz w:val="18"/>
              </w:rPr>
              <w:t>14.8%</w:t>
            </w:r>
          </w:p>
        </w:tc>
        <w:tc>
          <w:tcPr>
            <w:tcW w:type="dxa" w:w="1076"/>
            <w:vAlign w:val="center"/>
          </w:tcPr>
          <w:p>
            <w:pPr>
              <w:keepNext w:val="0"/>
              <w:spacing w:after="0" w:before="0" w:line="240" w:lineRule="auto"/>
              <w:jc w:val="right"/>
            </w:pPr>
            <w:r>
              <w:rPr>
                <w:rFonts w:ascii="Calibri" w:hAnsi="Calibri"/>
                <w:b w:val="0"/>
                <w:sz w:val="18"/>
              </w:rPr>
              <w:t>9.9%</w:t>
            </w:r>
          </w:p>
        </w:tc>
        <w:tc>
          <w:tcPr>
            <w:tcW w:type="dxa" w:w="1076"/>
            <w:vAlign w:val="center"/>
          </w:tcPr>
          <w:p>
            <w:pPr>
              <w:keepNext w:val="0"/>
              <w:spacing w:after="0" w:before="0" w:line="240" w:lineRule="auto"/>
              <w:jc w:val="right"/>
            </w:pPr>
            <w:r>
              <w:rPr>
                <w:rFonts w:ascii="Calibri" w:hAnsi="Calibri"/>
                <w:b w:val="0"/>
                <w:sz w:val="18"/>
              </w:rPr>
              <w:t>5</w:t>
            </w:r>
          </w:p>
        </w:tc>
        <w:tc>
          <w:tcPr>
            <w:tcW w:type="dxa" w:w="1076"/>
            <w:vAlign w:val="center"/>
          </w:tcPr>
          <w:p>
            <w:pPr>
              <w:keepNext w:val="0"/>
              <w:spacing w:after="0" w:before="0" w:line="240" w:lineRule="auto"/>
              <w:jc w:val="right"/>
            </w:pPr>
            <w:r>
              <w:rPr>
                <w:rFonts w:ascii="Calibri" w:hAnsi="Calibri"/>
                <w:b w:val="0"/>
                <w:sz w:val="18"/>
              </w:rPr>
              <w:t>3.13</w:t>
            </w:r>
          </w:p>
        </w:tc>
        <w:tc>
          <w:tcPr>
            <w:tcW w:type="dxa" w:w="1076"/>
            <w:vAlign w:val="center"/>
          </w:tcPr>
          <w:p>
            <w:pPr>
              <w:keepNext w:val="0"/>
              <w:spacing w:after="0" w:before="0" w:line="240" w:lineRule="auto"/>
              <w:jc w:val="right"/>
            </w:pPr>
            <w:r>
              <w:rPr>
                <w:rFonts w:ascii="Calibri" w:hAnsi="Calibri"/>
                <w:b w:val="0"/>
                <w:sz w:val="18"/>
              </w:rPr>
              <w:t>0.923</w:t>
            </w:r>
          </w:p>
        </w:tc>
        <w:tc>
          <w:tcPr>
            <w:tcW w:type="dxa" w:w="1076"/>
            <w:vAlign w:val="center"/>
          </w:tcPr>
          <w:p>
            <w:pPr>
              <w:keepNext w:val="0"/>
              <w:spacing w:after="0" w:before="0" w:line="240" w:lineRule="auto"/>
              <w:jc w:val="right"/>
            </w:pPr>
            <w:r>
              <w:rPr>
                <w:rFonts w:ascii="Calibri" w:hAnsi="Calibri"/>
                <w:b w:val="0"/>
                <w:sz w:val="18"/>
              </w:rPr>
              <w:t>0.597</w:t>
            </w:r>
          </w:p>
        </w:tc>
        <w:tc>
          <w:tcPr>
            <w:tcW w:type="dxa" w:w="1076"/>
            <w:vAlign w:val="center"/>
          </w:tcPr>
          <w:p>
            <w:pPr>
              <w:keepNext w:val="0"/>
              <w:spacing w:after="0" w:before="0" w:line="240" w:lineRule="auto"/>
              <w:jc w:val="right"/>
            </w:pPr>
            <w:r>
              <w:rPr>
                <w:rFonts w:ascii="Calibri" w:hAnsi="Calibri"/>
                <w:b w:val="0"/>
                <w:sz w:val="18"/>
              </w:rPr>
              <w:t>45.3%</w:t>
            </w:r>
          </w:p>
        </w:tc>
        <w:tc>
          <w:tcPr>
            <w:tcW w:type="dxa" w:w="1076"/>
            <w:vAlign w:val="center"/>
          </w:tcPr>
          <w:p>
            <w:pPr>
              <w:keepNext w:val="0"/>
              <w:spacing w:after="0" w:before="0" w:line="240" w:lineRule="auto"/>
              <w:jc w:val="right"/>
            </w:pPr>
            <w:r>
              <w:rPr>
                <w:rFonts w:ascii="Calibri" w:hAnsi="Calibri"/>
                <w:b w:val="0"/>
                <w:sz w:val="18"/>
              </w:rPr>
              <w:t>54.9%</w:t>
            </w:r>
          </w:p>
        </w:tc>
      </w:tr>
      <w:tr>
        <w:trPr>
          <w:cantSplit/>
        </w:trPr>
        <w:tc>
          <w:tcPr>
            <w:tcW w:type="dxa" w:w="1613"/>
            <w:vAlign w:val="center"/>
          </w:tcPr>
          <w:p>
            <w:pPr>
              <w:keepNext w:val="0"/>
              <w:spacing w:after="0" w:before="0" w:line="240" w:lineRule="auto"/>
            </w:pPr>
            <w:r>
              <w:rPr>
                <w:rFonts w:ascii="Calibri" w:hAnsi="Calibri"/>
                <w:b w:val="0"/>
                <w:sz w:val="18"/>
              </w:rPr>
              <w:t>30 d</w:t>
            </w:r>
          </w:p>
        </w:tc>
        <w:tc>
          <w:tcPr>
            <w:tcW w:type="dxa" w:w="1076"/>
            <w:vAlign w:val="center"/>
          </w:tcPr>
          <w:p>
            <w:pPr>
              <w:keepNext w:val="0"/>
              <w:spacing w:after="0" w:before="0" w:line="240" w:lineRule="auto"/>
              <w:jc w:val="right"/>
            </w:pPr>
            <w:r>
              <w:rPr>
                <w:rFonts w:ascii="Calibri" w:hAnsi="Calibri"/>
                <w:b w:val="0"/>
                <w:sz w:val="18"/>
              </w:rPr>
              <w:t>22.5%</w:t>
            </w:r>
          </w:p>
        </w:tc>
        <w:tc>
          <w:tcPr>
            <w:tcW w:type="dxa" w:w="1076"/>
            <w:vAlign w:val="center"/>
          </w:tcPr>
          <w:p>
            <w:pPr>
              <w:keepNext w:val="0"/>
              <w:spacing w:after="0" w:before="0" w:line="240" w:lineRule="auto"/>
              <w:jc w:val="right"/>
            </w:pPr>
            <w:r>
              <w:rPr>
                <w:rFonts w:ascii="Calibri" w:hAnsi="Calibri"/>
                <w:b w:val="0"/>
                <w:sz w:val="18"/>
              </w:rPr>
              <w:t>12.6%</w:t>
            </w:r>
          </w:p>
        </w:tc>
        <w:tc>
          <w:tcPr>
            <w:tcW w:type="dxa" w:w="1076"/>
            <w:vAlign w:val="center"/>
          </w:tcPr>
          <w:p>
            <w:pPr>
              <w:keepNext w:val="0"/>
              <w:spacing w:after="0" w:before="0" w:line="240" w:lineRule="auto"/>
              <w:jc w:val="right"/>
            </w:pPr>
            <w:r>
              <w:rPr>
                <w:rFonts w:ascii="Calibri" w:hAnsi="Calibri"/>
                <w:b w:val="0"/>
                <w:sz w:val="18"/>
              </w:rPr>
              <w:t>7</w:t>
            </w:r>
          </w:p>
        </w:tc>
        <w:tc>
          <w:tcPr>
            <w:tcW w:type="dxa" w:w="1076"/>
            <w:vAlign w:val="center"/>
          </w:tcPr>
          <w:p>
            <w:pPr>
              <w:keepNext w:val="0"/>
              <w:spacing w:after="0" w:before="0" w:line="240" w:lineRule="auto"/>
              <w:jc w:val="right"/>
            </w:pPr>
            <w:r>
              <w:rPr>
                <w:rFonts w:ascii="Calibri" w:hAnsi="Calibri"/>
                <w:b w:val="0"/>
                <w:sz w:val="18"/>
              </w:rPr>
              <w:t>3.70</w:t>
            </w:r>
          </w:p>
        </w:tc>
        <w:tc>
          <w:tcPr>
            <w:tcW w:type="dxa" w:w="1076"/>
            <w:vAlign w:val="center"/>
          </w:tcPr>
          <w:p>
            <w:pPr>
              <w:keepNext w:val="0"/>
              <w:spacing w:after="0" w:before="0" w:line="240" w:lineRule="auto"/>
              <w:jc w:val="right"/>
            </w:pPr>
            <w:r>
              <w:rPr>
                <w:rFonts w:ascii="Calibri" w:hAnsi="Calibri"/>
                <w:b w:val="0"/>
                <w:sz w:val="18"/>
              </w:rPr>
              <w:t>0.952</w:t>
            </w:r>
          </w:p>
        </w:tc>
        <w:tc>
          <w:tcPr>
            <w:tcW w:type="dxa" w:w="1076"/>
            <w:vAlign w:val="center"/>
          </w:tcPr>
          <w:p>
            <w:pPr>
              <w:keepNext w:val="0"/>
              <w:spacing w:after="0" w:before="0" w:line="240" w:lineRule="auto"/>
              <w:jc w:val="right"/>
            </w:pPr>
            <w:r>
              <w:rPr>
                <w:rFonts w:ascii="Calibri" w:hAnsi="Calibri"/>
                <w:b w:val="0"/>
                <w:sz w:val="18"/>
              </w:rPr>
              <w:t>0.683</w:t>
            </w:r>
          </w:p>
        </w:tc>
        <w:tc>
          <w:tcPr>
            <w:tcW w:type="dxa" w:w="1076"/>
            <w:vAlign w:val="center"/>
          </w:tcPr>
          <w:p>
            <w:pPr>
              <w:keepNext w:val="0"/>
              <w:spacing w:after="0" w:before="0" w:line="240" w:lineRule="auto"/>
              <w:jc w:val="right"/>
            </w:pPr>
            <w:r>
              <w:rPr>
                <w:rFonts w:ascii="Calibri" w:hAnsi="Calibri"/>
                <w:b w:val="0"/>
                <w:sz w:val="18"/>
              </w:rPr>
              <w:t>50.5%</w:t>
            </w:r>
          </w:p>
        </w:tc>
        <w:tc>
          <w:tcPr>
            <w:tcW w:type="dxa" w:w="1076"/>
            <w:vAlign w:val="center"/>
          </w:tcPr>
          <w:p>
            <w:pPr>
              <w:keepNext w:val="0"/>
              <w:spacing w:after="0" w:before="0" w:line="240" w:lineRule="auto"/>
              <w:jc w:val="right"/>
            </w:pPr>
            <w:r>
              <w:rPr>
                <w:rFonts w:ascii="Calibri" w:hAnsi="Calibri"/>
                <w:b w:val="0"/>
                <w:sz w:val="18"/>
              </w:rPr>
              <w:t>50.6%</w:t>
            </w:r>
          </w:p>
        </w:tc>
      </w:tr>
      <w:tr>
        <w:trPr>
          <w:cantSplit/>
        </w:trPr>
        <w:tc>
          <w:tcPr>
            <w:tcW w:type="dxa" w:w="1613"/>
            <w:vAlign w:val="center"/>
          </w:tcPr>
          <w:p>
            <w:pPr>
              <w:keepNext w:val="0"/>
              <w:spacing w:after="0" w:before="0" w:line="240" w:lineRule="auto"/>
            </w:pPr>
            <w:r>
              <w:rPr>
                <w:rFonts w:ascii="Calibri" w:hAnsi="Calibri"/>
                <w:b w:val="0"/>
                <w:sz w:val="18"/>
              </w:rPr>
              <w:t>60 d</w:t>
            </w:r>
          </w:p>
        </w:tc>
        <w:tc>
          <w:tcPr>
            <w:tcW w:type="dxa" w:w="1076"/>
            <w:vAlign w:val="center"/>
          </w:tcPr>
          <w:p>
            <w:pPr>
              <w:keepNext w:val="0"/>
              <w:spacing w:after="0" w:before="0" w:line="240" w:lineRule="auto"/>
              <w:jc w:val="right"/>
            </w:pPr>
            <w:r>
              <w:rPr>
                <w:rFonts w:ascii="Calibri" w:hAnsi="Calibri"/>
                <w:b w:val="0"/>
                <w:sz w:val="18"/>
              </w:rPr>
              <w:t>32.9%</w:t>
            </w:r>
          </w:p>
        </w:tc>
        <w:tc>
          <w:tcPr>
            <w:tcW w:type="dxa" w:w="1076"/>
            <w:vAlign w:val="center"/>
          </w:tcPr>
          <w:p>
            <w:pPr>
              <w:keepNext w:val="0"/>
              <w:spacing w:after="0" w:before="0" w:line="240" w:lineRule="auto"/>
              <w:jc w:val="right"/>
            </w:pPr>
            <w:r>
              <w:rPr>
                <w:rFonts w:ascii="Calibri" w:hAnsi="Calibri"/>
                <w:b w:val="0"/>
                <w:sz w:val="18"/>
              </w:rPr>
              <w:t>15.8%</w:t>
            </w:r>
          </w:p>
        </w:tc>
        <w:tc>
          <w:tcPr>
            <w:tcW w:type="dxa" w:w="1076"/>
            <w:vAlign w:val="center"/>
          </w:tcPr>
          <w:p>
            <w:pPr>
              <w:keepNext w:val="0"/>
              <w:spacing w:after="0" w:before="0" w:line="240" w:lineRule="auto"/>
              <w:jc w:val="right"/>
            </w:pPr>
            <w:r>
              <w:rPr>
                <w:rFonts w:ascii="Calibri" w:hAnsi="Calibri"/>
                <w:b w:val="0"/>
                <w:sz w:val="18"/>
              </w:rPr>
              <w:t>9</w:t>
            </w:r>
          </w:p>
        </w:tc>
        <w:tc>
          <w:tcPr>
            <w:tcW w:type="dxa" w:w="1076"/>
            <w:vAlign w:val="center"/>
          </w:tcPr>
          <w:p>
            <w:pPr>
              <w:keepNext w:val="0"/>
              <w:spacing w:after="0" w:before="0" w:line="240" w:lineRule="auto"/>
              <w:jc w:val="right"/>
            </w:pPr>
            <w:r>
              <w:rPr>
                <w:rFonts w:ascii="Calibri" w:hAnsi="Calibri"/>
                <w:b w:val="0"/>
                <w:sz w:val="18"/>
              </w:rPr>
              <w:t>4.23</w:t>
            </w:r>
          </w:p>
        </w:tc>
        <w:tc>
          <w:tcPr>
            <w:tcW w:type="dxa" w:w="1076"/>
            <w:vAlign w:val="center"/>
          </w:tcPr>
          <w:p>
            <w:pPr>
              <w:keepNext w:val="0"/>
              <w:spacing w:after="0" w:before="0" w:line="240" w:lineRule="auto"/>
              <w:jc w:val="right"/>
            </w:pPr>
            <w:r>
              <w:rPr>
                <w:rFonts w:ascii="Calibri" w:hAnsi="Calibri"/>
                <w:b w:val="0"/>
                <w:sz w:val="18"/>
              </w:rPr>
              <w:t>0.962</w:t>
            </w:r>
          </w:p>
        </w:tc>
        <w:tc>
          <w:tcPr>
            <w:tcW w:type="dxa" w:w="1076"/>
            <w:vAlign w:val="center"/>
          </w:tcPr>
          <w:p>
            <w:pPr>
              <w:keepNext w:val="0"/>
              <w:spacing w:after="0" w:before="0" w:line="240" w:lineRule="auto"/>
              <w:jc w:val="right"/>
            </w:pPr>
            <w:r>
              <w:rPr>
                <w:rFonts w:ascii="Calibri" w:hAnsi="Calibri"/>
                <w:b w:val="0"/>
                <w:sz w:val="18"/>
              </w:rPr>
              <w:t>0.743</w:t>
            </w:r>
          </w:p>
        </w:tc>
        <w:tc>
          <w:tcPr>
            <w:tcW w:type="dxa" w:w="1076"/>
            <w:vAlign w:val="center"/>
          </w:tcPr>
          <w:p>
            <w:pPr>
              <w:keepNext w:val="0"/>
              <w:spacing w:after="0" w:before="0" w:line="240" w:lineRule="auto"/>
              <w:jc w:val="right"/>
            </w:pPr>
            <w:r>
              <w:rPr>
                <w:rFonts w:ascii="Calibri" w:hAnsi="Calibri"/>
                <w:b w:val="0"/>
                <w:sz w:val="18"/>
              </w:rPr>
              <w:t>54.3%</w:t>
            </w:r>
          </w:p>
        </w:tc>
        <w:tc>
          <w:tcPr>
            <w:tcW w:type="dxa" w:w="1076"/>
            <w:vAlign w:val="center"/>
          </w:tcPr>
          <w:p>
            <w:pPr>
              <w:keepNext w:val="0"/>
              <w:spacing w:after="0" w:before="0" w:line="240" w:lineRule="auto"/>
              <w:jc w:val="right"/>
            </w:pPr>
            <w:r>
              <w:rPr>
                <w:rFonts w:ascii="Calibri" w:hAnsi="Calibri"/>
                <w:b w:val="0"/>
                <w:sz w:val="18"/>
              </w:rPr>
              <w:t>47.3%</w:t>
            </w:r>
          </w:p>
        </w:tc>
      </w:tr>
      <w:tr>
        <w:trPr>
          <w:cantSplit/>
        </w:trPr>
        <w:tc>
          <w:tcPr>
            <w:tcW w:type="dxa" w:w="1613"/>
            <w:vAlign w:val="center"/>
          </w:tcPr>
          <w:p>
            <w:pPr>
              <w:keepNext/>
              <w:spacing w:after="0" w:before="0" w:line="240" w:lineRule="auto"/>
            </w:pPr>
            <w:r>
              <w:rPr>
                <w:rFonts w:ascii="Calibri" w:hAnsi="Calibri"/>
                <w:b w:val="0"/>
                <w:sz w:val="18"/>
              </w:rPr>
              <w:t>90 d</w:t>
            </w:r>
          </w:p>
        </w:tc>
        <w:tc>
          <w:tcPr>
            <w:tcW w:type="dxa" w:w="1076"/>
            <w:vAlign w:val="center"/>
          </w:tcPr>
          <w:p>
            <w:pPr>
              <w:keepNext/>
              <w:spacing w:after="0" w:before="0" w:line="240" w:lineRule="auto"/>
              <w:jc w:val="right"/>
            </w:pPr>
            <w:r>
              <w:rPr>
                <w:rFonts w:ascii="Calibri" w:hAnsi="Calibri"/>
                <w:b w:val="0"/>
                <w:sz w:val="18"/>
              </w:rPr>
              <w:t>40.0%</w:t>
            </w:r>
          </w:p>
        </w:tc>
        <w:tc>
          <w:tcPr>
            <w:tcW w:type="dxa" w:w="1076"/>
            <w:vAlign w:val="center"/>
          </w:tcPr>
          <w:p>
            <w:pPr>
              <w:keepNext/>
              <w:spacing w:after="0" w:before="0" w:line="240" w:lineRule="auto"/>
              <w:jc w:val="right"/>
            </w:pPr>
            <w:r>
              <w:rPr>
                <w:rFonts w:ascii="Calibri" w:hAnsi="Calibri"/>
                <w:b w:val="0"/>
                <w:sz w:val="18"/>
              </w:rPr>
              <w:t>17.7%</w:t>
            </w:r>
          </w:p>
        </w:tc>
        <w:tc>
          <w:tcPr>
            <w:tcW w:type="dxa" w:w="1076"/>
            <w:vAlign w:val="center"/>
          </w:tcPr>
          <w:p>
            <w:pPr>
              <w:keepNext/>
              <w:spacing w:after="0" w:before="0" w:line="240" w:lineRule="auto"/>
              <w:jc w:val="right"/>
            </w:pPr>
            <w:r>
              <w:rPr>
                <w:rFonts w:ascii="Calibri" w:hAnsi="Calibri"/>
                <w:b w:val="0"/>
                <w:sz w:val="18"/>
              </w:rPr>
              <w:t>10</w:t>
            </w:r>
          </w:p>
        </w:tc>
        <w:tc>
          <w:tcPr>
            <w:tcW w:type="dxa" w:w="1076"/>
            <w:vAlign w:val="center"/>
          </w:tcPr>
          <w:p>
            <w:pPr>
              <w:keepNext/>
              <w:spacing w:after="0" w:before="0" w:line="240" w:lineRule="auto"/>
              <w:jc w:val="right"/>
            </w:pPr>
            <w:r>
              <w:rPr>
                <w:rFonts w:ascii="Calibri" w:hAnsi="Calibri"/>
                <w:b w:val="0"/>
                <w:sz w:val="18"/>
              </w:rPr>
              <w:t>4.49</w:t>
            </w:r>
          </w:p>
        </w:tc>
        <w:tc>
          <w:tcPr>
            <w:tcW w:type="dxa" w:w="1076"/>
            <w:vAlign w:val="center"/>
          </w:tcPr>
          <w:p>
            <w:pPr>
              <w:keepNext/>
              <w:spacing w:after="0" w:before="0" w:line="240" w:lineRule="auto"/>
              <w:jc w:val="right"/>
            </w:pPr>
            <w:r>
              <w:rPr>
                <w:rFonts w:ascii="Calibri" w:hAnsi="Calibri"/>
                <w:b w:val="0"/>
                <w:sz w:val="18"/>
              </w:rPr>
              <w:t>0.965</w:t>
            </w:r>
          </w:p>
        </w:tc>
        <w:tc>
          <w:tcPr>
            <w:tcW w:type="dxa" w:w="1076"/>
            <w:vAlign w:val="center"/>
          </w:tcPr>
          <w:p>
            <w:pPr>
              <w:keepNext/>
              <w:spacing w:after="0" w:before="0" w:line="240" w:lineRule="auto"/>
              <w:jc w:val="right"/>
            </w:pPr>
            <w:r>
              <w:rPr>
                <w:rFonts w:ascii="Calibri" w:hAnsi="Calibri"/>
                <w:b w:val="0"/>
                <w:sz w:val="18"/>
              </w:rPr>
              <w:t>0.766</w:t>
            </w:r>
          </w:p>
        </w:tc>
        <w:tc>
          <w:tcPr>
            <w:tcW w:type="dxa" w:w="1076"/>
            <w:vAlign w:val="center"/>
          </w:tcPr>
          <w:p>
            <w:pPr>
              <w:keepNext/>
              <w:spacing w:after="0" w:before="0" w:line="240" w:lineRule="auto"/>
              <w:jc w:val="right"/>
            </w:pPr>
            <w:r>
              <w:rPr>
                <w:rFonts w:ascii="Calibri" w:hAnsi="Calibri"/>
                <w:b w:val="0"/>
                <w:sz w:val="18"/>
              </w:rPr>
              <w:t>55.2%</w:t>
            </w:r>
          </w:p>
        </w:tc>
        <w:tc>
          <w:tcPr>
            <w:tcW w:type="dxa" w:w="1076"/>
            <w:vAlign w:val="center"/>
          </w:tcPr>
          <w:p>
            <w:pPr>
              <w:keepNext/>
              <w:spacing w:after="0" w:before="0" w:line="240" w:lineRule="auto"/>
              <w:jc w:val="right"/>
            </w:pPr>
            <w:r>
              <w:rPr>
                <w:rFonts w:ascii="Calibri" w:hAnsi="Calibri"/>
                <w:b w:val="0"/>
                <w:sz w:val="18"/>
              </w:rPr>
              <w:t>46.0%</w:t>
            </w:r>
          </w:p>
        </w:tc>
      </w:tr>
    </w:tbl>
    <w:p>
      <w:pPr>
        <w:keepLines/>
        <w:spacing w:before="60" w:after="120"/>
      </w:pPr>
      <w:r>
        <w:rPr>
          <w:sz w:val="18"/>
        </w:rPr>
        <w:t>Measurements from the real public datasets specified in this section.</w:t>
      </w:r>
    </w:p>
    <w:p>
      <w:pPr>
        <w:pStyle w:val="Heading3"/>
      </w:pPr>
      <w:r>
        <w:t>8.5.2 Neighbourhood exposure grows faster than effective occupancy</w:t>
      </w:r>
    </w:p>
    <w:p>
      <w:r>
        <w:t>From 7 to 90 days, median raw active-neighbour coverage rises from 10.0% to 40.0% (4.00×). Effective static coverage rises from 7.64% to 17.69% (2.32×). A descriptive finite-range log-log fit gives exponents 0.545 and 0.329 respectively, with R² 0.9996 and 0.9985. These are finite-range descriptions of the measured five scales, not universal scaling laws.</w:t>
      </w:r>
    </w:p>
    <w:p>
      <w:pPr>
        <w:keepNext/>
        <w:spacing w:after="60"/>
        <w:jc w:val="center"/>
      </w:pPr>
      <w:r>
        <w:drawing>
          <wp:inline xmlns:a="http://schemas.openxmlformats.org/drawingml/2006/main" xmlns:pic="http://schemas.openxmlformats.org/drawingml/2006/picture">
            <wp:extent cx="6309360" cy="4206240"/>
            <wp:docPr id="64" name="Picture 64"/>
            <wp:cNvGraphicFramePr>
              <a:graphicFrameLocks noChangeAspect="1"/>
            </wp:cNvGraphicFramePr>
            <a:graphic>
              <a:graphicData uri="http://schemas.openxmlformats.org/drawingml/2006/picture">
                <pic:pic>
                  <pic:nvPicPr>
                    <pic:cNvPr id="0" name="64_image62.png"/>
                    <pic:cNvPicPr/>
                  </pic:nvPicPr>
                  <pic:blipFill>
                    <a:blip r:embed="rId77"/>
                    <a:stretch>
                      <a:fillRect/>
                    </a:stretch>
                  </pic:blipFill>
                  <pic:spPr>
                    <a:xfrm>
                      <a:off x="0" y="0"/>
                      <a:ext cx="6309360" cy="4206240"/>
                    </a:xfrm>
                    <a:prstGeom prst="rect"/>
                  </pic:spPr>
                </pic:pic>
              </a:graphicData>
            </a:graphic>
          </wp:inline>
        </w:drawing>
      </w:r>
    </w:p>
    <w:p>
      <w:pPr>
        <w:pStyle w:val="Caption"/>
      </w:pPr>
      <w:r>
        <w:t>Figure 64. Raw neighbourhood exposure expands faster than weighted effective occupancy.</w:t>
      </w:r>
    </w:p>
    <w:p>
      <w:pPr>
        <w:pStyle w:val="Heading3"/>
      </w:pPr>
      <w:r>
        <w:t>8.5.3 Longer windows add partners faster than they add traffic-bearing support</w:t>
      </w:r>
    </w:p>
    <w:p>
      <w:r>
        <w:t>Median active partners rise from 3 to 10, but effective partners rise only from 2.67 to 4.49. The effective/raw partner ratio therefore falls from 0.889 to 0.449. The extra names accumulated by a longer window increasingly occupy a light-use tail around a smaller traffic-bearing core.</w:t>
      </w:r>
    </w:p>
    <w:p>
      <w:pPr>
        <w:keepNext/>
        <w:spacing w:after="60"/>
        <w:jc w:val="center"/>
      </w:pPr>
      <w:r>
        <w:drawing>
          <wp:inline xmlns:a="http://schemas.openxmlformats.org/drawingml/2006/main" xmlns:pic="http://schemas.openxmlformats.org/drawingml/2006/picture">
            <wp:extent cx="6309360" cy="4206240"/>
            <wp:docPr id="65" name="Picture 65"/>
            <wp:cNvGraphicFramePr>
              <a:graphicFrameLocks noChangeAspect="1"/>
            </wp:cNvGraphicFramePr>
            <a:graphic>
              <a:graphicData uri="http://schemas.openxmlformats.org/drawingml/2006/picture">
                <pic:pic>
                  <pic:nvPicPr>
                    <pic:cNvPr id="0" name="65_image63.png"/>
                    <pic:cNvPicPr/>
                  </pic:nvPicPr>
                  <pic:blipFill>
                    <a:blip r:embed="rId78"/>
                    <a:stretch>
                      <a:fillRect/>
                    </a:stretch>
                  </pic:blipFill>
                  <pic:spPr>
                    <a:xfrm>
                      <a:off x="0" y="0"/>
                      <a:ext cx="6309360" cy="4206240"/>
                    </a:xfrm>
                    <a:prstGeom prst="rect"/>
                  </pic:spPr>
                </pic:pic>
              </a:graphicData>
            </a:graphic>
          </wp:inline>
        </w:drawing>
      </w:r>
    </w:p>
    <w:p>
      <w:pPr>
        <w:pStyle w:val="Caption"/>
      </w:pPr>
      <w:r>
        <w:t>Figure 65. Partner count expands much faster than inverse-Herfindahl effective partner count.</w:t>
      </w:r>
    </w:p>
    <w:p>
      <w:pPr>
        <w:pStyle w:val="Heading3"/>
      </w:pPr>
      <w:r>
        <w:t>8.5.4 Coarse-graining compresses but does not erase node/dyad separation</w:t>
      </w:r>
    </w:p>
    <w:p>
      <w:r>
        <w:t>The node-minus-dyad adjacent-window cosine gap falls from 0.372 at 7 days to 0.198 at 90 days. Its descriptive finite-range log-log exponent is −0.252 (R² 0.994). The dyad/node entropy-effective-rank ratio simultaneously falls from 2.229 to 1.185. Longer windows therefore make the two state layers look more alike, but the relation layer remains the faster and broader temporal object throughout the measured range.</w:t>
      </w:r>
    </w:p>
    <w:p>
      <w:pPr>
        <w:keepNext/>
        <w:spacing w:after="60"/>
        <w:jc w:val="center"/>
      </w:pPr>
      <w:r>
        <w:drawing>
          <wp:inline xmlns:a="http://schemas.openxmlformats.org/drawingml/2006/main" xmlns:pic="http://schemas.openxmlformats.org/drawingml/2006/picture">
            <wp:extent cx="6309360" cy="4206240"/>
            <wp:docPr id="66" name="Picture 66"/>
            <wp:cNvGraphicFramePr>
              <a:graphicFrameLocks noChangeAspect="1"/>
            </wp:cNvGraphicFramePr>
            <a:graphic>
              <a:graphicData uri="http://schemas.openxmlformats.org/drawingml/2006/picture">
                <pic:pic>
                  <pic:nvPicPr>
                    <pic:cNvPr id="0" name="66_image64.png"/>
                    <pic:cNvPicPr/>
                  </pic:nvPicPr>
                  <pic:blipFill>
                    <a:blip r:embed="rId79"/>
                    <a:stretch>
                      <a:fillRect/>
                    </a:stretch>
                  </pic:blipFill>
                  <pic:spPr>
                    <a:xfrm>
                      <a:off x="0" y="0"/>
                      <a:ext cx="6309360" cy="4206240"/>
                    </a:xfrm>
                    <a:prstGeom prst="rect"/>
                  </pic:spPr>
                </pic:pic>
              </a:graphicData>
            </a:graphic>
          </wp:inline>
        </w:drawing>
      </w:r>
    </w:p>
    <w:p>
      <w:pPr>
        <w:pStyle w:val="Caption"/>
      </w:pPr>
      <w:r>
        <w:t>Figure 66. Longer windows make node and relation states look more alike, yet a continuity gap remains at every measured scale.</w:t>
      </w:r>
    </w:p>
    <w:p>
      <w:r>
        <w:t>The spectral view points in the same direction: directed relation state retains broader temporal support, especially at short windows, and converges toward the node field as averaging becomes coarser.</w:t>
      </w:r>
    </w:p>
    <w:p>
      <w:pPr>
        <w:keepNext/>
        <w:spacing w:after="60"/>
        <w:jc w:val="center"/>
      </w:pPr>
      <w:r>
        <w:drawing>
          <wp:inline xmlns:a="http://schemas.openxmlformats.org/drawingml/2006/main" xmlns:pic="http://schemas.openxmlformats.org/drawingml/2006/picture">
            <wp:extent cx="6309360" cy="4206240"/>
            <wp:docPr id="67" name="Picture 67"/>
            <wp:cNvGraphicFramePr>
              <a:graphicFrameLocks noChangeAspect="1"/>
            </wp:cNvGraphicFramePr>
            <a:graphic>
              <a:graphicData uri="http://schemas.openxmlformats.org/drawingml/2006/picture">
                <pic:pic>
                  <pic:nvPicPr>
                    <pic:cNvPr id="0" name="67_image68.png"/>
                    <pic:cNvPicPr/>
                  </pic:nvPicPr>
                  <pic:blipFill>
                    <a:blip r:embed="rId80"/>
                    <a:stretch>
                      <a:fillRect/>
                    </a:stretch>
                  </pic:blipFill>
                  <pic:spPr>
                    <a:xfrm>
                      <a:off x="0" y="0"/>
                      <a:ext cx="6309360" cy="4206240"/>
                    </a:xfrm>
                    <a:prstGeom prst="rect"/>
                  </pic:spPr>
                </pic:pic>
              </a:graphicData>
            </a:graphic>
          </wp:inline>
        </w:drawing>
      </w:r>
    </w:p>
    <w:p>
      <w:pPr>
        <w:pStyle w:val="Caption"/>
      </w:pPr>
      <w:r>
        <w:t>Figure 67. Directed relation state retains broader temporal support, especially at short windows.</w:t>
      </w:r>
    </w:p>
    <w:p>
      <w:pPr>
        <w:pStyle w:val="Heading3"/>
      </w:pPr>
      <w:r>
        <w:t>8.5.5 Ninety days still does not look static</w:t>
      </w:r>
    </w:p>
    <w:p>
      <w:r>
        <w:t>Prior-edge retention increases from 39.6% at 7 days to 55.2% at 90 days. The current-window new-edge fraction declines from 60.7% to 46.0%. Thus, even across adjacent quarter-year windows, almost half of the currently active directed edges were absent from the preceding quarter-year window.</w:t>
      </w:r>
    </w:p>
    <w:p>
      <w:pPr>
        <w:keepNext/>
        <w:spacing w:after="60"/>
        <w:jc w:val="center"/>
      </w:pPr>
      <w:r>
        <w:drawing>
          <wp:inline xmlns:a="http://schemas.openxmlformats.org/drawingml/2006/main" xmlns:pic="http://schemas.openxmlformats.org/drawingml/2006/picture">
            <wp:extent cx="6309360" cy="4206240"/>
            <wp:docPr id="68" name="Picture 68"/>
            <wp:cNvGraphicFramePr>
              <a:graphicFrameLocks noChangeAspect="1"/>
            </wp:cNvGraphicFramePr>
            <a:graphic>
              <a:graphicData uri="http://schemas.openxmlformats.org/drawingml/2006/picture">
                <pic:pic>
                  <pic:nvPicPr>
                    <pic:cNvPr id="0" name="68_image65.png"/>
                    <pic:cNvPicPr/>
                  </pic:nvPicPr>
                  <pic:blipFill>
                    <a:blip r:embed="rId81"/>
                    <a:stretch>
                      <a:fillRect/>
                    </a:stretch>
                  </pic:blipFill>
                  <pic:spPr>
                    <a:xfrm>
                      <a:off x="0" y="0"/>
                      <a:ext cx="6309360" cy="4206240"/>
                    </a:xfrm>
                    <a:prstGeom prst="rect"/>
                  </pic:spPr>
                </pic:pic>
              </a:graphicData>
            </a:graphic>
          </wp:inline>
        </w:drawing>
      </w:r>
    </w:p>
    <w:p>
      <w:pPr>
        <w:pStyle w:val="Caption"/>
      </w:pPr>
      <w:r>
        <w:t>Figure 68. Relation turnover weakens with coarse-graining but remains substantial at 90 days.</w:t>
      </w:r>
    </w:p>
    <w:p>
      <w:pPr>
        <w:pStyle w:val="Heading3"/>
      </w:pPr>
      <w:r>
        <w:t>8.5.6 Discussion a longer shutter blurs traffic; it does not turn traffic into roads</w:t>
      </w:r>
    </w:p>
    <w:p>
      <w:r>
        <w:t>025 changes the camera rather than the network. Open the temporal shutter from one week to three months and the frame naturally fills with more lifetime neighbours: raw coverage quadruples from 10.0% to 40.0%. But the weighted picture fills much more slowly; effective coverage rises only from 7.64% to 17.69%. The longer exposure is therefore not revealing a uniformly occupied neighbourhood. It is accumulating a growing halo of weakly used relations around a much smaller traffic-bearing core.</w:t>
      </w:r>
    </w:p>
    <w:p>
      <w:r>
        <w:t>The partner counts tell the same story in a more intuitive unit. A median node moves from 3 active partners at 7 days to 10 at 90 days, yet its effective partner count rises only from 2.67 to 4.49. By the three-month window, more than half of the nominal partner set has little leverage on the weighted occupancy measure. For graph computation, that means “number of observed neighbours” and “amount of relation support” are different state variables; temporal aggregation renormalizes them at different rates.</w:t>
      </w:r>
    </w:p>
    <w:p>
      <w:r>
        <w:t>Coarse-graining also squeezes the difference between node and relation dynamics. The continuity gap drops from 0.372 to 0.198, and the dyad/node entropy-rank ratio falls from 2.229 to 1.185. This is exactly the direction expected when a fast microstate is averaged under a slower envelope: some of the fast variation cancels inside the wider bin. The measured result is useful because the collapse is incomplete. Even at 90 days, the dyad state remains less continuous than the node state.</w:t>
      </w:r>
    </w:p>
    <w:p>
      <w:r>
        <w:t>The edge-turnover result prevents a particularly tempting engineering shortcut. A quarter-year window may look visually “full”, but 46.0% of its active directed edges are new relative to the previous quarter. Static adjacency is therefore not recovered simply by choosing a coarse enough behavioural window within the measured range. The practical representation suggested by these measurements is multiscale: retain a long-run structural graph, maintain explicit relation state, and make the observation scale itself visible to the model rather than silently changing what a snapshot means.</w:t>
      </w:r>
    </w:p>
    <w:p>
      <w:pPr>
        <w:pStyle w:val="Heading3"/>
      </w:pPr>
      <w:r>
        <w:t>8.5.7 Evidence-derived engineering guidance</w:t>
      </w:r>
    </w:p>
    <w:p>
      <w:r>
        <w:t>1. Make temporal resolution explicit in graph state; a 7-day snapshot and a 90-day snapshot are different observation scales.</w:t>
      </w:r>
    </w:p>
    <w:p>
      <w:r>
        <w:t>2. Preserve both raw partner exposure and weighted effective occupancy because they renormalize at different rates.</w:t>
      </w:r>
    </w:p>
    <w:p>
      <w:r>
        <w:t>3. Use multiscale temporal channels when the task spans more than one behavioural timescale.</w:t>
      </w:r>
    </w:p>
    <w:p>
      <w:r>
        <w:t>4. Do not infer that relation state is redundant merely because coarse windows reduce node/dyad separation.</w:t>
      </w:r>
    </w:p>
    <w:p>
      <w:r>
        <w:t>5. Keep long-run structure, node activity and relation activity available simultaneously when downstream tasks need both persistence and current interaction state.</w:t>
      </w:r>
    </w:p>
    <w:p>
      <w:pPr>
        <w:pStyle w:val="Heading3"/>
      </w:pPr>
      <w:r>
        <w:t>8.5.8 Evidence status</w:t>
      </w:r>
    </w:p>
    <w:p>
      <w:r>
        <w:t>All 025 inputs are verified outputs from REAL-GRAPH-ACTIVE-FIELD-GEOMETRY-024 on the real Email-Eu-core-temporal dataset. The five-scale fits are descriptive finite-range summaries. Input SHA-256 hashes and the full 025 analysis script are archived in the evidence package. No synthetic graph or generated event stream enters 025.</w:t>
      </w:r>
    </w:p>
    <w:p>
      <w:pPr>
        <w:pStyle w:val="Heading1"/>
        <w:pageBreakBefore w:val="0"/>
      </w:pPr>
      <w:r>
        <w:t>9. Distributed state coordination</w:t>
      </w:r>
    </w:p>
    <w:p>
      <w:pPr>
        <w:pStyle w:val="Heading2"/>
      </w:pPr>
      <w:r>
        <w:t>9.1 DISTRIBUTED-ONTOLOGY-COORDINATION-026 One logical corpus across physical owners</w:t>
      </w:r>
    </w:p>
    <w:p>
      <w:r>
        <w:t>This experiment studies placement, routing, reduction and coordinator metadata after a logical corpus is distributed across owners. The workload is the actual 134-page research report available at the time of the experiment. Its sections and tables are partitioned and queried through a running multiprocess prototype. Here “ontology” denotes the corpus's identified state objects and dependencies, rather than a claim about machine cognition.</w:t>
      </w:r>
    </w:p>
    <w:p>
      <w:r>
        <w:t>The same document objects are placed across 2, 4, 8 and 16 owners. Centralized retrieval provides a fixed reference. The comparison therefore measures distributed retrieval and coordination of this corpus rather than the capability of a newly trained language model.</w:t>
      </w:r>
    </w:p>
    <w:p>
      <w:pPr>
        <w:pStyle w:val="Heading3"/>
      </w:pPr>
      <w:r>
        <w:t>9.1.1 Document-derived workload</w:t>
      </w:r>
    </w:p>
    <w:p>
      <w:r>
        <w:t>The frozen report yields 372 state objects: 287 section chunks and 85 table chunks, containing 199,208 UTF-8 bytes of text. Character 2–5-gram TF–IDF represents the mixed Chinese and English corpus using 30,000 features and 333,286 nonzero entries.</w:t>
      </w:r>
    </w:p>
    <w:p>
      <w:r>
        <w:t>Five hundred queries are deterministically derived from the document, including single-section and adjacent-section composite queries. The corpus also supplies 1,409 semantic k-nearest-neighbour dependency edges. Centralized top-5 retrieval is the reference; each distributed method chooses which shards to contact. Agreement measures reproduction of that reference on this workload, rather than independently labelled semantic relevance.</w:t>
      </w:r>
    </w:p>
    <w:p>
      <w:pPr>
        <w:pStyle w:val="Heading3"/>
      </w:pPr>
      <w:r>
        <w:t>9.1.2 Placement locality and load balance</w:t>
      </w:r>
    </w:p>
    <w:p>
      <w:pPr>
        <w:pStyle w:val="Caption"/>
        <w:keepNext/>
      </w:pPr>
      <w:r>
        <w:t>Table 87. Placement locality and load at 16 shards.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16-shard placement</w:t>
            </w:r>
          </w:p>
        </w:tc>
        <w:tc>
          <w:tcPr>
            <w:tcW w:type="dxa" w:w="2664"/>
            <w:vAlign w:val="center"/>
            <w:shd w:fill="F2F2F2"/>
          </w:tcPr>
          <w:p>
            <w:pPr>
              <w:keepNext/>
              <w:spacing w:after="0" w:before="0" w:line="240" w:lineRule="auto"/>
            </w:pPr>
            <w:r>
              <w:rPr>
                <w:rFonts w:ascii="Calibri" w:hAnsi="Calibri"/>
                <w:b/>
                <w:sz w:val="19"/>
              </w:rPr>
              <w:t>Byte-load CV</w:t>
            </w:r>
          </w:p>
        </w:tc>
        <w:tc>
          <w:tcPr>
            <w:tcW w:type="dxa" w:w="2664"/>
            <w:vAlign w:val="center"/>
            <w:shd w:fill="F2F2F2"/>
          </w:tcPr>
          <w:p>
            <w:pPr>
              <w:keepNext/>
              <w:spacing w:after="0" w:before="0" w:line="240" w:lineRule="auto"/>
            </w:pPr>
            <w:r>
              <w:rPr>
                <w:rFonts w:ascii="Calibri" w:hAnsi="Calibri"/>
                <w:b/>
                <w:sz w:val="19"/>
              </w:rPr>
              <w:t>Largest shard</w:t>
            </w:r>
          </w:p>
        </w:tc>
        <w:tc>
          <w:tcPr>
            <w:tcW w:type="dxa" w:w="2664"/>
            <w:vAlign w:val="center"/>
            <w:shd w:fill="F2F2F2"/>
          </w:tcPr>
          <w:p>
            <w:pPr>
              <w:keepNext/>
              <w:spacing w:after="0" w:before="0" w:line="240" w:lineRule="auto"/>
            </w:pPr>
            <w:r>
              <w:rPr>
                <w:rFonts w:ascii="Calibri" w:hAnsi="Calibri"/>
                <w:b/>
                <w:sz w:val="19"/>
              </w:rPr>
              <w:t>Semantic edge cut</w:t>
            </w:r>
          </w:p>
        </w:tc>
      </w:tr>
      <w:tr>
        <w:trPr>
          <w:cantSplit/>
        </w:trPr>
        <w:tc>
          <w:tcPr>
            <w:tcW w:type="dxa" w:w="2232"/>
            <w:vAlign w:val="center"/>
          </w:tcPr>
          <w:p>
            <w:pPr>
              <w:keepNext w:val="0"/>
              <w:spacing w:after="0" w:before="0" w:line="240" w:lineRule="auto"/>
            </w:pPr>
            <w:r>
              <w:rPr>
                <w:rFonts w:ascii="Calibri" w:hAnsi="Calibri"/>
                <w:b w:val="0"/>
                <w:sz w:val="19"/>
              </w:rPr>
              <w:t>Hash</w:t>
            </w:r>
          </w:p>
        </w:tc>
        <w:tc>
          <w:tcPr>
            <w:tcW w:type="dxa" w:w="2664"/>
            <w:vAlign w:val="center"/>
          </w:tcPr>
          <w:p>
            <w:pPr>
              <w:keepNext w:val="0"/>
              <w:spacing w:after="0" w:before="0" w:line="240" w:lineRule="auto"/>
              <w:jc w:val="right"/>
            </w:pPr>
            <w:r>
              <w:rPr>
                <w:rFonts w:ascii="Calibri" w:hAnsi="Calibri"/>
                <w:b w:val="0"/>
                <w:sz w:val="19"/>
              </w:rPr>
              <w:t>0.291</w:t>
            </w:r>
          </w:p>
        </w:tc>
        <w:tc>
          <w:tcPr>
            <w:tcW w:type="dxa" w:w="2664"/>
            <w:vAlign w:val="center"/>
          </w:tcPr>
          <w:p>
            <w:pPr>
              <w:keepNext w:val="0"/>
              <w:spacing w:after="0" w:before="0" w:line="240" w:lineRule="auto"/>
              <w:jc w:val="right"/>
            </w:pPr>
            <w:r>
              <w:rPr>
                <w:rFonts w:ascii="Calibri" w:hAnsi="Calibri"/>
                <w:b w:val="0"/>
                <w:sz w:val="19"/>
              </w:rPr>
              <w:t>9.24%</w:t>
            </w:r>
          </w:p>
        </w:tc>
        <w:tc>
          <w:tcPr>
            <w:tcW w:type="dxa" w:w="2664"/>
            <w:vAlign w:val="center"/>
          </w:tcPr>
          <w:p>
            <w:pPr>
              <w:keepNext w:val="0"/>
              <w:spacing w:after="0" w:before="0" w:line="240" w:lineRule="auto"/>
              <w:jc w:val="right"/>
            </w:pPr>
            <w:r>
              <w:rPr>
                <w:rFonts w:ascii="Calibri" w:hAnsi="Calibri"/>
                <w:b w:val="0"/>
                <w:sz w:val="19"/>
              </w:rPr>
              <w:t>93.3%</w:t>
            </w:r>
          </w:p>
        </w:tc>
      </w:tr>
      <w:tr>
        <w:trPr>
          <w:cantSplit/>
        </w:trPr>
        <w:tc>
          <w:tcPr>
            <w:tcW w:type="dxa" w:w="2232"/>
            <w:vAlign w:val="center"/>
          </w:tcPr>
          <w:p>
            <w:pPr>
              <w:keepNext w:val="0"/>
              <w:spacing w:after="0" w:before="0" w:line="240" w:lineRule="auto"/>
            </w:pPr>
            <w:r>
              <w:rPr>
                <w:rFonts w:ascii="Calibri" w:hAnsi="Calibri"/>
                <w:b w:val="0"/>
                <w:sz w:val="19"/>
              </w:rPr>
              <w:t>Chapter-greedy</w:t>
            </w:r>
          </w:p>
        </w:tc>
        <w:tc>
          <w:tcPr>
            <w:tcW w:type="dxa" w:w="2664"/>
            <w:vAlign w:val="center"/>
          </w:tcPr>
          <w:p>
            <w:pPr>
              <w:keepNext w:val="0"/>
              <w:spacing w:after="0" w:before="0" w:line="240" w:lineRule="auto"/>
              <w:jc w:val="right"/>
            </w:pPr>
            <w:r>
              <w:rPr>
                <w:rFonts w:ascii="Calibri" w:hAnsi="Calibri"/>
                <w:b w:val="0"/>
                <w:sz w:val="19"/>
              </w:rPr>
              <w:t>0.345</w:t>
            </w:r>
          </w:p>
        </w:tc>
        <w:tc>
          <w:tcPr>
            <w:tcW w:type="dxa" w:w="2664"/>
            <w:vAlign w:val="center"/>
          </w:tcPr>
          <w:p>
            <w:pPr>
              <w:keepNext w:val="0"/>
              <w:spacing w:after="0" w:before="0" w:line="240" w:lineRule="auto"/>
              <w:jc w:val="right"/>
            </w:pPr>
            <w:r>
              <w:rPr>
                <w:rFonts w:ascii="Calibri" w:hAnsi="Calibri"/>
                <w:b w:val="0"/>
                <w:sz w:val="19"/>
              </w:rPr>
              <w:t>14.56%</w:t>
            </w:r>
          </w:p>
        </w:tc>
        <w:tc>
          <w:tcPr>
            <w:tcW w:type="dxa" w:w="2664"/>
            <w:vAlign w:val="center"/>
          </w:tcPr>
          <w:p>
            <w:pPr>
              <w:keepNext w:val="0"/>
              <w:spacing w:after="0" w:before="0" w:line="240" w:lineRule="auto"/>
              <w:jc w:val="right"/>
            </w:pPr>
            <w:r>
              <w:rPr>
                <w:rFonts w:ascii="Calibri" w:hAnsi="Calibri"/>
                <w:b w:val="0"/>
                <w:sz w:val="19"/>
              </w:rPr>
              <w:t>41.5%</w:t>
            </w:r>
          </w:p>
        </w:tc>
      </w:tr>
      <w:tr>
        <w:trPr>
          <w:cantSplit/>
        </w:trPr>
        <w:tc>
          <w:tcPr>
            <w:tcW w:type="dxa" w:w="2232"/>
            <w:vAlign w:val="center"/>
          </w:tcPr>
          <w:p>
            <w:pPr>
              <w:keepNext w:val="0"/>
              <w:spacing w:after="0" w:before="0" w:line="240" w:lineRule="auto"/>
            </w:pPr>
            <w:r>
              <w:rPr>
                <w:rFonts w:ascii="Calibri" w:hAnsi="Calibri"/>
                <w:b w:val="0"/>
                <w:sz w:val="19"/>
              </w:rPr>
              <w:t>Semantic K-means</w:t>
            </w:r>
          </w:p>
        </w:tc>
        <w:tc>
          <w:tcPr>
            <w:tcW w:type="dxa" w:w="2664"/>
            <w:vAlign w:val="center"/>
          </w:tcPr>
          <w:p>
            <w:pPr>
              <w:keepNext w:val="0"/>
              <w:spacing w:after="0" w:before="0" w:line="240" w:lineRule="auto"/>
              <w:jc w:val="right"/>
            </w:pPr>
            <w:r>
              <w:rPr>
                <w:rFonts w:ascii="Calibri" w:hAnsi="Calibri"/>
                <w:b w:val="0"/>
                <w:sz w:val="19"/>
              </w:rPr>
              <w:t>1.347</w:t>
            </w:r>
          </w:p>
        </w:tc>
        <w:tc>
          <w:tcPr>
            <w:tcW w:type="dxa" w:w="2664"/>
            <w:vAlign w:val="center"/>
          </w:tcPr>
          <w:p>
            <w:pPr>
              <w:keepNext w:val="0"/>
              <w:spacing w:after="0" w:before="0" w:line="240" w:lineRule="auto"/>
              <w:jc w:val="right"/>
            </w:pPr>
            <w:r>
              <w:rPr>
                <w:rFonts w:ascii="Calibri" w:hAnsi="Calibri"/>
                <w:b w:val="0"/>
                <w:sz w:val="19"/>
              </w:rPr>
              <w:t>32.58%</w:t>
            </w:r>
          </w:p>
        </w:tc>
        <w:tc>
          <w:tcPr>
            <w:tcW w:type="dxa" w:w="2664"/>
            <w:vAlign w:val="center"/>
          </w:tcPr>
          <w:p>
            <w:pPr>
              <w:keepNext w:val="0"/>
              <w:spacing w:after="0" w:before="0" w:line="240" w:lineRule="auto"/>
              <w:jc w:val="right"/>
            </w:pPr>
            <w:r>
              <w:rPr>
                <w:rFonts w:ascii="Calibri" w:hAnsi="Calibri"/>
                <w:b w:val="0"/>
                <w:sz w:val="19"/>
              </w:rPr>
              <w:t>31.8%</w:t>
            </w:r>
          </w:p>
        </w:tc>
      </w:tr>
      <w:tr>
        <w:trPr>
          <w:cantSplit/>
        </w:trPr>
        <w:tc>
          <w:tcPr>
            <w:tcW w:type="dxa" w:w="2232"/>
            <w:vAlign w:val="center"/>
          </w:tcPr>
          <w:p>
            <w:pPr>
              <w:keepNext/>
              <w:spacing w:after="0" w:before="0" w:line="240" w:lineRule="auto"/>
            </w:pPr>
            <w:r>
              <w:rPr>
                <w:rFonts w:ascii="Calibri" w:hAnsi="Calibri"/>
                <w:b w:val="0"/>
                <w:sz w:val="19"/>
              </w:rPr>
              <w:t>Balanced semantic</w:t>
            </w:r>
          </w:p>
        </w:tc>
        <w:tc>
          <w:tcPr>
            <w:tcW w:type="dxa" w:w="2664"/>
            <w:vAlign w:val="center"/>
          </w:tcPr>
          <w:p>
            <w:pPr>
              <w:keepNext/>
              <w:spacing w:after="0" w:before="0" w:line="240" w:lineRule="auto"/>
              <w:jc w:val="right"/>
            </w:pPr>
            <w:r>
              <w:rPr>
                <w:rFonts w:ascii="Calibri" w:hAnsi="Calibri"/>
                <w:b w:val="0"/>
                <w:sz w:val="19"/>
              </w:rPr>
              <w:t>0.156</w:t>
            </w:r>
          </w:p>
        </w:tc>
        <w:tc>
          <w:tcPr>
            <w:tcW w:type="dxa" w:w="2664"/>
            <w:vAlign w:val="center"/>
          </w:tcPr>
          <w:p>
            <w:pPr>
              <w:keepNext/>
              <w:spacing w:after="0" w:before="0" w:line="240" w:lineRule="auto"/>
              <w:jc w:val="right"/>
            </w:pPr>
            <w:r>
              <w:rPr>
                <w:rFonts w:ascii="Calibri" w:hAnsi="Calibri"/>
                <w:b w:val="0"/>
                <w:sz w:val="19"/>
              </w:rPr>
              <w:t>6.75%</w:t>
            </w:r>
          </w:p>
        </w:tc>
        <w:tc>
          <w:tcPr>
            <w:tcW w:type="dxa" w:w="2664"/>
            <w:vAlign w:val="center"/>
          </w:tcPr>
          <w:p>
            <w:pPr>
              <w:keepNext/>
              <w:spacing w:after="0" w:before="0" w:line="240" w:lineRule="auto"/>
              <w:jc w:val="right"/>
            </w:pPr>
            <w:r>
              <w:rPr>
                <w:rFonts w:ascii="Calibri" w:hAnsi="Calibri"/>
                <w:b w:val="0"/>
                <w:sz w:val="19"/>
              </w:rPr>
              <w:t>52.4%</w:t>
            </w:r>
          </w:p>
        </w:tc>
      </w:tr>
    </w:tbl>
    <w:p>
      <w:pPr>
        <w:keepLines/>
        <w:spacing w:before="60" w:after="120"/>
      </w:pPr>
      <w:r>
        <w:rPr>
          <w:sz w:val="18"/>
        </w:rPr>
        <w:t>Real document-derived workload with controlled placement, fault or update conditions. Timing is specific to the local prototype.</w:t>
      </w:r>
    </w:p>
    <w:p>
      <w:r>
        <w:t>With 16 shards, hash placement cuts 93.3% of semantic neighbour edges. Semantic K-means reduces the edge cut to 31.8%, but byte-load CV rises to 1.347 and the largest shard holds 32.6% of the corpus.</w:t>
      </w:r>
    </w:p>
    <w:p>
      <w:r>
        <w:t>Capacity-constrained balanced semantic placement has a largest-shard share of 6.75%, byte-load CV 0.156 and semantic edge cut 52.4%. It trades some locality for a more balanced physical allocation.</w:t>
      </w:r>
    </w:p>
    <w:p>
      <w:pPr>
        <w:keepNext/>
        <w:spacing w:after="60"/>
        <w:jc w:val="center"/>
      </w:pPr>
      <w:r>
        <w:drawing>
          <wp:inline xmlns:a="http://schemas.openxmlformats.org/drawingml/2006/main" xmlns:pic="http://schemas.openxmlformats.org/drawingml/2006/picture">
            <wp:extent cx="6309360" cy="4263081"/>
            <wp:docPr id="69" name="Picture 69"/>
            <wp:cNvGraphicFramePr>
              <a:graphicFrameLocks noChangeAspect="1"/>
            </wp:cNvGraphicFramePr>
            <a:graphic>
              <a:graphicData uri="http://schemas.openxmlformats.org/drawingml/2006/picture">
                <pic:pic>
                  <pic:nvPicPr>
                    <pic:cNvPr id="0" name="69_image69.png"/>
                    <pic:cNvPicPr/>
                  </pic:nvPicPr>
                  <pic:blipFill>
                    <a:blip r:embed="rId82"/>
                    <a:stretch>
                      <a:fillRect/>
                    </a:stretch>
                  </pic:blipFill>
                  <pic:spPr>
                    <a:xfrm>
                      <a:off x="0" y="0"/>
                      <a:ext cx="6309360" cy="4263081"/>
                    </a:xfrm>
                    <a:prstGeom prst="rect"/>
                  </pic:spPr>
                </pic:pic>
              </a:graphicData>
            </a:graphic>
          </wp:inline>
        </w:drawing>
      </w:r>
    </w:p>
    <w:p>
      <w:pPr>
        <w:pStyle w:val="Caption"/>
      </w:pPr>
      <w:r>
        <w:t>Figure 69. Locality and byte-load balance for 16-shard placement of the real document corpus. Edge cut is the fraction of semantic neighbour dependencies crossing shard boundaries.</w:t>
      </w:r>
    </w:p>
    <w:p>
      <w:pPr>
        <w:pStyle w:val="Heading3"/>
      </w:pPr>
      <w:r>
        <w:t>9.1.3 Coordinator metadata</w:t>
      </w:r>
    </w:p>
    <w:p>
      <w:r>
        <w:t>A coordinator needs enough information to route queries without duplicating the owners' complete high-dimensional state. Two index designs are compared.</w:t>
      </w:r>
    </w:p>
    <w:p>
      <w:pPr>
        <w:pStyle w:val="ListBullet"/>
      </w:pPr>
      <w:r>
        <w:t>The exact envelope stores per-shard upper bounds for TF–IDF coordinates and supports branch-and-bound retrieval.</w:t>
      </w:r>
    </w:p>
    <w:p>
      <w:pPr>
        <w:pStyle w:val="ListBullet"/>
      </w:pPr>
      <w:r>
        <w:t>The compact router stores one or four 64-dimensional prototypes per shard and uses them to prioritize contacts.</w:t>
      </w:r>
    </w:p>
    <w:p>
      <w:pPr>
        <w:pStyle w:val="Caption"/>
        <w:keepNext/>
      </w:pPr>
      <w:r>
        <w:t>Table 88. Compact routing against centralized retrieval.</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2736"/>
        <w:gridCol w:w="2736"/>
        <w:gridCol w:w="2736"/>
      </w:tblGrid>
      <w:tr>
        <w:trPr>
          <w:cantSplit/>
          <w:tblHeader/>
        </w:trPr>
        <w:tc>
          <w:tcPr>
            <w:tcW w:type="dxa" w:w="2016"/>
            <w:vAlign w:val="center"/>
            <w:shd w:fill="F2F2F2"/>
          </w:tcPr>
          <w:p>
            <w:pPr>
              <w:keepNext/>
              <w:spacing w:after="0" w:before="0" w:line="240" w:lineRule="auto"/>
            </w:pPr>
            <w:r>
              <w:rPr>
                <w:rFonts w:ascii="Calibri" w:hAnsi="Calibri"/>
                <w:b/>
                <w:sz w:val="19"/>
              </w:rPr>
              <w:t>Shards contacted</w:t>
            </w:r>
          </w:p>
        </w:tc>
        <w:tc>
          <w:tcPr>
            <w:tcW w:type="dxa" w:w="2736"/>
            <w:vAlign w:val="center"/>
            <w:shd w:fill="F2F2F2"/>
          </w:tcPr>
          <w:p>
            <w:pPr>
              <w:keepNext/>
              <w:spacing w:after="0" w:before="0" w:line="240" w:lineRule="auto"/>
            </w:pPr>
            <w:r>
              <w:rPr>
                <w:rFonts w:ascii="Calibri" w:hAnsi="Calibri"/>
                <w:b/>
                <w:sz w:val="19"/>
              </w:rPr>
              <w:t>Body scored</w:t>
            </w:r>
          </w:p>
        </w:tc>
        <w:tc>
          <w:tcPr>
            <w:tcW w:type="dxa" w:w="2736"/>
            <w:vAlign w:val="center"/>
            <w:shd w:fill="F2F2F2"/>
          </w:tcPr>
          <w:p>
            <w:pPr>
              <w:keepNext/>
              <w:spacing w:after="0" w:before="0" w:line="240" w:lineRule="auto"/>
            </w:pPr>
            <w:r>
              <w:rPr>
                <w:rFonts w:ascii="Calibri" w:hAnsi="Calibri"/>
                <w:b/>
                <w:sz w:val="19"/>
              </w:rPr>
              <w:t>Mean recall@5</w:t>
            </w:r>
          </w:p>
        </w:tc>
        <w:tc>
          <w:tcPr>
            <w:tcW w:type="dxa" w:w="2736"/>
            <w:vAlign w:val="center"/>
            <w:shd w:fill="F2F2F2"/>
          </w:tcPr>
          <w:p>
            <w:pPr>
              <w:keepNext/>
              <w:spacing w:after="0" w:before="0" w:line="240" w:lineRule="auto"/>
            </w:pPr>
            <w:r>
              <w:rPr>
                <w:rFonts w:ascii="Calibri" w:hAnsi="Calibri"/>
                <w:b/>
                <w:sz w:val="19"/>
              </w:rPr>
              <w:t>Exact top-5 set</w:t>
            </w:r>
          </w:p>
        </w:tc>
      </w:tr>
      <w:tr>
        <w:trPr>
          <w:cantSplit/>
        </w:trPr>
        <w:tc>
          <w:tcPr>
            <w:tcW w:type="dxa" w:w="2016"/>
            <w:vAlign w:val="center"/>
          </w:tcPr>
          <w:p>
            <w:pPr>
              <w:keepNext w:val="0"/>
              <w:spacing w:after="0" w:before="0" w:line="240" w:lineRule="auto"/>
              <w:jc w:val="right"/>
            </w:pPr>
            <w:r>
              <w:rPr>
                <w:rFonts w:ascii="Calibri" w:hAnsi="Calibri"/>
                <w:b w:val="0"/>
                <w:sz w:val="19"/>
              </w:rPr>
              <w:t>1/16</w:t>
            </w:r>
          </w:p>
        </w:tc>
        <w:tc>
          <w:tcPr>
            <w:tcW w:type="dxa" w:w="2736"/>
            <w:vAlign w:val="center"/>
          </w:tcPr>
          <w:p>
            <w:pPr>
              <w:keepNext w:val="0"/>
              <w:spacing w:after="0" w:before="0" w:line="240" w:lineRule="auto"/>
              <w:jc w:val="right"/>
            </w:pPr>
            <w:r>
              <w:rPr>
                <w:rFonts w:ascii="Calibri" w:hAnsi="Calibri"/>
                <w:b w:val="0"/>
                <w:sz w:val="19"/>
              </w:rPr>
              <w:t>5.9%</w:t>
            </w:r>
          </w:p>
        </w:tc>
        <w:tc>
          <w:tcPr>
            <w:tcW w:type="dxa" w:w="2736"/>
            <w:vAlign w:val="center"/>
          </w:tcPr>
          <w:p>
            <w:pPr>
              <w:keepNext w:val="0"/>
              <w:spacing w:after="0" w:before="0" w:line="240" w:lineRule="auto"/>
              <w:jc w:val="right"/>
            </w:pPr>
            <w:r>
              <w:rPr>
                <w:rFonts w:ascii="Calibri" w:hAnsi="Calibri"/>
                <w:b w:val="0"/>
                <w:sz w:val="19"/>
              </w:rPr>
              <w:t>48.8%</w:t>
            </w:r>
          </w:p>
        </w:tc>
        <w:tc>
          <w:tcPr>
            <w:tcW w:type="dxa" w:w="2736"/>
            <w:vAlign w:val="center"/>
          </w:tcPr>
          <w:p>
            <w:pPr>
              <w:keepNext w:val="0"/>
              <w:spacing w:after="0" w:before="0" w:line="240" w:lineRule="auto"/>
              <w:jc w:val="right"/>
            </w:pPr>
            <w:r>
              <w:rPr>
                <w:rFonts w:ascii="Calibri" w:hAnsi="Calibri"/>
                <w:b w:val="0"/>
                <w:sz w:val="19"/>
              </w:rPr>
              <w:t>9.6%</w:t>
            </w:r>
          </w:p>
        </w:tc>
      </w:tr>
      <w:tr>
        <w:trPr>
          <w:cantSplit/>
        </w:trPr>
        <w:tc>
          <w:tcPr>
            <w:tcW w:type="dxa" w:w="2016"/>
            <w:vAlign w:val="center"/>
          </w:tcPr>
          <w:p>
            <w:pPr>
              <w:keepNext w:val="0"/>
              <w:spacing w:after="0" w:before="0" w:line="240" w:lineRule="auto"/>
              <w:jc w:val="right"/>
            </w:pPr>
            <w:r>
              <w:rPr>
                <w:rFonts w:ascii="Calibri" w:hAnsi="Calibri"/>
                <w:b w:val="0"/>
                <w:sz w:val="19"/>
              </w:rPr>
              <w:t>2/16</w:t>
            </w:r>
          </w:p>
        </w:tc>
        <w:tc>
          <w:tcPr>
            <w:tcW w:type="dxa" w:w="2736"/>
            <w:vAlign w:val="center"/>
          </w:tcPr>
          <w:p>
            <w:pPr>
              <w:keepNext w:val="0"/>
              <w:spacing w:after="0" w:before="0" w:line="240" w:lineRule="auto"/>
              <w:jc w:val="right"/>
            </w:pPr>
            <w:r>
              <w:rPr>
                <w:rFonts w:ascii="Calibri" w:hAnsi="Calibri"/>
                <w:b w:val="0"/>
                <w:sz w:val="19"/>
              </w:rPr>
              <w:t>11.7%</w:t>
            </w:r>
          </w:p>
        </w:tc>
        <w:tc>
          <w:tcPr>
            <w:tcW w:type="dxa" w:w="2736"/>
            <w:vAlign w:val="center"/>
          </w:tcPr>
          <w:p>
            <w:pPr>
              <w:keepNext w:val="0"/>
              <w:spacing w:after="0" w:before="0" w:line="240" w:lineRule="auto"/>
              <w:jc w:val="right"/>
            </w:pPr>
            <w:r>
              <w:rPr>
                <w:rFonts w:ascii="Calibri" w:hAnsi="Calibri"/>
                <w:b w:val="0"/>
                <w:sz w:val="19"/>
              </w:rPr>
              <w:t>70.1%</w:t>
            </w:r>
          </w:p>
        </w:tc>
        <w:tc>
          <w:tcPr>
            <w:tcW w:type="dxa" w:w="2736"/>
            <w:vAlign w:val="center"/>
          </w:tcPr>
          <w:p>
            <w:pPr>
              <w:keepNext w:val="0"/>
              <w:spacing w:after="0" w:before="0" w:line="240" w:lineRule="auto"/>
              <w:jc w:val="right"/>
            </w:pPr>
            <w:r>
              <w:rPr>
                <w:rFonts w:ascii="Calibri" w:hAnsi="Calibri"/>
                <w:b w:val="0"/>
                <w:sz w:val="19"/>
              </w:rPr>
              <w:t>26.4%</w:t>
            </w:r>
          </w:p>
        </w:tc>
      </w:tr>
      <w:tr>
        <w:trPr>
          <w:cantSplit/>
        </w:trPr>
        <w:tc>
          <w:tcPr>
            <w:tcW w:type="dxa" w:w="2016"/>
            <w:vAlign w:val="center"/>
          </w:tcPr>
          <w:p>
            <w:pPr>
              <w:keepNext w:val="0"/>
              <w:spacing w:after="0" w:before="0" w:line="240" w:lineRule="auto"/>
              <w:jc w:val="right"/>
            </w:pPr>
            <w:r>
              <w:rPr>
                <w:rFonts w:ascii="Calibri" w:hAnsi="Calibri"/>
                <w:b w:val="0"/>
                <w:sz w:val="19"/>
              </w:rPr>
              <w:t>4/16</w:t>
            </w:r>
          </w:p>
        </w:tc>
        <w:tc>
          <w:tcPr>
            <w:tcW w:type="dxa" w:w="2736"/>
            <w:vAlign w:val="center"/>
          </w:tcPr>
          <w:p>
            <w:pPr>
              <w:keepNext w:val="0"/>
              <w:spacing w:after="0" w:before="0" w:line="240" w:lineRule="auto"/>
              <w:jc w:val="right"/>
            </w:pPr>
            <w:r>
              <w:rPr>
                <w:rFonts w:ascii="Calibri" w:hAnsi="Calibri"/>
                <w:b w:val="0"/>
                <w:sz w:val="19"/>
              </w:rPr>
              <w:t>23.8%</w:t>
            </w:r>
          </w:p>
        </w:tc>
        <w:tc>
          <w:tcPr>
            <w:tcW w:type="dxa" w:w="2736"/>
            <w:vAlign w:val="center"/>
          </w:tcPr>
          <w:p>
            <w:pPr>
              <w:keepNext w:val="0"/>
              <w:spacing w:after="0" w:before="0" w:line="240" w:lineRule="auto"/>
              <w:jc w:val="right"/>
            </w:pPr>
            <w:r>
              <w:rPr>
                <w:rFonts w:ascii="Calibri" w:hAnsi="Calibri"/>
                <w:b w:val="0"/>
                <w:sz w:val="19"/>
              </w:rPr>
              <w:t>88.4%</w:t>
            </w:r>
          </w:p>
        </w:tc>
        <w:tc>
          <w:tcPr>
            <w:tcW w:type="dxa" w:w="2736"/>
            <w:vAlign w:val="center"/>
          </w:tcPr>
          <w:p>
            <w:pPr>
              <w:keepNext w:val="0"/>
              <w:spacing w:after="0" w:before="0" w:line="240" w:lineRule="auto"/>
              <w:jc w:val="right"/>
            </w:pPr>
            <w:r>
              <w:rPr>
                <w:rFonts w:ascii="Calibri" w:hAnsi="Calibri"/>
                <w:b w:val="0"/>
                <w:sz w:val="19"/>
              </w:rPr>
              <w:t>58.2%</w:t>
            </w:r>
          </w:p>
        </w:tc>
      </w:tr>
      <w:tr>
        <w:trPr>
          <w:cantSplit/>
        </w:trPr>
        <w:tc>
          <w:tcPr>
            <w:tcW w:type="dxa" w:w="2016"/>
            <w:vAlign w:val="center"/>
          </w:tcPr>
          <w:p>
            <w:pPr>
              <w:keepNext/>
              <w:spacing w:after="0" w:before="0" w:line="240" w:lineRule="auto"/>
              <w:jc w:val="right"/>
            </w:pPr>
            <w:r>
              <w:rPr>
                <w:rFonts w:ascii="Calibri" w:hAnsi="Calibri"/>
                <w:b w:val="0"/>
                <w:sz w:val="19"/>
              </w:rPr>
              <w:t>8/16</w:t>
            </w:r>
          </w:p>
        </w:tc>
        <w:tc>
          <w:tcPr>
            <w:tcW w:type="dxa" w:w="2736"/>
            <w:vAlign w:val="center"/>
          </w:tcPr>
          <w:p>
            <w:pPr>
              <w:keepNext/>
              <w:spacing w:after="0" w:before="0" w:line="240" w:lineRule="auto"/>
              <w:jc w:val="right"/>
            </w:pPr>
            <w:r>
              <w:rPr>
                <w:rFonts w:ascii="Calibri" w:hAnsi="Calibri"/>
                <w:b w:val="0"/>
                <w:sz w:val="19"/>
              </w:rPr>
              <w:t>47.1%</w:t>
            </w:r>
          </w:p>
        </w:tc>
        <w:tc>
          <w:tcPr>
            <w:tcW w:type="dxa" w:w="2736"/>
            <w:vAlign w:val="center"/>
          </w:tcPr>
          <w:p>
            <w:pPr>
              <w:keepNext/>
              <w:spacing w:after="0" w:before="0" w:line="240" w:lineRule="auto"/>
              <w:jc w:val="right"/>
            </w:pPr>
            <w:r>
              <w:rPr>
                <w:rFonts w:ascii="Calibri" w:hAnsi="Calibri"/>
                <w:b w:val="0"/>
                <w:sz w:val="19"/>
              </w:rPr>
              <w:t>98.4%</w:t>
            </w:r>
          </w:p>
        </w:tc>
        <w:tc>
          <w:tcPr>
            <w:tcW w:type="dxa" w:w="2736"/>
            <w:vAlign w:val="center"/>
          </w:tcPr>
          <w:p>
            <w:pPr>
              <w:keepNext/>
              <w:spacing w:after="0" w:before="0" w:line="240" w:lineRule="auto"/>
              <w:jc w:val="right"/>
            </w:pPr>
            <w:r>
              <w:rPr>
                <w:rFonts w:ascii="Calibri" w:hAnsi="Calibri"/>
                <w:b w:val="0"/>
                <w:sz w:val="19"/>
              </w:rPr>
              <w:t>92.2%</w:t>
            </w:r>
          </w:p>
        </w:tc>
      </w:tr>
    </w:tbl>
    <w:p>
      <w:pPr>
        <w:keepLines/>
        <w:spacing w:before="60" w:after="120"/>
      </w:pPr>
      <w:r>
        <w:rPr>
          <w:sz w:val="18"/>
        </w:rPr>
        <w:t>Real document-derived workload with controlled placement, fault or update conditions. Timing is specific to the local prototype.</w:t>
      </w:r>
    </w:p>
    <w:p>
      <w:r>
        <w:t>With 16 shards and four 64-dimensional prototypes per shard, the routing map occupies 16,384 bytes, approximately 8.2% of the source text. Contacting eight shards gives mean recall@5 of 98.4% and exact top-5 set agreement of 92.2%, scoring approximately 47.1% of the corpus.</w:t>
      </w:r>
    </w:p>
    <w:p>
      <w:r>
        <w:t>The 16-shard semantic-placement exact envelope achieves 100% top-5 agreement and contacts an average 6.09 shards. Its routing metadata occupies 1,087,736 bytes, 5.46 times the source text size. Exact pruning in this representation therefore carries a substantial coordinator-memory cost.</w:t>
      </w:r>
    </w:p>
    <w:p>
      <w:pPr>
        <w:keepNext/>
        <w:spacing w:after="60"/>
        <w:jc w:val="center"/>
      </w:pPr>
      <w:r>
        <w:drawing>
          <wp:inline xmlns:a="http://schemas.openxmlformats.org/drawingml/2006/main" xmlns:pic="http://schemas.openxmlformats.org/drawingml/2006/picture">
            <wp:extent cx="6309360" cy="4263081"/>
            <wp:docPr id="70" name="Picture 70"/>
            <wp:cNvGraphicFramePr>
              <a:graphicFrameLocks noChangeAspect="1"/>
            </wp:cNvGraphicFramePr>
            <a:graphic>
              <a:graphicData uri="http://schemas.openxmlformats.org/drawingml/2006/picture">
                <pic:pic>
                  <pic:nvPicPr>
                    <pic:cNvPr id="0" name="70_image70.png"/>
                    <pic:cNvPicPr/>
                  </pic:nvPicPr>
                  <pic:blipFill>
                    <a:blip r:embed="rId83"/>
                    <a:stretch>
                      <a:fillRect/>
                    </a:stretch>
                  </pic:blipFill>
                  <pic:spPr>
                    <a:xfrm>
                      <a:off x="0" y="0"/>
                      <a:ext cx="6309360" cy="4263081"/>
                    </a:xfrm>
                    <a:prstGeom prst="rect"/>
                  </pic:spPr>
                </pic:pic>
              </a:graphicData>
            </a:graphic>
          </wp:inline>
        </w:drawing>
      </w:r>
    </w:p>
    <w:p>
      <w:pPr>
        <w:pStyle w:val="Caption"/>
      </w:pPr>
      <w:r>
        <w:t>Figure 70. Compact routing with a 16 KB prototype map. Recall and exact-set agreement are measured against centralized top-5 retrieval as the fraction of contacted shards increases.</w:t>
      </w:r>
    </w:p>
    <w:p>
      <w:pPr>
        <w:keepNext/>
        <w:spacing w:after="60"/>
        <w:jc w:val="center"/>
      </w:pPr>
      <w:r>
        <w:drawing>
          <wp:inline xmlns:a="http://schemas.openxmlformats.org/drawingml/2006/main" xmlns:pic="http://schemas.openxmlformats.org/drawingml/2006/picture">
            <wp:extent cx="6309360" cy="3943350"/>
            <wp:docPr id="71" name="Picture 71"/>
            <wp:cNvGraphicFramePr>
              <a:graphicFrameLocks noChangeAspect="1"/>
            </wp:cNvGraphicFramePr>
            <a:graphic>
              <a:graphicData uri="http://schemas.openxmlformats.org/drawingml/2006/picture">
                <pic:pic>
                  <pic:nvPicPr>
                    <pic:cNvPr id="0" name="71_image71.png"/>
                    <pic:cNvPicPr/>
                  </pic:nvPicPr>
                  <pic:blipFill>
                    <a:blip r:embed="rId84"/>
                    <a:stretch>
                      <a:fillRect/>
                    </a:stretch>
                  </pic:blipFill>
                  <pic:spPr>
                    <a:xfrm>
                      <a:off x="0" y="0"/>
                      <a:ext cx="6309360" cy="3943350"/>
                    </a:xfrm>
                    <a:prstGeom prst="rect"/>
                  </pic:spPr>
                </pic:pic>
              </a:graphicData>
            </a:graphic>
          </wp:inline>
        </w:drawing>
      </w:r>
    </w:p>
    <w:p>
      <w:pPr>
        <w:pStyle w:val="Caption"/>
      </w:pPr>
      <w:r>
        <w:t>Figure 71. Coordinator metadata size for compact prototypes and high-dimensional exact envelopes. Sizes are compared with the frozen source text, not with a trained model's parameter memory.</w:t>
      </w:r>
    </w:p>
    <w:p>
      <w:pPr>
        <w:pStyle w:val="Heading3"/>
      </w:pPr>
      <w:r>
        <w:t>9.1.4 Multiprocess execution and orchestration overhead</w:t>
      </w:r>
    </w:p>
    <w:p>
      <w:r>
        <w:t>Eight worker processes each hold their own shard. The coordinator dispatches batches, workers compute local top-5 candidates, and the coordinator merges the results. Timing uses 2,048 query executions obtained by repeating the real 500-query set, amortizing process startup without introducing additional query content.</w:t>
      </w:r>
    </w:p>
    <w:p>
      <w:pPr>
        <w:pStyle w:val="Caption"/>
        <w:keepNext/>
      </w:pPr>
      <w:r>
        <w:t>Table 89. Single-machine execution throughput.</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1998"/>
        <w:gridCol w:w="1998"/>
        <w:gridCol w:w="1998"/>
        <w:gridCol w:w="1998"/>
      </w:tblGrid>
      <w:tr>
        <w:trPr>
          <w:cantSplit/>
          <w:tblHeader/>
        </w:trPr>
        <w:tc>
          <w:tcPr>
            <w:tcW w:type="dxa" w:w="2232"/>
            <w:vAlign w:val="center"/>
            <w:shd w:fill="F2F2F2"/>
          </w:tcPr>
          <w:p>
            <w:pPr>
              <w:keepNext/>
              <w:spacing w:after="0" w:before="0" w:line="240" w:lineRule="auto"/>
            </w:pPr>
            <w:r>
              <w:rPr>
                <w:rFonts w:ascii="Calibri" w:hAnsi="Calibri"/>
                <w:b/>
                <w:sz w:val="19"/>
              </w:rPr>
              <w:t>Execution mode</w:t>
            </w:r>
          </w:p>
        </w:tc>
        <w:tc>
          <w:tcPr>
            <w:tcW w:type="dxa" w:w="1998"/>
            <w:vAlign w:val="center"/>
            <w:shd w:fill="F2F2F2"/>
          </w:tcPr>
          <w:p>
            <w:pPr>
              <w:keepNext/>
              <w:spacing w:after="0" w:before="0" w:line="240" w:lineRule="auto"/>
            </w:pPr>
            <w:r>
              <w:rPr>
                <w:rFonts w:ascii="Calibri" w:hAnsi="Calibri"/>
                <w:b/>
                <w:sz w:val="19"/>
              </w:rPr>
              <w:t>Workers</w:t>
            </w:r>
          </w:p>
        </w:tc>
        <w:tc>
          <w:tcPr>
            <w:tcW w:type="dxa" w:w="1998"/>
            <w:vAlign w:val="center"/>
            <w:shd w:fill="F2F2F2"/>
          </w:tcPr>
          <w:p>
            <w:pPr>
              <w:keepNext/>
              <w:spacing w:after="0" w:before="0" w:line="240" w:lineRule="auto"/>
            </w:pPr>
            <w:r>
              <w:rPr>
                <w:rFonts w:ascii="Calibri" w:hAnsi="Calibri"/>
                <w:b/>
                <w:sz w:val="19"/>
              </w:rPr>
              <w:t>Dispatch batch</w:t>
            </w:r>
          </w:p>
        </w:tc>
        <w:tc>
          <w:tcPr>
            <w:tcW w:type="dxa" w:w="1998"/>
            <w:vAlign w:val="center"/>
            <w:shd w:fill="F2F2F2"/>
          </w:tcPr>
          <w:p>
            <w:pPr>
              <w:keepNext/>
              <w:spacing w:after="0" w:before="0" w:line="240" w:lineRule="auto"/>
            </w:pPr>
            <w:r>
              <w:rPr>
                <w:rFonts w:ascii="Calibri" w:hAnsi="Calibri"/>
                <w:b/>
                <w:sz w:val="19"/>
              </w:rPr>
              <w:t>Queries/s</w:t>
            </w:r>
          </w:p>
        </w:tc>
        <w:tc>
          <w:tcPr>
            <w:tcW w:type="dxa" w:w="1998"/>
            <w:vAlign w:val="center"/>
            <w:shd w:fill="F2F2F2"/>
          </w:tcPr>
          <w:p>
            <w:pPr>
              <w:keepNext/>
              <w:spacing w:after="0" w:before="0" w:line="240" w:lineRule="auto"/>
            </w:pPr>
            <w:r>
              <w:rPr>
                <w:rFonts w:ascii="Calibri" w:hAnsi="Calibri"/>
                <w:b/>
                <w:sz w:val="19"/>
              </w:rPr>
              <w:t>Agreement</w:t>
            </w:r>
          </w:p>
        </w:tc>
      </w:tr>
      <w:tr>
        <w:trPr>
          <w:cantSplit/>
        </w:trPr>
        <w:tc>
          <w:tcPr>
            <w:tcW w:type="dxa" w:w="2232"/>
            <w:vAlign w:val="center"/>
          </w:tcPr>
          <w:p>
            <w:pPr>
              <w:keepNext w:val="0"/>
              <w:spacing w:after="0" w:before="0" w:line="240" w:lineRule="auto"/>
            </w:pPr>
            <w:r>
              <w:rPr>
                <w:rFonts w:ascii="Calibri" w:hAnsi="Calibri"/>
                <w:b w:val="0"/>
                <w:sz w:val="19"/>
              </w:rPr>
              <w:t>Centralized best</w:t>
            </w:r>
          </w:p>
        </w:tc>
        <w:tc>
          <w:tcPr>
            <w:tcW w:type="dxa" w:w="1998"/>
            <w:vAlign w:val="center"/>
          </w:tcPr>
          <w:p>
            <w:pPr>
              <w:keepNext w:val="0"/>
              <w:spacing w:after="0" w:before="0" w:line="240" w:lineRule="auto"/>
              <w:jc w:val="right"/>
            </w:pPr>
            <w:r>
              <w:rPr>
                <w:rFonts w:ascii="Calibri" w:hAnsi="Calibri"/>
                <w:b w:val="0"/>
                <w:sz w:val="19"/>
              </w:rPr>
              <w:t>1</w:t>
            </w:r>
          </w:p>
        </w:tc>
        <w:tc>
          <w:tcPr>
            <w:tcW w:type="dxa" w:w="1998"/>
            <w:vAlign w:val="center"/>
          </w:tcPr>
          <w:p>
            <w:pPr>
              <w:keepNext w:val="0"/>
              <w:spacing w:after="0" w:before="0" w:line="240" w:lineRule="auto"/>
              <w:jc w:val="right"/>
            </w:pPr>
            <w:r>
              <w:rPr>
                <w:rFonts w:ascii="Calibri" w:hAnsi="Calibri"/>
                <w:b w:val="0"/>
                <w:sz w:val="19"/>
              </w:rPr>
              <w:t>256</w:t>
            </w:r>
          </w:p>
        </w:tc>
        <w:tc>
          <w:tcPr>
            <w:tcW w:type="dxa" w:w="1998"/>
            <w:vAlign w:val="center"/>
          </w:tcPr>
          <w:p>
            <w:pPr>
              <w:keepNext w:val="0"/>
              <w:spacing w:after="0" w:before="0" w:line="240" w:lineRule="auto"/>
              <w:jc w:val="right"/>
            </w:pPr>
            <w:r>
              <w:rPr>
                <w:rFonts w:ascii="Calibri" w:hAnsi="Calibri"/>
                <w:b w:val="0"/>
                <w:sz w:val="19"/>
              </w:rPr>
              <w:t>7667</w:t>
            </w:r>
          </w:p>
        </w:tc>
        <w:tc>
          <w:tcPr>
            <w:tcW w:type="dxa" w:w="1998"/>
            <w:vAlign w:val="center"/>
          </w:tcPr>
          <w:p>
            <w:pPr>
              <w:keepNext w:val="0"/>
              <w:spacing w:after="0" w:before="0" w:line="240" w:lineRule="auto"/>
            </w:pPr>
            <w:r>
              <w:rPr>
                <w:rFonts w:ascii="Calibri" w:hAnsi="Calibri"/>
                <w:b w:val="0"/>
                <w:sz w:val="19"/>
              </w:rPr>
              <w:t>100% reference</w:t>
            </w:r>
          </w:p>
        </w:tc>
      </w:tr>
      <w:tr>
        <w:trPr>
          <w:cantSplit/>
        </w:trPr>
        <w:tc>
          <w:tcPr>
            <w:tcW w:type="dxa" w:w="2232"/>
            <w:vAlign w:val="center"/>
          </w:tcPr>
          <w:p>
            <w:pPr>
              <w:keepNext w:val="0"/>
              <w:spacing w:after="0" w:before="0" w:line="240" w:lineRule="auto"/>
            </w:pPr>
            <w:r>
              <w:rPr>
                <w:rFonts w:ascii="Calibri" w:hAnsi="Calibri"/>
                <w:b w:val="0"/>
                <w:sz w:val="19"/>
              </w:rPr>
              <w:t>8-worker broadcast</w:t>
            </w:r>
          </w:p>
        </w:tc>
        <w:tc>
          <w:tcPr>
            <w:tcW w:type="dxa" w:w="1998"/>
            <w:vAlign w:val="center"/>
          </w:tcPr>
          <w:p>
            <w:pPr>
              <w:keepNext w:val="0"/>
              <w:spacing w:after="0" w:before="0" w:line="240" w:lineRule="auto"/>
              <w:jc w:val="right"/>
            </w:pPr>
            <w:r>
              <w:rPr>
                <w:rFonts w:ascii="Calibri" w:hAnsi="Calibri"/>
                <w:b w:val="0"/>
                <w:sz w:val="19"/>
              </w:rPr>
              <w:t>8</w:t>
            </w:r>
          </w:p>
        </w:tc>
        <w:tc>
          <w:tcPr>
            <w:tcW w:type="dxa" w:w="1998"/>
            <w:vAlign w:val="center"/>
          </w:tcPr>
          <w:p>
            <w:pPr>
              <w:keepNext w:val="0"/>
              <w:spacing w:after="0" w:before="0" w:line="240" w:lineRule="auto"/>
              <w:jc w:val="right"/>
            </w:pPr>
            <w:r>
              <w:rPr>
                <w:rFonts w:ascii="Calibri" w:hAnsi="Calibri"/>
                <w:b w:val="0"/>
                <w:sz w:val="19"/>
              </w:rPr>
              <w:t>256</w:t>
            </w:r>
          </w:p>
        </w:tc>
        <w:tc>
          <w:tcPr>
            <w:tcW w:type="dxa" w:w="1998"/>
            <w:vAlign w:val="center"/>
          </w:tcPr>
          <w:p>
            <w:pPr>
              <w:keepNext w:val="0"/>
              <w:spacing w:after="0" w:before="0" w:line="240" w:lineRule="auto"/>
              <w:jc w:val="right"/>
            </w:pPr>
            <w:r>
              <w:rPr>
                <w:rFonts w:ascii="Calibri" w:hAnsi="Calibri"/>
                <w:b w:val="0"/>
                <w:sz w:val="19"/>
              </w:rPr>
              <w:t>2853</w:t>
            </w:r>
          </w:p>
        </w:tc>
        <w:tc>
          <w:tcPr>
            <w:tcW w:type="dxa" w:w="1998"/>
            <w:vAlign w:val="center"/>
          </w:tcPr>
          <w:p>
            <w:pPr>
              <w:keepNext w:val="0"/>
              <w:spacing w:after="0" w:before="0" w:line="240" w:lineRule="auto"/>
            </w:pPr>
            <w:r>
              <w:rPr>
                <w:rFonts w:ascii="Calibri" w:hAnsi="Calibri"/>
                <w:b w:val="0"/>
                <w:sz w:val="19"/>
              </w:rPr>
              <w:t>100% reference</w:t>
            </w:r>
          </w:p>
        </w:tc>
      </w:tr>
      <w:tr>
        <w:trPr>
          <w:cantSplit/>
        </w:trPr>
        <w:tc>
          <w:tcPr>
            <w:tcW w:type="dxa" w:w="2232"/>
            <w:vAlign w:val="center"/>
          </w:tcPr>
          <w:p>
            <w:pPr>
              <w:keepNext w:val="0"/>
              <w:spacing w:after="0" w:before="0" w:line="240" w:lineRule="auto"/>
            </w:pPr>
            <w:r>
              <w:rPr>
                <w:rFonts w:ascii="Calibri" w:hAnsi="Calibri"/>
                <w:b w:val="0"/>
                <w:sz w:val="19"/>
              </w:rPr>
              <w:t>8-worker routed top-2</w:t>
            </w:r>
          </w:p>
        </w:tc>
        <w:tc>
          <w:tcPr>
            <w:tcW w:type="dxa" w:w="1998"/>
            <w:vAlign w:val="center"/>
          </w:tcPr>
          <w:p>
            <w:pPr>
              <w:keepNext w:val="0"/>
              <w:spacing w:after="0" w:before="0" w:line="240" w:lineRule="auto"/>
              <w:jc w:val="right"/>
            </w:pPr>
            <w:r>
              <w:rPr>
                <w:rFonts w:ascii="Calibri" w:hAnsi="Calibri"/>
                <w:b w:val="0"/>
                <w:sz w:val="19"/>
              </w:rPr>
              <w:t>8</w:t>
            </w:r>
          </w:p>
        </w:tc>
        <w:tc>
          <w:tcPr>
            <w:tcW w:type="dxa" w:w="1998"/>
            <w:vAlign w:val="center"/>
          </w:tcPr>
          <w:p>
            <w:pPr>
              <w:keepNext w:val="0"/>
              <w:spacing w:after="0" w:before="0" w:line="240" w:lineRule="auto"/>
            </w:pPr>
            <w:r>
              <w:rPr>
                <w:rFonts w:ascii="Calibri" w:hAnsi="Calibri"/>
                <w:b w:val="0"/>
                <w:sz w:val="19"/>
              </w:rPr>
              <w:t>grouped</w:t>
            </w:r>
          </w:p>
        </w:tc>
        <w:tc>
          <w:tcPr>
            <w:tcW w:type="dxa" w:w="1998"/>
            <w:vAlign w:val="center"/>
          </w:tcPr>
          <w:p>
            <w:pPr>
              <w:keepNext w:val="0"/>
              <w:spacing w:after="0" w:before="0" w:line="240" w:lineRule="auto"/>
              <w:jc w:val="right"/>
            </w:pPr>
            <w:r>
              <w:rPr>
                <w:rFonts w:ascii="Calibri" w:hAnsi="Calibri"/>
                <w:b w:val="0"/>
                <w:sz w:val="19"/>
              </w:rPr>
              <w:t>3694</w:t>
            </w:r>
          </w:p>
        </w:tc>
        <w:tc>
          <w:tcPr>
            <w:tcW w:type="dxa" w:w="1998"/>
            <w:vAlign w:val="center"/>
          </w:tcPr>
          <w:p>
            <w:pPr>
              <w:keepNext w:val="0"/>
              <w:spacing w:after="0" w:before="0" w:line="240" w:lineRule="auto"/>
            </w:pPr>
            <w:r>
              <w:rPr>
                <w:rFonts w:ascii="Calibri" w:hAnsi="Calibri"/>
                <w:b w:val="0"/>
                <w:sz w:val="19"/>
              </w:rPr>
              <w:t>recall 73.3% / exact 27.2%</w:t>
            </w:r>
          </w:p>
        </w:tc>
      </w:tr>
      <w:tr>
        <w:trPr>
          <w:cantSplit/>
        </w:trPr>
        <w:tc>
          <w:tcPr>
            <w:tcW w:type="dxa" w:w="2232"/>
            <w:vAlign w:val="center"/>
          </w:tcPr>
          <w:p>
            <w:pPr>
              <w:keepNext w:val="0"/>
              <w:spacing w:after="0" w:before="0" w:line="240" w:lineRule="auto"/>
            </w:pPr>
            <w:r>
              <w:rPr>
                <w:rFonts w:ascii="Calibri" w:hAnsi="Calibri"/>
                <w:b w:val="0"/>
                <w:sz w:val="19"/>
              </w:rPr>
              <w:t>8-worker routed top-4</w:t>
            </w:r>
          </w:p>
        </w:tc>
        <w:tc>
          <w:tcPr>
            <w:tcW w:type="dxa" w:w="1998"/>
            <w:vAlign w:val="center"/>
          </w:tcPr>
          <w:p>
            <w:pPr>
              <w:keepNext w:val="0"/>
              <w:spacing w:after="0" w:before="0" w:line="240" w:lineRule="auto"/>
              <w:jc w:val="right"/>
            </w:pPr>
            <w:r>
              <w:rPr>
                <w:rFonts w:ascii="Calibri" w:hAnsi="Calibri"/>
                <w:b w:val="0"/>
                <w:sz w:val="19"/>
              </w:rPr>
              <w:t>8</w:t>
            </w:r>
          </w:p>
        </w:tc>
        <w:tc>
          <w:tcPr>
            <w:tcW w:type="dxa" w:w="1998"/>
            <w:vAlign w:val="center"/>
          </w:tcPr>
          <w:p>
            <w:pPr>
              <w:keepNext w:val="0"/>
              <w:spacing w:after="0" w:before="0" w:line="240" w:lineRule="auto"/>
            </w:pPr>
            <w:r>
              <w:rPr>
                <w:rFonts w:ascii="Calibri" w:hAnsi="Calibri"/>
                <w:b w:val="0"/>
                <w:sz w:val="19"/>
              </w:rPr>
              <w:t>grouped</w:t>
            </w:r>
          </w:p>
        </w:tc>
        <w:tc>
          <w:tcPr>
            <w:tcW w:type="dxa" w:w="1998"/>
            <w:vAlign w:val="center"/>
          </w:tcPr>
          <w:p>
            <w:pPr>
              <w:keepNext w:val="0"/>
              <w:spacing w:after="0" w:before="0" w:line="240" w:lineRule="auto"/>
              <w:jc w:val="right"/>
            </w:pPr>
            <w:r>
              <w:rPr>
                <w:rFonts w:ascii="Calibri" w:hAnsi="Calibri"/>
                <w:b w:val="0"/>
                <w:sz w:val="19"/>
              </w:rPr>
              <w:t>2805</w:t>
            </w:r>
          </w:p>
        </w:tc>
        <w:tc>
          <w:tcPr>
            <w:tcW w:type="dxa" w:w="1998"/>
            <w:vAlign w:val="center"/>
          </w:tcPr>
          <w:p>
            <w:pPr>
              <w:keepNext w:val="0"/>
              <w:spacing w:after="0" w:before="0" w:line="240" w:lineRule="auto"/>
            </w:pPr>
            <w:r>
              <w:rPr>
                <w:rFonts w:ascii="Calibri" w:hAnsi="Calibri"/>
                <w:b w:val="0"/>
                <w:sz w:val="19"/>
              </w:rPr>
              <w:t>recall 91.5% / exact 68.1%</w:t>
            </w:r>
          </w:p>
        </w:tc>
      </w:tr>
      <w:tr>
        <w:trPr>
          <w:cantSplit/>
        </w:trPr>
        <w:tc>
          <w:tcPr>
            <w:tcW w:type="dxa" w:w="2232"/>
            <w:vAlign w:val="center"/>
          </w:tcPr>
          <w:p>
            <w:pPr>
              <w:keepNext/>
              <w:spacing w:after="0" w:before="0" w:line="240" w:lineRule="auto"/>
            </w:pPr>
            <w:r>
              <w:rPr>
                <w:rFonts w:ascii="Calibri" w:hAnsi="Calibri"/>
                <w:b w:val="0"/>
                <w:sz w:val="19"/>
              </w:rPr>
              <w:t>8-worker routed top-8</w:t>
            </w:r>
          </w:p>
        </w:tc>
        <w:tc>
          <w:tcPr>
            <w:tcW w:type="dxa" w:w="1998"/>
            <w:vAlign w:val="center"/>
          </w:tcPr>
          <w:p>
            <w:pPr>
              <w:keepNext/>
              <w:spacing w:after="0" w:before="0" w:line="240" w:lineRule="auto"/>
              <w:jc w:val="right"/>
            </w:pPr>
            <w:r>
              <w:rPr>
                <w:rFonts w:ascii="Calibri" w:hAnsi="Calibri"/>
                <w:b w:val="0"/>
                <w:sz w:val="19"/>
              </w:rPr>
              <w:t>8</w:t>
            </w:r>
          </w:p>
        </w:tc>
        <w:tc>
          <w:tcPr>
            <w:tcW w:type="dxa" w:w="1998"/>
            <w:vAlign w:val="center"/>
          </w:tcPr>
          <w:p>
            <w:pPr>
              <w:keepNext/>
              <w:spacing w:after="0" w:before="0" w:line="240" w:lineRule="auto"/>
            </w:pPr>
            <w:r>
              <w:rPr>
                <w:rFonts w:ascii="Calibri" w:hAnsi="Calibri"/>
                <w:b w:val="0"/>
                <w:sz w:val="19"/>
              </w:rPr>
              <w:t>grouped</w:t>
            </w:r>
          </w:p>
        </w:tc>
        <w:tc>
          <w:tcPr>
            <w:tcW w:type="dxa" w:w="1998"/>
            <w:vAlign w:val="center"/>
          </w:tcPr>
          <w:p>
            <w:pPr>
              <w:keepNext/>
              <w:spacing w:after="0" w:before="0" w:line="240" w:lineRule="auto"/>
              <w:jc w:val="right"/>
            </w:pPr>
            <w:r>
              <w:rPr>
                <w:rFonts w:ascii="Calibri" w:hAnsi="Calibri"/>
                <w:b w:val="0"/>
                <w:sz w:val="19"/>
              </w:rPr>
              <w:t>2089</w:t>
            </w:r>
          </w:p>
        </w:tc>
        <w:tc>
          <w:tcPr>
            <w:tcW w:type="dxa" w:w="1998"/>
            <w:vAlign w:val="center"/>
          </w:tcPr>
          <w:p>
            <w:pPr>
              <w:keepNext/>
              <w:spacing w:after="0" w:before="0" w:line="240" w:lineRule="auto"/>
            </w:pPr>
            <w:r>
              <w:rPr>
                <w:rFonts w:ascii="Calibri" w:hAnsi="Calibri"/>
                <w:b w:val="0"/>
                <w:sz w:val="19"/>
              </w:rPr>
              <w:t>recall 100.0% / exact 100.0%</w:t>
            </w:r>
          </w:p>
        </w:tc>
      </w:tr>
    </w:tbl>
    <w:p>
      <w:pPr>
        <w:keepLines/>
        <w:spacing w:before="60" w:after="120"/>
      </w:pPr>
      <w:r>
        <w:rPr>
          <w:sz w:val="18"/>
        </w:rPr>
        <w:t>Real document-derived workload with controlled placement, fault or update conditions. Timing is specific to the local prototype.</w:t>
      </w:r>
    </w:p>
    <w:p>
      <w:r>
        <w:t>For this corpus of approximately 194.0 KB, centralized batching reaches 7,667 queries/s; eight-worker broadcast reaches 2,853 queries/s. The matching checksums confirm equivalent results. The lower multiprocess throughput measures orchestration overhead at this workload size.</w:t>
      </w:r>
    </w:p>
    <w:p>
      <w:r>
        <w:t>Routing changes the throughput–agreement trade-off. Top-2 routing reaches 3,694 queries/s with recall@5 73.3%; top-4 reaches 2,805 queries/s with recall 91.5%. Contacting all eight routed shards restores 100% agreement at 2,089 queries/s.</w:t>
      </w:r>
    </w:p>
    <w:p>
      <w:pPr>
        <w:keepNext/>
        <w:spacing w:after="60"/>
        <w:jc w:val="center"/>
      </w:pPr>
      <w:r>
        <w:drawing>
          <wp:inline xmlns:a="http://schemas.openxmlformats.org/drawingml/2006/main" xmlns:pic="http://schemas.openxmlformats.org/drawingml/2006/picture">
            <wp:extent cx="6309360" cy="3943350"/>
            <wp:docPr id="72" name="Picture 72"/>
            <wp:cNvGraphicFramePr>
              <a:graphicFrameLocks noChangeAspect="1"/>
            </wp:cNvGraphicFramePr>
            <a:graphic>
              <a:graphicData uri="http://schemas.openxmlformats.org/drawingml/2006/picture">
                <pic:pic>
                  <pic:nvPicPr>
                    <pic:cNvPr id="0" name="72_image72.png"/>
                    <pic:cNvPicPr/>
                  </pic:nvPicPr>
                  <pic:blipFill>
                    <a:blip r:embed="rId85"/>
                    <a:stretch>
                      <a:fillRect/>
                    </a:stretch>
                  </pic:blipFill>
                  <pic:spPr>
                    <a:xfrm>
                      <a:off x="0" y="0"/>
                      <a:ext cx="6309360" cy="3943350"/>
                    </a:xfrm>
                    <a:prstGeom prst="rect"/>
                  </pic:spPr>
                </pic:pic>
              </a:graphicData>
            </a:graphic>
          </wp:inline>
        </w:drawing>
      </w:r>
    </w:p>
    <w:p>
      <w:pPr>
        <w:pStyle w:val="Caption"/>
      </w:pPr>
      <w:r>
        <w:t>Figure 72. Measured throughput in the single-machine, eight-worker prototype. Centralized and distributed execution use the same document-derived queries; the result is specific to this implementation and workload.</w:t>
      </w:r>
    </w:p>
    <w:p>
      <w:pPr>
        <w:pStyle w:val="Heading3"/>
      </w:pPr>
      <w:r>
        <w:t>9.1.5 Dispatch granularity</w:t>
      </w:r>
    </w:p>
    <w:p>
      <w:r>
        <w:t>Eight-worker broadcast rises from approximately 1,501 queries/s at batch size 16 to 2,785 at 64 and 2,853 at 256. A single batch of 2,048 falls to approximately 1,958. Intermediate batching best amortizes scheduling overhead in this machine and matrix configuration; the optimum is not a general constant.</w:t>
      </w:r>
    </w:p>
    <w:p>
      <w:pPr>
        <w:keepNext/>
        <w:spacing w:after="60"/>
        <w:jc w:val="center"/>
      </w:pPr>
      <w:r>
        <w:drawing>
          <wp:inline xmlns:a="http://schemas.openxmlformats.org/drawingml/2006/main" xmlns:pic="http://schemas.openxmlformats.org/drawingml/2006/picture">
            <wp:extent cx="6309360" cy="4263081"/>
            <wp:docPr id="73" name="Picture 73"/>
            <wp:cNvGraphicFramePr>
              <a:graphicFrameLocks noChangeAspect="1"/>
            </wp:cNvGraphicFramePr>
            <a:graphic>
              <a:graphicData uri="http://schemas.openxmlformats.org/drawingml/2006/picture">
                <pic:pic>
                  <pic:nvPicPr>
                    <pic:cNvPr id="0" name="73_image73.png"/>
                    <pic:cNvPicPr/>
                  </pic:nvPicPr>
                  <pic:blipFill>
                    <a:blip r:embed="rId86"/>
                    <a:stretch>
                      <a:fillRect/>
                    </a:stretch>
                  </pic:blipFill>
                  <pic:spPr>
                    <a:xfrm>
                      <a:off x="0" y="0"/>
                      <a:ext cx="6309360" cy="4263081"/>
                    </a:xfrm>
                    <a:prstGeom prst="rect"/>
                  </pic:spPr>
                </pic:pic>
              </a:graphicData>
            </a:graphic>
          </wp:inline>
        </w:drawing>
      </w:r>
    </w:p>
    <w:p>
      <w:pPr>
        <w:pStyle w:val="Caption"/>
      </w:pPr>
      <w:r>
        <w:t>Figure 73. Broadcast throughput by dispatch batch size in the eight-process prototype. The timing comparison measures the balance between scheduling overhead and parallel execution at the reported workload size.</w:t>
      </w:r>
    </w:p>
    <w:p>
      <w:pPr>
        <w:pStyle w:val="Heading3"/>
      </w:pPr>
      <w:r>
        <w:t>9.1.6 Discussion of locality and coordination</w:t>
      </w:r>
    </w:p>
    <w:p>
      <w:r>
        <w:t>The experiment makes three costs observable: cross-shard dependencies, coordinator metadata and execution overhead. For this small corpus, broadcasting to multiple workers is slower than centralized retrieval even when the results are identical.</w:t>
      </w:r>
    </w:p>
    <w:p>
      <w:r>
        <w:t>Hash placement favours balance but separates semantic neighbours. Semantic clustering favours locality but concentrates load. Capacity-constrained placement provides an adjustable compromise between those objectives.</w:t>
      </w:r>
    </w:p>
    <w:p>
      <w:r>
        <w:t>Compact prototypes guide many queries to relevant owners using much less metadata than exact envelopes. The 16 KB map achieves high recall at partial fan-out; the exact envelope consumes 5.46 times the text size. The appropriate choice depends on required agreement and memory budget.</w:t>
      </w:r>
    </w:p>
    <w:p>
      <w:r>
        <w:t>The resulting design separates logical identity from physical ownership. The coordinator can maintain ownership, routing summaries, dependencies, versions and load; workers execute near their data and return candidates or updates. Progressive expansion of fan-out is a candidate strategy when the initial result is insufficient.</w:t>
      </w:r>
    </w:p>
    <w:p>
      <w:pPr>
        <w:pStyle w:val="Heading3"/>
      </w:pPr>
      <w:r>
        <w:t>9.1.7 Design implications</w:t>
      </w:r>
    </w:p>
    <w:p>
      <w:pPr>
        <w:pStyle w:val="ListBullet"/>
      </w:pPr>
      <w:r>
        <w:t>Use a unified object namespace with explicit physical ownership. An object's identity persists independently of where its state is stored.</w:t>
      </w:r>
    </w:p>
    <w:p>
      <w:pPr>
        <w:pStyle w:val="ListBullet"/>
      </w:pPr>
      <w:r>
        <w:t>Evaluate locality and capacity jointly. Balanced semantic placement limits the largest shard to 6.75% at 16 shards and preserves more locality than hash placement in this corpus.</w:t>
      </w:r>
    </w:p>
    <w:p>
      <w:pPr>
        <w:pStyle w:val="ListBullet"/>
      </w:pPr>
      <w:r>
        <w:t>Measure coordinator metadata explicitly. Routing prototypes, ownership, dependencies, versions and load should be budgeted alongside owner state.</w:t>
      </w:r>
    </w:p>
    <w:p>
      <w:pPr>
        <w:pStyle w:val="ListBullet"/>
      </w:pPr>
      <w:r>
        <w:t>Route computation to the state owner and return top-k candidates, summaries or deltas for reduction.</w:t>
      </w:r>
    </w:p>
    <w:p>
      <w:pPr>
        <w:pStyle w:val="ListBullet"/>
      </w:pPr>
      <w:r>
        <w:t>Make fan-out adjustable. Partial routing trades agreement for computation; complete contact can recover the centralized reference.</w:t>
      </w:r>
    </w:p>
    <w:p>
      <w:pPr>
        <w:pStyle w:val="ListBullet"/>
      </w:pPr>
      <w:r>
        <w:t>Batch dispatch at a granularity appropriate to the workload. Here 64–256 queries per batch substantially outperform batches of 16.</w:t>
      </w:r>
    </w:p>
    <w:p>
      <w:pPr>
        <w:pStyle w:val="ListBullet"/>
      </w:pPr>
      <w:r>
        <w:t>Represent multi-stage tasks through a dependency graph and owner map. This proposed extension coordinates dependencies without requiring all state to be recopied centrally.</w:t>
      </w:r>
    </w:p>
    <w:p>
      <w:pPr>
        <w:pStyle w:val="Heading3"/>
      </w:pPr>
      <w:r>
        <w:t>9.1.8 Evidence scope</w:t>
      </w:r>
    </w:p>
    <w:p>
      <w:r>
        <w:t>The experiment includes actual corpus partitioning, semantic-edge cuts, load measurements, compact and exact-envelope routing, eight-worker multiprocessing and batch timing. The associated 026 evidence record contains the reported measurements, analysis scripts and figures.</w:t>
      </w:r>
    </w:p>
    <w:p>
      <w:pPr>
        <w:pStyle w:val="Heading2"/>
      </w:pPr>
      <w:r>
        <w:t>9.2 DISTRIBUTED-ONTOLOGY-RESILIENCE-027 Replication latency and concurrent updates</w:t>
      </w:r>
    </w:p>
    <w:p>
      <w:r>
        <w:t>This study applies shard loss, delayed responses and concurrent writes to the distributed corpus from experiment 026. It separately measures retrieval completeness, waiting time and preservation of shared-state updates.</w:t>
      </w:r>
    </w:p>
    <w:p>
      <w:r>
        <w:t>The frozen workload contains 372 state objects, 500 document-derived queries and eight balanced semantic shards. Shard failures, a 350 ms delay and write contention are controlled interventions. Retrieval is compared with the frozen centralized top-5 reference.</w:t>
      </w:r>
    </w:p>
    <w:p>
      <w:pPr>
        <w:pStyle w:val="Heading3"/>
      </w:pPr>
      <w:r>
        <w:t>9.2.1 Single-shard loss and selective replication</w:t>
      </w:r>
    </w:p>
    <w:p>
      <w:r>
        <w:t>Shards have unequal query importance. Shard 6 carries 18.4% of centralized top-5 hits, so losing one of eight shards need not remove exactly one eighth of reference information. Each shard is removed in turn and all 500 queries are rerun on the remaining accessible state.</w:t>
      </w:r>
    </w:p>
    <w:p>
      <w:pPr>
        <w:pStyle w:val="Caption"/>
        <w:keepNext/>
      </w:pPr>
      <w:r>
        <w:t>Table 90. Replication and single-shard recovery.</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2052"/>
        <w:gridCol w:w="2052"/>
        <w:gridCol w:w="2052"/>
        <w:gridCol w:w="2052"/>
      </w:tblGrid>
      <w:tr>
        <w:trPr>
          <w:cantSplit/>
          <w:tblHeader/>
        </w:trPr>
        <w:tc>
          <w:tcPr>
            <w:tcW w:type="dxa" w:w="2016"/>
            <w:vAlign w:val="center"/>
            <w:shd w:fill="F2F2F2"/>
          </w:tcPr>
          <w:p>
            <w:pPr>
              <w:keepNext/>
              <w:spacing w:after="0" w:before="0" w:line="240" w:lineRule="auto"/>
            </w:pPr>
            <w:r>
              <w:rPr>
                <w:rFonts w:ascii="Calibri" w:hAnsi="Calibri"/>
                <w:b/>
                <w:sz w:val="19"/>
              </w:rPr>
              <w:t>Redundancy policy</w:t>
            </w:r>
          </w:p>
        </w:tc>
        <w:tc>
          <w:tcPr>
            <w:tcW w:type="dxa" w:w="2052"/>
            <w:vAlign w:val="center"/>
            <w:shd w:fill="F2F2F2"/>
          </w:tcPr>
          <w:p>
            <w:pPr>
              <w:keepNext/>
              <w:spacing w:after="0" w:before="0" w:line="240" w:lineRule="auto"/>
            </w:pPr>
            <w:r>
              <w:rPr>
                <w:rFonts w:ascii="Calibri" w:hAnsi="Calibri"/>
                <w:b/>
                <w:sz w:val="19"/>
              </w:rPr>
              <w:t>Sparse-state overhead</w:t>
            </w:r>
          </w:p>
        </w:tc>
        <w:tc>
          <w:tcPr>
            <w:tcW w:type="dxa" w:w="2052"/>
            <w:vAlign w:val="center"/>
            <w:shd w:fill="F2F2F2"/>
          </w:tcPr>
          <w:p>
            <w:pPr>
              <w:keepNext/>
              <w:spacing w:after="0" w:before="0" w:line="240" w:lineRule="auto"/>
            </w:pPr>
            <w:r>
              <w:rPr>
                <w:rFonts w:ascii="Calibri" w:hAnsi="Calibri"/>
                <w:b/>
                <w:sz w:val="19"/>
              </w:rPr>
              <w:t>Mean failure recall@5</w:t>
            </w:r>
          </w:p>
        </w:tc>
        <w:tc>
          <w:tcPr>
            <w:tcW w:type="dxa" w:w="2052"/>
            <w:vAlign w:val="center"/>
            <w:shd w:fill="F2F2F2"/>
          </w:tcPr>
          <w:p>
            <w:pPr>
              <w:keepNext/>
              <w:spacing w:after="0" w:before="0" w:line="240" w:lineRule="auto"/>
            </w:pPr>
            <w:r>
              <w:rPr>
                <w:rFonts w:ascii="Calibri" w:hAnsi="Calibri"/>
                <w:b/>
                <w:sz w:val="19"/>
              </w:rPr>
              <w:t>Worst recall@5</w:t>
            </w:r>
          </w:p>
        </w:tc>
        <w:tc>
          <w:tcPr>
            <w:tcW w:type="dxa" w:w="2052"/>
            <w:vAlign w:val="center"/>
            <w:shd w:fill="F2F2F2"/>
          </w:tcPr>
          <w:p>
            <w:pPr>
              <w:keepNext/>
              <w:spacing w:after="0" w:before="0" w:line="240" w:lineRule="auto"/>
            </w:pPr>
            <w:r>
              <w:rPr>
                <w:rFonts w:ascii="Calibri" w:hAnsi="Calibri"/>
                <w:b/>
                <w:sz w:val="19"/>
              </w:rPr>
              <w:t>Mean routed-top4 recall</w:t>
            </w:r>
          </w:p>
        </w:tc>
      </w:tr>
      <w:tr>
        <w:trPr>
          <w:cantSplit/>
        </w:trPr>
        <w:tc>
          <w:tcPr>
            <w:tcW w:type="dxa" w:w="2016"/>
            <w:vAlign w:val="center"/>
          </w:tcPr>
          <w:p>
            <w:pPr>
              <w:keepNext w:val="0"/>
              <w:spacing w:after="0" w:before="0" w:line="240" w:lineRule="auto"/>
            </w:pPr>
            <w:r>
              <w:rPr>
                <w:rFonts w:ascii="Calibri" w:hAnsi="Calibri"/>
                <w:b w:val="0"/>
                <w:sz w:val="19"/>
              </w:rPr>
              <w:t>No replica</w:t>
            </w:r>
          </w:p>
        </w:tc>
        <w:tc>
          <w:tcPr>
            <w:tcW w:type="dxa" w:w="2052"/>
            <w:vAlign w:val="center"/>
          </w:tcPr>
          <w:p>
            <w:pPr>
              <w:keepNext w:val="0"/>
              <w:spacing w:after="0" w:before="0" w:line="240" w:lineRule="auto"/>
              <w:jc w:val="right"/>
            </w:pPr>
            <w:r>
              <w:rPr>
                <w:rFonts w:ascii="Calibri" w:hAnsi="Calibri"/>
                <w:b w:val="0"/>
                <w:sz w:val="19"/>
              </w:rPr>
              <w:t>0.0%</w:t>
            </w:r>
          </w:p>
        </w:tc>
        <w:tc>
          <w:tcPr>
            <w:tcW w:type="dxa" w:w="2052"/>
            <w:vAlign w:val="center"/>
          </w:tcPr>
          <w:p>
            <w:pPr>
              <w:keepNext w:val="0"/>
              <w:spacing w:after="0" w:before="0" w:line="240" w:lineRule="auto"/>
              <w:jc w:val="right"/>
            </w:pPr>
            <w:r>
              <w:rPr>
                <w:rFonts w:ascii="Calibri" w:hAnsi="Calibri"/>
                <w:b w:val="0"/>
                <w:sz w:val="19"/>
              </w:rPr>
              <w:t>87.50%</w:t>
            </w:r>
          </w:p>
        </w:tc>
        <w:tc>
          <w:tcPr>
            <w:tcW w:type="dxa" w:w="2052"/>
            <w:vAlign w:val="center"/>
          </w:tcPr>
          <w:p>
            <w:pPr>
              <w:keepNext w:val="0"/>
              <w:spacing w:after="0" w:before="0" w:line="240" w:lineRule="auto"/>
              <w:jc w:val="right"/>
            </w:pPr>
            <w:r>
              <w:rPr>
                <w:rFonts w:ascii="Calibri" w:hAnsi="Calibri"/>
                <w:b w:val="0"/>
                <w:sz w:val="19"/>
              </w:rPr>
              <w:t>81.60%</w:t>
            </w:r>
          </w:p>
        </w:tc>
        <w:tc>
          <w:tcPr>
            <w:tcW w:type="dxa" w:w="2052"/>
            <w:vAlign w:val="center"/>
          </w:tcPr>
          <w:p>
            <w:pPr>
              <w:keepNext w:val="0"/>
              <w:spacing w:after="0" w:before="0" w:line="240" w:lineRule="auto"/>
              <w:jc w:val="right"/>
            </w:pPr>
            <w:r>
              <w:rPr>
                <w:rFonts w:ascii="Calibri" w:hAnsi="Calibri"/>
                <w:b w:val="0"/>
                <w:sz w:val="19"/>
              </w:rPr>
              <w:t>82.57%</w:t>
            </w:r>
          </w:p>
        </w:tc>
      </w:tr>
      <w:tr>
        <w:trPr>
          <w:cantSplit/>
        </w:trPr>
        <w:tc>
          <w:tcPr>
            <w:tcW w:type="dxa" w:w="2016"/>
            <w:vAlign w:val="center"/>
          </w:tcPr>
          <w:p>
            <w:pPr>
              <w:keepNext w:val="0"/>
              <w:spacing w:after="0" w:before="0" w:line="240" w:lineRule="auto"/>
            </w:pPr>
            <w:r>
              <w:rPr>
                <w:rFonts w:ascii="Calibri" w:hAnsi="Calibri"/>
                <w:b w:val="0"/>
                <w:sz w:val="19"/>
              </w:rPr>
              <w:t>Hot 25%</w:t>
            </w:r>
          </w:p>
        </w:tc>
        <w:tc>
          <w:tcPr>
            <w:tcW w:type="dxa" w:w="2052"/>
            <w:vAlign w:val="center"/>
          </w:tcPr>
          <w:p>
            <w:pPr>
              <w:keepNext w:val="0"/>
              <w:spacing w:after="0" w:before="0" w:line="240" w:lineRule="auto"/>
              <w:jc w:val="right"/>
            </w:pPr>
            <w:r>
              <w:rPr>
                <w:rFonts w:ascii="Calibri" w:hAnsi="Calibri"/>
                <w:b w:val="0"/>
                <w:sz w:val="19"/>
              </w:rPr>
              <w:t>35.7%</w:t>
            </w:r>
          </w:p>
        </w:tc>
        <w:tc>
          <w:tcPr>
            <w:tcW w:type="dxa" w:w="2052"/>
            <w:vAlign w:val="center"/>
          </w:tcPr>
          <w:p>
            <w:pPr>
              <w:keepNext w:val="0"/>
              <w:spacing w:after="0" w:before="0" w:line="240" w:lineRule="auto"/>
              <w:jc w:val="right"/>
            </w:pPr>
            <w:r>
              <w:rPr>
                <w:rFonts w:ascii="Calibri" w:hAnsi="Calibri"/>
                <w:b w:val="0"/>
                <w:sz w:val="19"/>
              </w:rPr>
              <w:t>94.62%</w:t>
            </w:r>
          </w:p>
        </w:tc>
        <w:tc>
          <w:tcPr>
            <w:tcW w:type="dxa" w:w="2052"/>
            <w:vAlign w:val="center"/>
          </w:tcPr>
          <w:p>
            <w:pPr>
              <w:keepNext w:val="0"/>
              <w:spacing w:after="0" w:before="0" w:line="240" w:lineRule="auto"/>
              <w:jc w:val="right"/>
            </w:pPr>
            <w:r>
              <w:rPr>
                <w:rFonts w:ascii="Calibri" w:hAnsi="Calibri"/>
                <w:b w:val="0"/>
                <w:sz w:val="19"/>
              </w:rPr>
              <w:t>91.84%</w:t>
            </w:r>
          </w:p>
        </w:tc>
        <w:tc>
          <w:tcPr>
            <w:tcW w:type="dxa" w:w="2052"/>
            <w:vAlign w:val="center"/>
          </w:tcPr>
          <w:p>
            <w:pPr>
              <w:keepNext w:val="0"/>
              <w:spacing w:after="0" w:before="0" w:line="240" w:lineRule="auto"/>
              <w:jc w:val="right"/>
            </w:pPr>
            <w:r>
              <w:rPr>
                <w:rFonts w:ascii="Calibri" w:hAnsi="Calibri"/>
                <w:b w:val="0"/>
                <w:sz w:val="19"/>
              </w:rPr>
              <w:t>91.00%</w:t>
            </w:r>
          </w:p>
        </w:tc>
      </w:tr>
      <w:tr>
        <w:trPr>
          <w:cantSplit/>
        </w:trPr>
        <w:tc>
          <w:tcPr>
            <w:tcW w:type="dxa" w:w="2016"/>
            <w:vAlign w:val="center"/>
          </w:tcPr>
          <w:p>
            <w:pPr>
              <w:keepNext w:val="0"/>
              <w:spacing w:after="0" w:before="0" w:line="240" w:lineRule="auto"/>
            </w:pPr>
            <w:r>
              <w:rPr>
                <w:rFonts w:ascii="Calibri" w:hAnsi="Calibri"/>
                <w:b w:val="0"/>
                <w:sz w:val="19"/>
              </w:rPr>
              <w:t>Boundary 25%</w:t>
            </w:r>
          </w:p>
        </w:tc>
        <w:tc>
          <w:tcPr>
            <w:tcW w:type="dxa" w:w="2052"/>
            <w:vAlign w:val="center"/>
          </w:tcPr>
          <w:p>
            <w:pPr>
              <w:keepNext w:val="0"/>
              <w:spacing w:after="0" w:before="0" w:line="240" w:lineRule="auto"/>
              <w:jc w:val="right"/>
            </w:pPr>
            <w:r>
              <w:rPr>
                <w:rFonts w:ascii="Calibri" w:hAnsi="Calibri"/>
                <w:b w:val="0"/>
                <w:sz w:val="19"/>
              </w:rPr>
              <w:t>36.0%</w:t>
            </w:r>
          </w:p>
        </w:tc>
        <w:tc>
          <w:tcPr>
            <w:tcW w:type="dxa" w:w="2052"/>
            <w:vAlign w:val="center"/>
          </w:tcPr>
          <w:p>
            <w:pPr>
              <w:keepNext w:val="0"/>
              <w:spacing w:after="0" w:before="0" w:line="240" w:lineRule="auto"/>
              <w:jc w:val="right"/>
            </w:pPr>
            <w:r>
              <w:rPr>
                <w:rFonts w:ascii="Calibri" w:hAnsi="Calibri"/>
                <w:b w:val="0"/>
                <w:sz w:val="19"/>
              </w:rPr>
              <w:t>94.62%</w:t>
            </w:r>
          </w:p>
        </w:tc>
        <w:tc>
          <w:tcPr>
            <w:tcW w:type="dxa" w:w="2052"/>
            <w:vAlign w:val="center"/>
          </w:tcPr>
          <w:p>
            <w:pPr>
              <w:keepNext w:val="0"/>
              <w:spacing w:after="0" w:before="0" w:line="240" w:lineRule="auto"/>
              <w:jc w:val="right"/>
            </w:pPr>
            <w:r>
              <w:rPr>
                <w:rFonts w:ascii="Calibri" w:hAnsi="Calibri"/>
                <w:b w:val="0"/>
                <w:sz w:val="19"/>
              </w:rPr>
              <w:t>92.20%</w:t>
            </w:r>
          </w:p>
        </w:tc>
        <w:tc>
          <w:tcPr>
            <w:tcW w:type="dxa" w:w="2052"/>
            <w:vAlign w:val="center"/>
          </w:tcPr>
          <w:p>
            <w:pPr>
              <w:keepNext w:val="0"/>
              <w:spacing w:after="0" w:before="0" w:line="240" w:lineRule="auto"/>
              <w:jc w:val="right"/>
            </w:pPr>
            <w:r>
              <w:rPr>
                <w:rFonts w:ascii="Calibri" w:hAnsi="Calibri"/>
                <w:b w:val="0"/>
                <w:sz w:val="19"/>
              </w:rPr>
              <w:t>91.31%</w:t>
            </w:r>
          </w:p>
        </w:tc>
      </w:tr>
      <w:tr>
        <w:trPr>
          <w:cantSplit/>
        </w:trPr>
        <w:tc>
          <w:tcPr>
            <w:tcW w:type="dxa" w:w="2016"/>
            <w:vAlign w:val="center"/>
          </w:tcPr>
          <w:p>
            <w:pPr>
              <w:keepNext/>
              <w:spacing w:after="0" w:before="0" w:line="240" w:lineRule="auto"/>
            </w:pPr>
            <w:r>
              <w:rPr>
                <w:rFonts w:ascii="Calibri" w:hAnsi="Calibri"/>
                <w:b w:val="0"/>
                <w:sz w:val="19"/>
              </w:rPr>
              <w:t>One backup/object</w:t>
            </w:r>
          </w:p>
        </w:tc>
        <w:tc>
          <w:tcPr>
            <w:tcW w:type="dxa" w:w="2052"/>
            <w:vAlign w:val="center"/>
          </w:tcPr>
          <w:p>
            <w:pPr>
              <w:keepNext/>
              <w:spacing w:after="0" w:before="0" w:line="240" w:lineRule="auto"/>
              <w:jc w:val="right"/>
            </w:pPr>
            <w:r>
              <w:rPr>
                <w:rFonts w:ascii="Calibri" w:hAnsi="Calibri"/>
                <w:b w:val="0"/>
                <w:sz w:val="19"/>
              </w:rPr>
              <w:t>100.0%</w:t>
            </w:r>
          </w:p>
        </w:tc>
        <w:tc>
          <w:tcPr>
            <w:tcW w:type="dxa" w:w="2052"/>
            <w:vAlign w:val="center"/>
          </w:tcPr>
          <w:p>
            <w:pPr>
              <w:keepNext/>
              <w:spacing w:after="0" w:before="0" w:line="240" w:lineRule="auto"/>
              <w:jc w:val="right"/>
            </w:pPr>
            <w:r>
              <w:rPr>
                <w:rFonts w:ascii="Calibri" w:hAnsi="Calibri"/>
                <w:b w:val="0"/>
                <w:sz w:val="19"/>
              </w:rPr>
              <w:t>100.00%</w:t>
            </w:r>
          </w:p>
        </w:tc>
        <w:tc>
          <w:tcPr>
            <w:tcW w:type="dxa" w:w="2052"/>
            <w:vAlign w:val="center"/>
          </w:tcPr>
          <w:p>
            <w:pPr>
              <w:keepNext/>
              <w:spacing w:after="0" w:before="0" w:line="240" w:lineRule="auto"/>
              <w:jc w:val="right"/>
            </w:pPr>
            <w:r>
              <w:rPr>
                <w:rFonts w:ascii="Calibri" w:hAnsi="Calibri"/>
                <w:b w:val="0"/>
                <w:sz w:val="19"/>
              </w:rPr>
              <w:t>100.00%</w:t>
            </w:r>
          </w:p>
        </w:tc>
        <w:tc>
          <w:tcPr>
            <w:tcW w:type="dxa" w:w="2052"/>
            <w:vAlign w:val="center"/>
          </w:tcPr>
          <w:p>
            <w:pPr>
              <w:keepNext/>
              <w:spacing w:after="0" w:before="0" w:line="240" w:lineRule="auto"/>
              <w:jc w:val="right"/>
            </w:pPr>
            <w:r>
              <w:rPr>
                <w:rFonts w:ascii="Calibri" w:hAnsi="Calibri"/>
                <w:b w:val="0"/>
                <w:sz w:val="19"/>
              </w:rPr>
              <w:t>98.49%</w:t>
            </w:r>
          </w:p>
        </w:tc>
      </w:tr>
    </w:tbl>
    <w:p>
      <w:pPr>
        <w:keepLines/>
        <w:spacing w:before="60" w:after="120"/>
      </w:pPr>
      <w:r>
        <w:rPr>
          <w:sz w:val="18"/>
        </w:rPr>
        <w:t>Real document-derived workload with controlled placement, fault or update conditions. Timing is specific to the local prototype.</w:t>
      </w:r>
    </w:p>
    <w:p>
      <w:r>
        <w:t>Without replication, mean single-shard-failure recall@5 is 87.5% and the worst is 81.6%. Removing shard 0 retains 97.48% recall; removing shard 6 retains 81.6%. Balanced physical capacity therefore does not imply equal importance to this query set.</w:t>
      </w:r>
    </w:p>
    <w:p>
      <w:r>
        <w:t>Replicating 25% of objects by query heat or boundary dependency raises mean recall to 94.615%. Worst recall is 91.84% for hot-object replication and 92.20% for boundary replication. Sparse-state storage overhead is approximately 35.7–36.0%, since the selected objects are larger than average.</w:t>
      </w:r>
    </w:p>
    <w:p>
      <w:r>
        <w:t>One backup per object recovers 100% centralized top-5 results for all eight single-shard failures at 100% additional sparse-state payload. The comparison quantifies the storage–recovery trade-off between selective and complete replication.</w:t>
      </w:r>
    </w:p>
    <w:p>
      <w:pPr>
        <w:keepNext/>
        <w:spacing w:after="60"/>
        <w:jc w:val="center"/>
      </w:pPr>
      <w:r>
        <w:drawing>
          <wp:inline xmlns:a="http://schemas.openxmlformats.org/drawingml/2006/main" xmlns:pic="http://schemas.openxmlformats.org/drawingml/2006/picture">
            <wp:extent cx="6309360" cy="4092558"/>
            <wp:docPr id="74" name="Picture 74"/>
            <wp:cNvGraphicFramePr>
              <a:graphicFrameLocks noChangeAspect="1"/>
            </wp:cNvGraphicFramePr>
            <a:graphic>
              <a:graphicData uri="http://schemas.openxmlformats.org/drawingml/2006/picture">
                <pic:pic>
                  <pic:nvPicPr>
                    <pic:cNvPr id="0" name="74_image74.png"/>
                    <pic:cNvPicPr/>
                  </pic:nvPicPr>
                  <pic:blipFill>
                    <a:blip r:embed="rId87"/>
                    <a:stretch>
                      <a:fillRect/>
                    </a:stretch>
                  </pic:blipFill>
                  <pic:spPr>
                    <a:xfrm>
                      <a:off x="0" y="0"/>
                      <a:ext cx="6309360" cy="4092558"/>
                    </a:xfrm>
                    <a:prstGeom prst="rect"/>
                  </pic:spPr>
                </pic:pic>
              </a:graphicData>
            </a:graphic>
          </wp:inline>
        </w:drawing>
      </w:r>
    </w:p>
    <w:p>
      <w:pPr>
        <w:pStyle w:val="Caption"/>
      </w:pPr>
      <w:r>
        <w:t>Figure 74. Replica overhead and worst-case recovery under single-shard loss. The real corpus is held fixed, and each of the eight owners is removed in turn.</w:t>
      </w:r>
    </w:p>
    <w:p>
      <w:pPr>
        <w:keepNext/>
        <w:spacing w:after="60"/>
        <w:jc w:val="center"/>
      </w:pPr>
      <w:r>
        <w:drawing>
          <wp:inline xmlns:a="http://schemas.openxmlformats.org/drawingml/2006/main" xmlns:pic="http://schemas.openxmlformats.org/drawingml/2006/picture">
            <wp:extent cx="6309360" cy="3785616"/>
            <wp:docPr id="75" name="Picture 75"/>
            <wp:cNvGraphicFramePr>
              <a:graphicFrameLocks noChangeAspect="1"/>
            </wp:cNvGraphicFramePr>
            <a:graphic>
              <a:graphicData uri="http://schemas.openxmlformats.org/drawingml/2006/picture">
                <pic:pic>
                  <pic:nvPicPr>
                    <pic:cNvPr id="0" name="75_image75.png"/>
                    <pic:cNvPicPr/>
                  </pic:nvPicPr>
                  <pic:blipFill>
                    <a:blip r:embed="rId88"/>
                    <a:stretch>
                      <a:fillRect/>
                    </a:stretch>
                  </pic:blipFill>
                  <pic:spPr>
                    <a:xfrm>
                      <a:off x="0" y="0"/>
                      <a:ext cx="6309360" cy="3785616"/>
                    </a:xfrm>
                    <a:prstGeom prst="rect"/>
                  </pic:spPr>
                </pic:pic>
              </a:graphicData>
            </a:graphic>
          </wp:inline>
        </w:drawing>
      </w:r>
    </w:p>
    <w:p>
      <w:pPr>
        <w:pStyle w:val="Caption"/>
      </w:pPr>
      <w:r>
        <w:t>Figure 75. Recall after individual shard failures. Unequal losses reflect the distribution of centralized reference hits across the eight owners.</w:t>
      </w:r>
    </w:p>
    <w:p>
      <w:pPr>
        <w:pStyle w:val="Heading3"/>
      </w:pPr>
      <w:r>
        <w:t>9.2.2 Completion rules under a delayed shard</w:t>
      </w:r>
    </w:p>
    <w:p>
      <w:r>
        <w:t>Shard 6 is delayed by 350 ms. Local results for the 500 queries are computed beforehand, and the process-level intervention changes their arrival time at the coordinator. Reported milliseconds measure orchestration waiting, not end-to-end retrieval latency, and are not directly comparable with experiment 026 throughput.</w:t>
      </w:r>
    </w:p>
    <w:p>
      <w:pPr>
        <w:pStyle w:val="Caption"/>
        <w:keepNext/>
      </w:pPr>
      <w:r>
        <w:t>Table 91. Delayed-shard completion rules.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2052"/>
        <w:gridCol w:w="2052"/>
        <w:gridCol w:w="2052"/>
        <w:gridCol w:w="2052"/>
      </w:tblGrid>
      <w:tr>
        <w:trPr>
          <w:cantSplit/>
          <w:tblHeader/>
        </w:trPr>
        <w:tc>
          <w:tcPr>
            <w:tcW w:type="dxa" w:w="2016"/>
            <w:vAlign w:val="center"/>
            <w:shd w:fill="F2F2F2"/>
          </w:tcPr>
          <w:p>
            <w:pPr>
              <w:keepNext/>
              <w:spacing w:after="0" w:before="0" w:line="240" w:lineRule="auto"/>
            </w:pPr>
            <w:r>
              <w:rPr>
                <w:rFonts w:ascii="Calibri" w:hAnsi="Calibri"/>
                <w:b/>
                <w:sz w:val="19"/>
              </w:rPr>
              <w:t>Redundancy</w:t>
            </w:r>
          </w:p>
        </w:tc>
        <w:tc>
          <w:tcPr>
            <w:tcW w:type="dxa" w:w="2052"/>
            <w:vAlign w:val="center"/>
            <w:shd w:fill="F2F2F2"/>
          </w:tcPr>
          <w:p>
            <w:pPr>
              <w:keepNext/>
              <w:spacing w:after="0" w:before="0" w:line="240" w:lineRule="auto"/>
            </w:pPr>
            <w:r>
              <w:rPr>
                <w:rFonts w:ascii="Calibri" w:hAnsi="Calibri"/>
                <w:b/>
                <w:sz w:val="19"/>
              </w:rPr>
              <w:t>Coordinator rule</w:t>
            </w:r>
          </w:p>
        </w:tc>
        <w:tc>
          <w:tcPr>
            <w:tcW w:type="dxa" w:w="2052"/>
            <w:vAlign w:val="center"/>
            <w:shd w:fill="F2F2F2"/>
          </w:tcPr>
          <w:p>
            <w:pPr>
              <w:keepNext/>
              <w:spacing w:after="0" w:before="0" w:line="240" w:lineRule="auto"/>
            </w:pPr>
            <w:r>
              <w:rPr>
                <w:rFonts w:ascii="Calibri" w:hAnsi="Calibri"/>
                <w:b/>
                <w:sz w:val="19"/>
              </w:rPr>
              <w:t>Median orchestration wait</w:t>
            </w:r>
          </w:p>
        </w:tc>
        <w:tc>
          <w:tcPr>
            <w:tcW w:type="dxa" w:w="2052"/>
            <w:vAlign w:val="center"/>
            <w:shd w:fill="F2F2F2"/>
          </w:tcPr>
          <w:p>
            <w:pPr>
              <w:keepNext/>
              <w:spacing w:after="0" w:before="0" w:line="240" w:lineRule="auto"/>
            </w:pPr>
            <w:r>
              <w:rPr>
                <w:rFonts w:ascii="Calibri" w:hAnsi="Calibri"/>
                <w:b/>
                <w:sz w:val="19"/>
              </w:rPr>
              <w:t>Recall@5</w:t>
            </w:r>
          </w:p>
        </w:tc>
        <w:tc>
          <w:tcPr>
            <w:tcW w:type="dxa" w:w="2052"/>
            <w:vAlign w:val="center"/>
            <w:shd w:fill="F2F2F2"/>
          </w:tcPr>
          <w:p>
            <w:pPr>
              <w:keepNext/>
              <w:spacing w:after="0" w:before="0" w:line="240" w:lineRule="auto"/>
            </w:pPr>
            <w:r>
              <w:rPr>
                <w:rFonts w:ascii="Calibri" w:hAnsi="Calibri"/>
                <w:b/>
                <w:sz w:val="19"/>
              </w:rPr>
              <w:t>Exact top-5</w:t>
            </w:r>
          </w:p>
        </w:tc>
      </w:tr>
      <w:tr>
        <w:trPr>
          <w:cantSplit/>
        </w:trPr>
        <w:tc>
          <w:tcPr>
            <w:tcW w:type="dxa" w:w="2016"/>
            <w:vAlign w:val="center"/>
          </w:tcPr>
          <w:p>
            <w:pPr>
              <w:keepNext w:val="0"/>
              <w:spacing w:after="0" w:before="0" w:line="240" w:lineRule="auto"/>
            </w:pPr>
            <w:r>
              <w:rPr>
                <w:rFonts w:ascii="Calibri" w:hAnsi="Calibri"/>
                <w:b w:val="0"/>
                <w:sz w:val="19"/>
              </w:rPr>
              <w:t>No replica</w:t>
            </w:r>
          </w:p>
        </w:tc>
        <w:tc>
          <w:tcPr>
            <w:tcW w:type="dxa" w:w="2052"/>
            <w:vAlign w:val="center"/>
          </w:tcPr>
          <w:p>
            <w:pPr>
              <w:keepNext w:val="0"/>
              <w:spacing w:after="0" w:before="0" w:line="240" w:lineRule="auto"/>
            </w:pPr>
            <w:r>
              <w:rPr>
                <w:rFonts w:ascii="Calibri" w:hAnsi="Calibri"/>
                <w:b w:val="0"/>
                <w:sz w:val="19"/>
              </w:rPr>
              <w:t>Wait all 8</w:t>
            </w:r>
          </w:p>
        </w:tc>
        <w:tc>
          <w:tcPr>
            <w:tcW w:type="dxa" w:w="2052"/>
            <w:vAlign w:val="center"/>
          </w:tcPr>
          <w:p>
            <w:pPr>
              <w:keepNext w:val="0"/>
              <w:spacing w:after="0" w:before="0" w:line="240" w:lineRule="auto"/>
            </w:pPr>
            <w:r>
              <w:rPr>
                <w:rFonts w:ascii="Calibri" w:hAnsi="Calibri"/>
                <w:b w:val="0"/>
                <w:sz w:val="19"/>
              </w:rPr>
              <w:t>351.58 ms</w:t>
            </w:r>
          </w:p>
        </w:tc>
        <w:tc>
          <w:tcPr>
            <w:tcW w:type="dxa" w:w="2052"/>
            <w:vAlign w:val="center"/>
          </w:tcPr>
          <w:p>
            <w:pPr>
              <w:keepNext w:val="0"/>
              <w:spacing w:after="0" w:before="0" w:line="240" w:lineRule="auto"/>
              <w:jc w:val="right"/>
            </w:pPr>
            <w:r>
              <w:rPr>
                <w:rFonts w:ascii="Calibri" w:hAnsi="Calibri"/>
                <w:b w:val="0"/>
                <w:sz w:val="19"/>
              </w:rPr>
              <w:t>100.00%</w:t>
            </w:r>
          </w:p>
        </w:tc>
        <w:tc>
          <w:tcPr>
            <w:tcW w:type="dxa" w:w="2052"/>
            <w:vAlign w:val="center"/>
          </w:tcPr>
          <w:p>
            <w:pPr>
              <w:keepNext w:val="0"/>
              <w:spacing w:after="0" w:before="0" w:line="240" w:lineRule="auto"/>
              <w:jc w:val="right"/>
            </w:pPr>
            <w:r>
              <w:rPr>
                <w:rFonts w:ascii="Calibri" w:hAnsi="Calibri"/>
                <w:b w:val="0"/>
                <w:sz w:val="19"/>
              </w:rPr>
              <w:t>100.0%</w:t>
            </w:r>
          </w:p>
        </w:tc>
      </w:tr>
      <w:tr>
        <w:trPr>
          <w:cantSplit/>
        </w:trPr>
        <w:tc>
          <w:tcPr>
            <w:tcW w:type="dxa" w:w="2016"/>
            <w:vAlign w:val="center"/>
          </w:tcPr>
          <w:p>
            <w:pPr>
              <w:keepNext w:val="0"/>
              <w:spacing w:after="0" w:before="0" w:line="240" w:lineRule="auto"/>
            </w:pPr>
            <w:r>
              <w:rPr>
                <w:rFonts w:ascii="Calibri" w:hAnsi="Calibri"/>
                <w:b w:val="0"/>
                <w:sz w:val="19"/>
              </w:rPr>
              <w:t>No replica</w:t>
            </w:r>
          </w:p>
        </w:tc>
        <w:tc>
          <w:tcPr>
            <w:tcW w:type="dxa" w:w="2052"/>
            <w:vAlign w:val="center"/>
          </w:tcPr>
          <w:p>
            <w:pPr>
              <w:keepNext w:val="0"/>
              <w:spacing w:after="0" w:before="0" w:line="240" w:lineRule="auto"/>
            </w:pPr>
            <w:r>
              <w:rPr>
                <w:rFonts w:ascii="Calibri" w:hAnsi="Calibri"/>
                <w:b w:val="0"/>
                <w:sz w:val="19"/>
              </w:rPr>
              <w:t>Continue at 7/8</w:t>
            </w:r>
          </w:p>
        </w:tc>
        <w:tc>
          <w:tcPr>
            <w:tcW w:type="dxa" w:w="2052"/>
            <w:vAlign w:val="center"/>
          </w:tcPr>
          <w:p>
            <w:pPr>
              <w:keepNext w:val="0"/>
              <w:spacing w:after="0" w:before="0" w:line="240" w:lineRule="auto"/>
            </w:pPr>
            <w:r>
              <w:rPr>
                <w:rFonts w:ascii="Calibri" w:hAnsi="Calibri"/>
                <w:b w:val="0"/>
                <w:sz w:val="19"/>
              </w:rPr>
              <w:t>1.19 ms</w:t>
            </w:r>
          </w:p>
        </w:tc>
        <w:tc>
          <w:tcPr>
            <w:tcW w:type="dxa" w:w="2052"/>
            <w:vAlign w:val="center"/>
          </w:tcPr>
          <w:p>
            <w:pPr>
              <w:keepNext w:val="0"/>
              <w:spacing w:after="0" w:before="0" w:line="240" w:lineRule="auto"/>
              <w:jc w:val="right"/>
            </w:pPr>
            <w:r>
              <w:rPr>
                <w:rFonts w:ascii="Calibri" w:hAnsi="Calibri"/>
                <w:b w:val="0"/>
                <w:sz w:val="19"/>
              </w:rPr>
              <w:t>81.60%</w:t>
            </w:r>
          </w:p>
        </w:tc>
        <w:tc>
          <w:tcPr>
            <w:tcW w:type="dxa" w:w="2052"/>
            <w:vAlign w:val="center"/>
          </w:tcPr>
          <w:p>
            <w:pPr>
              <w:keepNext w:val="0"/>
              <w:spacing w:after="0" w:before="0" w:line="240" w:lineRule="auto"/>
              <w:jc w:val="right"/>
            </w:pPr>
            <w:r>
              <w:rPr>
                <w:rFonts w:ascii="Calibri" w:hAnsi="Calibri"/>
                <w:b w:val="0"/>
                <w:sz w:val="19"/>
              </w:rPr>
              <w:t>49.0%</w:t>
            </w:r>
          </w:p>
        </w:tc>
      </w:tr>
      <w:tr>
        <w:trPr>
          <w:cantSplit/>
        </w:trPr>
        <w:tc>
          <w:tcPr>
            <w:tcW w:type="dxa" w:w="2016"/>
            <w:vAlign w:val="center"/>
          </w:tcPr>
          <w:p>
            <w:pPr>
              <w:keepNext w:val="0"/>
              <w:spacing w:after="0" w:before="0" w:line="240" w:lineRule="auto"/>
            </w:pPr>
            <w:r>
              <w:rPr>
                <w:rFonts w:ascii="Calibri" w:hAnsi="Calibri"/>
                <w:b w:val="0"/>
                <w:sz w:val="19"/>
              </w:rPr>
              <w:t>Hot 25%</w:t>
            </w:r>
          </w:p>
        </w:tc>
        <w:tc>
          <w:tcPr>
            <w:tcW w:type="dxa" w:w="2052"/>
            <w:vAlign w:val="center"/>
          </w:tcPr>
          <w:p>
            <w:pPr>
              <w:keepNext w:val="0"/>
              <w:spacing w:after="0" w:before="0" w:line="240" w:lineRule="auto"/>
            </w:pPr>
            <w:r>
              <w:rPr>
                <w:rFonts w:ascii="Calibri" w:hAnsi="Calibri"/>
                <w:b w:val="0"/>
                <w:sz w:val="19"/>
              </w:rPr>
              <w:t>Wait all 8</w:t>
            </w:r>
          </w:p>
        </w:tc>
        <w:tc>
          <w:tcPr>
            <w:tcW w:type="dxa" w:w="2052"/>
            <w:vAlign w:val="center"/>
          </w:tcPr>
          <w:p>
            <w:pPr>
              <w:keepNext w:val="0"/>
              <w:spacing w:after="0" w:before="0" w:line="240" w:lineRule="auto"/>
            </w:pPr>
            <w:r>
              <w:rPr>
                <w:rFonts w:ascii="Calibri" w:hAnsi="Calibri"/>
                <w:b w:val="0"/>
                <w:sz w:val="19"/>
              </w:rPr>
              <w:t>351.02 ms</w:t>
            </w:r>
          </w:p>
        </w:tc>
        <w:tc>
          <w:tcPr>
            <w:tcW w:type="dxa" w:w="2052"/>
            <w:vAlign w:val="center"/>
          </w:tcPr>
          <w:p>
            <w:pPr>
              <w:keepNext w:val="0"/>
              <w:spacing w:after="0" w:before="0" w:line="240" w:lineRule="auto"/>
              <w:jc w:val="right"/>
            </w:pPr>
            <w:r>
              <w:rPr>
                <w:rFonts w:ascii="Calibri" w:hAnsi="Calibri"/>
                <w:b w:val="0"/>
                <w:sz w:val="19"/>
              </w:rPr>
              <w:t>100.00%</w:t>
            </w:r>
          </w:p>
        </w:tc>
        <w:tc>
          <w:tcPr>
            <w:tcW w:type="dxa" w:w="2052"/>
            <w:vAlign w:val="center"/>
          </w:tcPr>
          <w:p>
            <w:pPr>
              <w:keepNext w:val="0"/>
              <w:spacing w:after="0" w:before="0" w:line="240" w:lineRule="auto"/>
              <w:jc w:val="right"/>
            </w:pPr>
            <w:r>
              <w:rPr>
                <w:rFonts w:ascii="Calibri" w:hAnsi="Calibri"/>
                <w:b w:val="0"/>
                <w:sz w:val="19"/>
              </w:rPr>
              <w:t>100.0%</w:t>
            </w:r>
          </w:p>
        </w:tc>
      </w:tr>
      <w:tr>
        <w:trPr>
          <w:cantSplit/>
        </w:trPr>
        <w:tc>
          <w:tcPr>
            <w:tcW w:type="dxa" w:w="2016"/>
            <w:vAlign w:val="center"/>
          </w:tcPr>
          <w:p>
            <w:pPr>
              <w:keepNext w:val="0"/>
              <w:spacing w:after="0" w:before="0" w:line="240" w:lineRule="auto"/>
            </w:pPr>
            <w:r>
              <w:rPr>
                <w:rFonts w:ascii="Calibri" w:hAnsi="Calibri"/>
                <w:b w:val="0"/>
                <w:sz w:val="19"/>
              </w:rPr>
              <w:t>Hot 25%</w:t>
            </w:r>
          </w:p>
        </w:tc>
        <w:tc>
          <w:tcPr>
            <w:tcW w:type="dxa" w:w="2052"/>
            <w:vAlign w:val="center"/>
          </w:tcPr>
          <w:p>
            <w:pPr>
              <w:keepNext w:val="0"/>
              <w:spacing w:after="0" w:before="0" w:line="240" w:lineRule="auto"/>
            </w:pPr>
            <w:r>
              <w:rPr>
                <w:rFonts w:ascii="Calibri" w:hAnsi="Calibri"/>
                <w:b w:val="0"/>
                <w:sz w:val="19"/>
              </w:rPr>
              <w:t>Continue at 7/8</w:t>
            </w:r>
          </w:p>
        </w:tc>
        <w:tc>
          <w:tcPr>
            <w:tcW w:type="dxa" w:w="2052"/>
            <w:vAlign w:val="center"/>
          </w:tcPr>
          <w:p>
            <w:pPr>
              <w:keepNext w:val="0"/>
              <w:spacing w:after="0" w:before="0" w:line="240" w:lineRule="auto"/>
            </w:pPr>
            <w:r>
              <w:rPr>
                <w:rFonts w:ascii="Calibri" w:hAnsi="Calibri"/>
                <w:b w:val="0"/>
                <w:sz w:val="19"/>
              </w:rPr>
              <w:t>1.25 ms</w:t>
            </w:r>
          </w:p>
        </w:tc>
        <w:tc>
          <w:tcPr>
            <w:tcW w:type="dxa" w:w="2052"/>
            <w:vAlign w:val="center"/>
          </w:tcPr>
          <w:p>
            <w:pPr>
              <w:keepNext w:val="0"/>
              <w:spacing w:after="0" w:before="0" w:line="240" w:lineRule="auto"/>
              <w:jc w:val="right"/>
            </w:pPr>
            <w:r>
              <w:rPr>
                <w:rFonts w:ascii="Calibri" w:hAnsi="Calibri"/>
                <w:b w:val="0"/>
                <w:sz w:val="19"/>
              </w:rPr>
              <w:t>91.84%</w:t>
            </w:r>
          </w:p>
        </w:tc>
        <w:tc>
          <w:tcPr>
            <w:tcW w:type="dxa" w:w="2052"/>
            <w:vAlign w:val="center"/>
          </w:tcPr>
          <w:p>
            <w:pPr>
              <w:keepNext w:val="0"/>
              <w:spacing w:after="0" w:before="0" w:line="240" w:lineRule="auto"/>
              <w:jc w:val="right"/>
            </w:pPr>
            <w:r>
              <w:rPr>
                <w:rFonts w:ascii="Calibri" w:hAnsi="Calibri"/>
                <w:b w:val="0"/>
                <w:sz w:val="19"/>
              </w:rPr>
              <w:t>73.0%</w:t>
            </w:r>
          </w:p>
        </w:tc>
      </w:tr>
      <w:tr>
        <w:trPr>
          <w:cantSplit/>
        </w:trPr>
        <w:tc>
          <w:tcPr>
            <w:tcW w:type="dxa" w:w="2016"/>
            <w:vAlign w:val="center"/>
          </w:tcPr>
          <w:p>
            <w:pPr>
              <w:keepNext w:val="0"/>
              <w:spacing w:after="0" w:before="0" w:line="240" w:lineRule="auto"/>
            </w:pPr>
            <w:r>
              <w:rPr>
                <w:rFonts w:ascii="Calibri" w:hAnsi="Calibri"/>
                <w:b w:val="0"/>
                <w:sz w:val="19"/>
              </w:rPr>
              <w:t>One backup/object</w:t>
            </w:r>
          </w:p>
        </w:tc>
        <w:tc>
          <w:tcPr>
            <w:tcW w:type="dxa" w:w="2052"/>
            <w:vAlign w:val="center"/>
          </w:tcPr>
          <w:p>
            <w:pPr>
              <w:keepNext w:val="0"/>
              <w:spacing w:after="0" w:before="0" w:line="240" w:lineRule="auto"/>
            </w:pPr>
            <w:r>
              <w:rPr>
                <w:rFonts w:ascii="Calibri" w:hAnsi="Calibri"/>
                <w:b w:val="0"/>
                <w:sz w:val="19"/>
              </w:rPr>
              <w:t>Wait all 8</w:t>
            </w:r>
          </w:p>
        </w:tc>
        <w:tc>
          <w:tcPr>
            <w:tcW w:type="dxa" w:w="2052"/>
            <w:vAlign w:val="center"/>
          </w:tcPr>
          <w:p>
            <w:pPr>
              <w:keepNext w:val="0"/>
              <w:spacing w:after="0" w:before="0" w:line="240" w:lineRule="auto"/>
            </w:pPr>
            <w:r>
              <w:rPr>
                <w:rFonts w:ascii="Calibri" w:hAnsi="Calibri"/>
                <w:b w:val="0"/>
                <w:sz w:val="19"/>
              </w:rPr>
              <w:t>351.25 ms</w:t>
            </w:r>
          </w:p>
        </w:tc>
        <w:tc>
          <w:tcPr>
            <w:tcW w:type="dxa" w:w="2052"/>
            <w:vAlign w:val="center"/>
          </w:tcPr>
          <w:p>
            <w:pPr>
              <w:keepNext w:val="0"/>
              <w:spacing w:after="0" w:before="0" w:line="240" w:lineRule="auto"/>
              <w:jc w:val="right"/>
            </w:pPr>
            <w:r>
              <w:rPr>
                <w:rFonts w:ascii="Calibri" w:hAnsi="Calibri"/>
                <w:b w:val="0"/>
                <w:sz w:val="19"/>
              </w:rPr>
              <w:t>100.00%</w:t>
            </w:r>
          </w:p>
        </w:tc>
        <w:tc>
          <w:tcPr>
            <w:tcW w:type="dxa" w:w="2052"/>
            <w:vAlign w:val="center"/>
          </w:tcPr>
          <w:p>
            <w:pPr>
              <w:keepNext w:val="0"/>
              <w:spacing w:after="0" w:before="0" w:line="240" w:lineRule="auto"/>
              <w:jc w:val="right"/>
            </w:pPr>
            <w:r>
              <w:rPr>
                <w:rFonts w:ascii="Calibri" w:hAnsi="Calibri"/>
                <w:b w:val="0"/>
                <w:sz w:val="19"/>
              </w:rPr>
              <w:t>100.0%</w:t>
            </w:r>
          </w:p>
        </w:tc>
      </w:tr>
      <w:tr>
        <w:trPr>
          <w:cantSplit/>
        </w:trPr>
        <w:tc>
          <w:tcPr>
            <w:tcW w:type="dxa" w:w="2016"/>
            <w:vAlign w:val="center"/>
          </w:tcPr>
          <w:p>
            <w:pPr>
              <w:keepNext/>
              <w:spacing w:after="0" w:before="0" w:line="240" w:lineRule="auto"/>
            </w:pPr>
            <w:r>
              <w:rPr>
                <w:rFonts w:ascii="Calibri" w:hAnsi="Calibri"/>
                <w:b w:val="0"/>
                <w:sz w:val="19"/>
              </w:rPr>
              <w:t>One backup/object</w:t>
            </w:r>
          </w:p>
        </w:tc>
        <w:tc>
          <w:tcPr>
            <w:tcW w:type="dxa" w:w="2052"/>
            <w:vAlign w:val="center"/>
          </w:tcPr>
          <w:p>
            <w:pPr>
              <w:keepNext/>
              <w:spacing w:after="0" w:before="0" w:line="240" w:lineRule="auto"/>
            </w:pPr>
            <w:r>
              <w:rPr>
                <w:rFonts w:ascii="Calibri" w:hAnsi="Calibri"/>
                <w:b w:val="0"/>
                <w:sz w:val="19"/>
              </w:rPr>
              <w:t>Continue at 7/8</w:t>
            </w:r>
          </w:p>
        </w:tc>
        <w:tc>
          <w:tcPr>
            <w:tcW w:type="dxa" w:w="2052"/>
            <w:vAlign w:val="center"/>
          </w:tcPr>
          <w:p>
            <w:pPr>
              <w:keepNext/>
              <w:spacing w:after="0" w:before="0" w:line="240" w:lineRule="auto"/>
            </w:pPr>
            <w:r>
              <w:rPr>
                <w:rFonts w:ascii="Calibri" w:hAnsi="Calibri"/>
                <w:b w:val="0"/>
                <w:sz w:val="19"/>
              </w:rPr>
              <w:t>1.23 ms</w:t>
            </w:r>
          </w:p>
        </w:tc>
        <w:tc>
          <w:tcPr>
            <w:tcW w:type="dxa" w:w="2052"/>
            <w:vAlign w:val="center"/>
          </w:tcPr>
          <w:p>
            <w:pPr>
              <w:keepNext/>
              <w:spacing w:after="0" w:before="0" w:line="240" w:lineRule="auto"/>
              <w:jc w:val="right"/>
            </w:pPr>
            <w:r>
              <w:rPr>
                <w:rFonts w:ascii="Calibri" w:hAnsi="Calibri"/>
                <w:b w:val="0"/>
                <w:sz w:val="19"/>
              </w:rPr>
              <w:t>100.00%</w:t>
            </w:r>
          </w:p>
        </w:tc>
        <w:tc>
          <w:tcPr>
            <w:tcW w:type="dxa" w:w="2052"/>
            <w:vAlign w:val="center"/>
          </w:tcPr>
          <w:p>
            <w:pPr>
              <w:keepNext/>
              <w:spacing w:after="0" w:before="0" w:line="240" w:lineRule="auto"/>
              <w:jc w:val="right"/>
            </w:pPr>
            <w:r>
              <w:rPr>
                <w:rFonts w:ascii="Calibri" w:hAnsi="Calibri"/>
                <w:b w:val="0"/>
                <w:sz w:val="19"/>
              </w:rPr>
              <w:t>100.0%</w:t>
            </w:r>
          </w:p>
        </w:tc>
      </w:tr>
    </w:tbl>
    <w:p>
      <w:pPr>
        <w:keepLines/>
        <w:spacing w:before="60" w:after="120"/>
      </w:pPr>
      <w:r>
        <w:rPr>
          <w:sz w:val="18"/>
        </w:rPr>
        <w:t>Real document-derived workload with controlled placement, fault or update conditions. Timing is specific to the local prototype.</w:t>
      </w:r>
    </w:p>
    <w:p>
      <w:r>
        <w:t>Waiting for all eight owners preserves 100% exact-set agreement under each replication policy but incurs approximately 351 ms of waiting. The controlled delay dominates this barrier rule.</w:t>
      </w:r>
    </w:p>
    <w:p>
      <w:r>
        <w:t>Continuing after seven responses reduces median waiting to approximately 1.2 ms. Without replicas, recall is 81.6%; hot-25% replication raises it to 91.84% with 73% exact-set agreement. One backup per object preserves 100% reference agreement without waiting for the delayed owner. Completion and redundancy policies therefore jointly determine the observed trade-off.</w:t>
      </w:r>
    </w:p>
    <w:p>
      <w:pPr>
        <w:keepNext/>
        <w:spacing w:after="60"/>
        <w:jc w:val="center"/>
      </w:pPr>
      <w:r>
        <w:drawing>
          <wp:inline xmlns:a="http://schemas.openxmlformats.org/drawingml/2006/main" xmlns:pic="http://schemas.openxmlformats.org/drawingml/2006/picture">
            <wp:extent cx="6309360" cy="3984859"/>
            <wp:docPr id="76" name="Picture 76"/>
            <wp:cNvGraphicFramePr>
              <a:graphicFrameLocks noChangeAspect="1"/>
            </wp:cNvGraphicFramePr>
            <a:graphic>
              <a:graphicData uri="http://schemas.openxmlformats.org/drawingml/2006/picture">
                <pic:pic>
                  <pic:nvPicPr>
                    <pic:cNvPr id="0" name="76_image76.png"/>
                    <pic:cNvPicPr/>
                  </pic:nvPicPr>
                  <pic:blipFill>
                    <a:blip r:embed="rId89"/>
                    <a:stretch>
                      <a:fillRect/>
                    </a:stretch>
                  </pic:blipFill>
                  <pic:spPr>
                    <a:xfrm>
                      <a:off x="0" y="0"/>
                      <a:ext cx="6309360" cy="3984859"/>
                    </a:xfrm>
                    <a:prstGeom prst="rect"/>
                  </pic:spPr>
                </pic:pic>
              </a:graphicData>
            </a:graphic>
          </wp:inline>
        </w:drawing>
      </w:r>
    </w:p>
    <w:p>
      <w:pPr>
        <w:pStyle w:val="Caption"/>
      </w:pPr>
      <w:r>
        <w:t>Figure 76. Waiting time and retrieval completeness under the 350 ms shard delay. The experiment compares an all-owner barrier with continuation after seven responses using three replication policies.</w:t>
      </w:r>
    </w:p>
    <w:p>
      <w:pPr>
        <w:pStyle w:val="Heading3"/>
      </w:pPr>
      <w:r>
        <w:t>9.2.3 Concurrent state updates</w:t>
      </w:r>
    </w:p>
    <w:p>
      <w:r>
        <w:t>The corpus dependencies produce 1,860 directed update targets. These are repeated to 120,000 updates for stress timing, with eight processes executing the same update multiset. The test measures completeness of state mutation rather than the semantic correctness of learned content.</w:t>
      </w:r>
    </w:p>
    <w:p>
      <w:pPr>
        <w:pStyle w:val="Caption"/>
        <w:keepNext/>
      </w:pPr>
      <w:r>
        <w:t>Table 92. Concurrent update synchronization.</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2664"/>
        <w:gridCol w:w="2664"/>
        <w:gridCol w:w="2664"/>
      </w:tblGrid>
      <w:tr>
        <w:trPr>
          <w:cantSplit/>
          <w:tblHeader/>
        </w:trPr>
        <w:tc>
          <w:tcPr>
            <w:tcW w:type="dxa" w:w="2232"/>
            <w:vAlign w:val="center"/>
            <w:shd w:fill="F2F2F2"/>
          </w:tcPr>
          <w:p>
            <w:pPr>
              <w:keepNext/>
              <w:spacing w:after="0" w:before="0" w:line="240" w:lineRule="auto"/>
            </w:pPr>
            <w:r>
              <w:rPr>
                <w:rFonts w:ascii="Calibri" w:hAnsi="Calibri"/>
                <w:b/>
                <w:sz w:val="19"/>
              </w:rPr>
              <w:t>Update discipline</w:t>
            </w:r>
          </w:p>
        </w:tc>
        <w:tc>
          <w:tcPr>
            <w:tcW w:type="dxa" w:w="2664"/>
            <w:vAlign w:val="center"/>
            <w:shd w:fill="F2F2F2"/>
          </w:tcPr>
          <w:p>
            <w:pPr>
              <w:keepNext/>
              <w:spacing w:after="0" w:before="0" w:line="240" w:lineRule="auto"/>
            </w:pPr>
            <w:r>
              <w:rPr>
                <w:rFonts w:ascii="Calibri" w:hAnsi="Calibri"/>
                <w:b/>
                <w:sz w:val="19"/>
              </w:rPr>
              <w:t>Median updates/s</w:t>
            </w:r>
          </w:p>
        </w:tc>
        <w:tc>
          <w:tcPr>
            <w:tcW w:type="dxa" w:w="2664"/>
            <w:vAlign w:val="center"/>
            <w:shd w:fill="F2F2F2"/>
          </w:tcPr>
          <w:p>
            <w:pPr>
              <w:keepNext/>
              <w:spacing w:after="0" w:before="0" w:line="240" w:lineRule="auto"/>
            </w:pPr>
            <w:r>
              <w:rPr>
                <w:rFonts w:ascii="Calibri" w:hAnsi="Calibri"/>
                <w:b/>
                <w:sz w:val="19"/>
              </w:rPr>
              <w:t>Mean lost updates</w:t>
            </w:r>
          </w:p>
        </w:tc>
        <w:tc>
          <w:tcPr>
            <w:tcW w:type="dxa" w:w="2664"/>
            <w:vAlign w:val="center"/>
            <w:shd w:fill="F2F2F2"/>
          </w:tcPr>
          <w:p>
            <w:pPr>
              <w:keepNext/>
              <w:spacing w:after="0" w:before="0" w:line="240" w:lineRule="auto"/>
            </w:pPr>
            <w:r>
              <w:rPr>
                <w:rFonts w:ascii="Calibri" w:hAnsi="Calibri"/>
                <w:b/>
                <w:sz w:val="19"/>
              </w:rPr>
              <w:t>Objects with count error</w:t>
            </w:r>
          </w:p>
        </w:tc>
      </w:tr>
      <w:tr>
        <w:trPr>
          <w:cantSplit/>
        </w:trPr>
        <w:tc>
          <w:tcPr>
            <w:tcW w:type="dxa" w:w="2232"/>
            <w:vAlign w:val="center"/>
          </w:tcPr>
          <w:p>
            <w:pPr>
              <w:keepNext w:val="0"/>
              <w:spacing w:after="0" w:before="0" w:line="240" w:lineRule="auto"/>
            </w:pPr>
            <w:r>
              <w:rPr>
                <w:rFonts w:ascii="Calibri" w:hAnsi="Calibri"/>
                <w:b w:val="0"/>
                <w:sz w:val="19"/>
              </w:rPr>
              <w:t>Naive shared RMW</w:t>
            </w:r>
          </w:p>
        </w:tc>
        <w:tc>
          <w:tcPr>
            <w:tcW w:type="dxa" w:w="2664"/>
            <w:vAlign w:val="center"/>
          </w:tcPr>
          <w:p>
            <w:pPr>
              <w:keepNext w:val="0"/>
              <w:spacing w:after="0" w:before="0" w:line="240" w:lineRule="auto"/>
              <w:jc w:val="right"/>
            </w:pPr>
            <w:r>
              <w:rPr>
                <w:rFonts w:ascii="Calibri" w:hAnsi="Calibri"/>
                <w:b w:val="0"/>
                <w:sz w:val="19"/>
              </w:rPr>
              <w:t>633,027</w:t>
            </w:r>
          </w:p>
        </w:tc>
        <w:tc>
          <w:tcPr>
            <w:tcW w:type="dxa" w:w="2664"/>
            <w:vAlign w:val="center"/>
          </w:tcPr>
          <w:p>
            <w:pPr>
              <w:keepNext w:val="0"/>
              <w:spacing w:after="0" w:before="0" w:line="240" w:lineRule="auto"/>
              <w:jc w:val="right"/>
            </w:pPr>
            <w:r>
              <w:rPr>
                <w:rFonts w:ascii="Calibri" w:hAnsi="Calibri"/>
                <w:b w:val="0"/>
                <w:sz w:val="19"/>
              </w:rPr>
              <w:t>1.354%</w:t>
            </w:r>
          </w:p>
        </w:tc>
        <w:tc>
          <w:tcPr>
            <w:tcW w:type="dxa" w:w="2664"/>
            <w:vAlign w:val="center"/>
          </w:tcPr>
          <w:p>
            <w:pPr>
              <w:keepNext w:val="0"/>
              <w:spacing w:after="0" w:before="0" w:line="240" w:lineRule="auto"/>
              <w:jc w:val="right"/>
            </w:pPr>
            <w:r>
              <w:rPr>
                <w:rFonts w:ascii="Calibri" w:hAnsi="Calibri"/>
                <w:b w:val="0"/>
                <w:sz w:val="19"/>
              </w:rPr>
              <w:t>183.8</w:t>
            </w:r>
          </w:p>
        </w:tc>
      </w:tr>
      <w:tr>
        <w:trPr>
          <w:cantSplit/>
        </w:trPr>
        <w:tc>
          <w:tcPr>
            <w:tcW w:type="dxa" w:w="2232"/>
            <w:vAlign w:val="center"/>
          </w:tcPr>
          <w:p>
            <w:pPr>
              <w:keepNext w:val="0"/>
              <w:spacing w:after="0" w:before="0" w:line="240" w:lineRule="auto"/>
            </w:pPr>
            <w:r>
              <w:rPr>
                <w:rFonts w:ascii="Calibri" w:hAnsi="Calibri"/>
                <w:b w:val="0"/>
                <w:sz w:val="19"/>
              </w:rPr>
              <w:t>One global lock</w:t>
            </w:r>
          </w:p>
        </w:tc>
        <w:tc>
          <w:tcPr>
            <w:tcW w:type="dxa" w:w="2664"/>
            <w:vAlign w:val="center"/>
          </w:tcPr>
          <w:p>
            <w:pPr>
              <w:keepNext w:val="0"/>
              <w:spacing w:after="0" w:before="0" w:line="240" w:lineRule="auto"/>
              <w:jc w:val="right"/>
            </w:pPr>
            <w:r>
              <w:rPr>
                <w:rFonts w:ascii="Calibri" w:hAnsi="Calibri"/>
                <w:b w:val="0"/>
                <w:sz w:val="19"/>
              </w:rPr>
              <w:t>411,215</w:t>
            </w:r>
          </w:p>
        </w:tc>
        <w:tc>
          <w:tcPr>
            <w:tcW w:type="dxa" w:w="2664"/>
            <w:vAlign w:val="center"/>
          </w:tcPr>
          <w:p>
            <w:pPr>
              <w:keepNext w:val="0"/>
              <w:spacing w:after="0" w:before="0" w:line="240" w:lineRule="auto"/>
              <w:jc w:val="right"/>
            </w:pPr>
            <w:r>
              <w:rPr>
                <w:rFonts w:ascii="Calibri" w:hAnsi="Calibri"/>
                <w:b w:val="0"/>
                <w:sz w:val="19"/>
              </w:rPr>
              <w:t>0.000%</w:t>
            </w:r>
          </w:p>
        </w:tc>
        <w:tc>
          <w:tcPr>
            <w:tcW w:type="dxa" w:w="2664"/>
            <w:vAlign w:val="center"/>
          </w:tcPr>
          <w:p>
            <w:pPr>
              <w:keepNext w:val="0"/>
              <w:spacing w:after="0" w:before="0" w:line="240" w:lineRule="auto"/>
              <w:jc w:val="right"/>
            </w:pPr>
            <w:r>
              <w:rPr>
                <w:rFonts w:ascii="Calibri" w:hAnsi="Calibri"/>
                <w:b w:val="0"/>
                <w:sz w:val="19"/>
              </w:rPr>
              <w:t>0.0</w:t>
            </w:r>
          </w:p>
        </w:tc>
      </w:tr>
      <w:tr>
        <w:trPr>
          <w:cantSplit/>
        </w:trPr>
        <w:tc>
          <w:tcPr>
            <w:tcW w:type="dxa" w:w="2232"/>
            <w:vAlign w:val="center"/>
          </w:tcPr>
          <w:p>
            <w:pPr>
              <w:keepNext/>
              <w:spacing w:after="0" w:before="0" w:line="240" w:lineRule="auto"/>
            </w:pPr>
            <w:r>
              <w:rPr>
                <w:rFonts w:ascii="Calibri" w:hAnsi="Calibri"/>
                <w:b w:val="0"/>
                <w:sz w:val="19"/>
              </w:rPr>
              <w:t>Ownership-scoped shard locks</w:t>
            </w:r>
          </w:p>
        </w:tc>
        <w:tc>
          <w:tcPr>
            <w:tcW w:type="dxa" w:w="2664"/>
            <w:vAlign w:val="center"/>
          </w:tcPr>
          <w:p>
            <w:pPr>
              <w:keepNext/>
              <w:spacing w:after="0" w:before="0" w:line="240" w:lineRule="auto"/>
              <w:jc w:val="right"/>
            </w:pPr>
            <w:r>
              <w:rPr>
                <w:rFonts w:ascii="Calibri" w:hAnsi="Calibri"/>
                <w:b w:val="0"/>
                <w:sz w:val="19"/>
              </w:rPr>
              <w:t>668,856</w:t>
            </w:r>
          </w:p>
        </w:tc>
        <w:tc>
          <w:tcPr>
            <w:tcW w:type="dxa" w:w="2664"/>
            <w:vAlign w:val="center"/>
          </w:tcPr>
          <w:p>
            <w:pPr>
              <w:keepNext/>
              <w:spacing w:after="0" w:before="0" w:line="240" w:lineRule="auto"/>
              <w:jc w:val="right"/>
            </w:pPr>
            <w:r>
              <w:rPr>
                <w:rFonts w:ascii="Calibri" w:hAnsi="Calibri"/>
                <w:b w:val="0"/>
                <w:sz w:val="19"/>
              </w:rPr>
              <w:t>0.000%</w:t>
            </w:r>
          </w:p>
        </w:tc>
        <w:tc>
          <w:tcPr>
            <w:tcW w:type="dxa" w:w="2664"/>
            <w:vAlign w:val="center"/>
          </w:tcPr>
          <w:p>
            <w:pPr>
              <w:keepNext/>
              <w:spacing w:after="0" w:before="0" w:line="240" w:lineRule="auto"/>
              <w:jc w:val="right"/>
            </w:pPr>
            <w:r>
              <w:rPr>
                <w:rFonts w:ascii="Calibri" w:hAnsi="Calibri"/>
                <w:b w:val="0"/>
                <w:sz w:val="19"/>
              </w:rPr>
              <w:t>0.0</w:t>
            </w:r>
          </w:p>
        </w:tc>
      </w:tr>
    </w:tbl>
    <w:p>
      <w:pPr>
        <w:keepLines/>
        <w:spacing w:before="60" w:after="120"/>
      </w:pPr>
      <w:r>
        <w:rPr>
          <w:sz w:val="18"/>
        </w:rPr>
        <w:t>Real document-derived workload with controlled placement, fault or update conditions. Timing is specific to the local prototype.</w:t>
      </w:r>
    </w:p>
    <w:p>
      <w:r>
        <w:t>Uncoordinated shared read–modify–write reaches median throughput approximately 633,000 updates/s but loses an average 1.3545% of updates across five runs. Approximately 174–189 objects per run have incorrect final counts.</w:t>
      </w:r>
    </w:p>
    <w:p>
      <w:r>
        <w:t>A global lock gives zero loss at approximately 411,000 updates/s. Ownership-scoped shard locks also give zero loss and reach approximately 669,000 updates/s. These are measurements on the tested machine and workload. They support resolving consistency locally at ownership boundaries without forcing every update through one global lock.</w:t>
      </w:r>
    </w:p>
    <w:p>
      <w:pPr>
        <w:keepNext/>
        <w:spacing w:after="60"/>
        <w:jc w:val="center"/>
      </w:pPr>
      <w:r>
        <w:drawing>
          <wp:inline xmlns:a="http://schemas.openxmlformats.org/drawingml/2006/main" xmlns:pic="http://schemas.openxmlformats.org/drawingml/2006/picture">
            <wp:extent cx="6309360" cy="4092558"/>
            <wp:docPr id="77" name="Picture 77"/>
            <wp:cNvGraphicFramePr>
              <a:graphicFrameLocks noChangeAspect="1"/>
            </wp:cNvGraphicFramePr>
            <a:graphic>
              <a:graphicData uri="http://schemas.openxmlformats.org/drawingml/2006/picture">
                <pic:pic>
                  <pic:nvPicPr>
                    <pic:cNvPr id="0" name="77_image77.png"/>
                    <pic:cNvPicPr/>
                  </pic:nvPicPr>
                  <pic:blipFill>
                    <a:blip r:embed="rId90"/>
                    <a:stretch>
                      <a:fillRect/>
                    </a:stretch>
                  </pic:blipFill>
                  <pic:spPr>
                    <a:xfrm>
                      <a:off x="0" y="0"/>
                      <a:ext cx="6309360" cy="4092558"/>
                    </a:xfrm>
                    <a:prstGeom prst="rect"/>
                  </pic:spPr>
                </pic:pic>
              </a:graphicData>
            </a:graphic>
          </wp:inline>
        </w:drawing>
      </w:r>
    </w:p>
    <w:p>
      <w:pPr>
        <w:pStyle w:val="Caption"/>
      </w:pPr>
      <w:r>
        <w:t>Figure 77. Throughput under three synchronization policies for 120,000 dependency-derived updates across eight processes. Global and shard-scoped locking both preserve update counts.</w:t>
      </w:r>
    </w:p>
    <w:p>
      <w:pPr>
        <w:keepNext/>
        <w:spacing w:after="60"/>
        <w:jc w:val="center"/>
      </w:pPr>
      <w:r>
        <w:drawing>
          <wp:inline xmlns:a="http://schemas.openxmlformats.org/drawingml/2006/main" xmlns:pic="http://schemas.openxmlformats.org/drawingml/2006/picture">
            <wp:extent cx="6309360" cy="4092558"/>
            <wp:docPr id="78" name="Picture 78"/>
            <wp:cNvGraphicFramePr>
              <a:graphicFrameLocks noChangeAspect="1"/>
            </wp:cNvGraphicFramePr>
            <a:graphic>
              <a:graphicData uri="http://schemas.openxmlformats.org/drawingml/2006/picture">
                <pic:pic>
                  <pic:nvPicPr>
                    <pic:cNvPr id="0" name="78_image78.png"/>
                    <pic:cNvPicPr/>
                  </pic:nvPicPr>
                  <pic:blipFill>
                    <a:blip r:embed="rId91"/>
                    <a:stretch>
                      <a:fillRect/>
                    </a:stretch>
                  </pic:blipFill>
                  <pic:spPr>
                    <a:xfrm>
                      <a:off x="0" y="0"/>
                      <a:ext cx="6309360" cy="4092558"/>
                    </a:xfrm>
                    <a:prstGeom prst="rect"/>
                  </pic:spPr>
                </pic:pic>
              </a:graphicData>
            </a:graphic>
          </wp:inline>
        </w:drawing>
      </w:r>
    </w:p>
    <w:p>
      <w:pPr>
        <w:pStyle w:val="Caption"/>
      </w:pPr>
      <w:r>
        <w:t>Figure 78. Lost updates under concurrent read–modify–write. The repeated stress runs isolate synchronization behaviour on the frozen corpus objects.</w:t>
      </w:r>
    </w:p>
    <w:p>
      <w:pPr>
        <w:pStyle w:val="Heading3"/>
      </w:pPr>
      <w:r>
        <w:t>9.2.4 Discussion of logical identity and physical availability</w:t>
      </w:r>
    </w:p>
    <w:p>
      <w:r>
        <w:t>A failed owner need not erase an object's logical identity. Maintaining primary and backup ownership allows the system to locate the same identified object at an alternative physical location.</w:t>
      </w:r>
    </w:p>
    <w:p>
      <w:r>
        <w:t>Query importance provides a separate replication criterion from storage balance. Shard 6 carries 18.4% of reference hits, and selective hot or boundary replication raises worst recall from 81.6% to approximately 92% in the tested failures.</w:t>
      </w:r>
    </w:p>
    <w:p>
      <w:r>
        <w:t>A delayed response can be temporarily unusable under a task deadline. Completion conditions should therefore specify the required combination of agreement and waiting time. The barrier and seven-response comparison demonstrates this trade-off; deadline-dependent policies are a design implication.</w:t>
      </w:r>
    </w:p>
    <w:p>
      <w:r>
        <w:t>Concurrent writes need an ordering discipline for each state object. Ownership-scoped synchronization preserves that order locally and permits updates to different shards in parallel. The test measures final counts, providing a concrete correctness criterion.</w:t>
      </w:r>
    </w:p>
    <w:p>
      <w:r>
        <w:t>The distributed design combines one identity namespace with physical owners, replicas and local execution. Coordinator metadata records ownership, health, routing, dependencies, versions and completion requirements. These records support continuity of task and state across changes in availability.</w:t>
      </w:r>
    </w:p>
    <w:p>
      <w:pPr>
        <w:pStyle w:val="Heading3"/>
      </w:pPr>
      <w:r>
        <w:t>9.2.5 Coordination rules derived from the tests</w:t>
      </w:r>
    </w:p>
    <w:p>
      <w:pPr>
        <w:pStyle w:val="ListBullet"/>
      </w:pPr>
      <w:r>
        <w:t>Primary ownership: each mutable object has an authoritative writer at a given time. Migration changes owner and version without changing logical identity.</w:t>
      </w:r>
    </w:p>
    <w:p>
      <w:pPr>
        <w:pStyle w:val="ListBullet"/>
      </w:pPr>
      <w:r>
        <w:t>Selective redundancy: allocate replicas with reference to query demand and cross-shard dependencies. Replicating 25% of objects raises worst failure recall from 81.6% to approximately 92% here.</w:t>
      </w:r>
    </w:p>
    <w:p>
      <w:pPr>
        <w:pStyle w:val="ListBullet"/>
      </w:pPr>
      <w:r>
        <w:t>Replica location: include backup owners in coordinator state so fault handling can reroute without searching the entire corpus.</w:t>
      </w:r>
    </w:p>
    <w:p>
      <w:pPr>
        <w:pStyle w:val="ListBullet"/>
      </w:pPr>
      <w:r>
        <w:t>Completion policy: specify agreement, deadline and fallback requirements per task. The measured barrier and quorum strategies provide different operating points.</w:t>
      </w:r>
    </w:p>
    <w:p>
      <w:pPr>
        <w:pStyle w:val="ListBullet"/>
      </w:pPr>
      <w:r>
        <w:t>Local consistency: serialize or version writes at the owner boundary. Shard-scoped locking preserves all 120,000 stress updates and has higher median throughput than the global lock in this prototype.</w:t>
      </w:r>
    </w:p>
    <w:p>
      <w:pPr>
        <w:pStyle w:val="ListBullet"/>
      </w:pPr>
      <w:r>
        <w:t>Commit interface: send identity-bearing and version-bearing deltas to the authoritative owner, which orders accepted writes and returns the resulting version.</w:t>
      </w:r>
    </w:p>
    <w:p>
      <w:pPr>
        <w:pStyle w:val="ListBullet"/>
      </w:pPr>
      <w:r>
        <w:t>Recovery and load allocation: updating the owner map changes load and dependencies, so health and capacity belong in the same coordination state.</w:t>
      </w:r>
    </w:p>
    <w:p>
      <w:pPr>
        <w:pStyle w:val="Heading3"/>
      </w:pPr>
      <w:r>
        <w:t>9.2.6 A task execution loop</w:t>
      </w:r>
    </w:p>
    <w:p>
      <w:r>
        <w:t>The measurements motivate the following execution design. Experiment 028 evaluates its integrated operation.</w:t>
      </w:r>
    </w:p>
    <w:p>
      <w:pPr>
        <w:pStyle w:val="ListBullet"/>
      </w:pPr>
      <w:r>
        <w:t>1. Resolve the task's object identities and dependency frontier.</w:t>
      </w:r>
    </w:p>
    <w:p>
      <w:pPr>
        <w:pStyle w:val="ListBullet"/>
      </w:pPr>
      <w:r>
        <w:t>2. Locate candidate owners using primary and backup mappings, health and compact routing summaries.</w:t>
      </w:r>
    </w:p>
    <w:p>
      <w:pPr>
        <w:pStyle w:val="ListBullet"/>
      </w:pPr>
      <w:r>
        <w:t>3. Select fan-out and completion rules according to agreement and deadline requirements.</w:t>
      </w:r>
    </w:p>
    <w:p>
      <w:pPr>
        <w:pStyle w:val="ListBullet"/>
      </w:pPr>
      <w:r>
        <w:t>4. Execute locally at state owners.</w:t>
      </w:r>
    </w:p>
    <w:p>
      <w:pPr>
        <w:pStyle w:val="ListBullet"/>
      </w:pPr>
      <w:r>
        <w:t>5. Reduce candidates or updates and identify missing results or stale versions.</w:t>
      </w:r>
    </w:p>
    <w:p>
      <w:pPr>
        <w:pStyle w:val="ListBullet"/>
      </w:pPr>
      <w:r>
        <w:t>6. Commit mutable deltas through the authoritative owner and record the new version.</w:t>
      </w:r>
    </w:p>
    <w:p>
      <w:pPr>
        <w:pStyle w:val="ListBullet"/>
      </w:pPr>
      <w:r>
        <w:t>7. Recover or rebalance ownership when availability changes.</w:t>
      </w:r>
    </w:p>
    <w:p>
      <w:r>
        <w:t>The design combines the routing and placement measurements from 026 with replication, waiting-time and concurrent-update results from 027. These components motivate the integrated loop; their complete interaction is tested separately in 028.</w:t>
      </w:r>
    </w:p>
    <w:p>
      <w:pPr>
        <w:pStyle w:val="Heading3"/>
      </w:pPr>
      <w:r>
        <w:t>9.2.7 Evidence scope</w:t>
      </w:r>
    </w:p>
    <w:p>
      <w:r>
        <w:t>The study includes removal of each of eight shards; none, hot25, boundary25 and one-backup replication; routed-top4 fault retrieval; a 350 ms delay on the most important shard; barrier and seven-response completion; and five timing runs of eight-process, 120,000-update workloads under three synchronization policies.</w:t>
      </w:r>
    </w:p>
    <w:p>
      <w:pPr>
        <w:pStyle w:val="Heading2"/>
      </w:pPr>
      <w:r>
        <w:t>9.3 DISTRIBUTED-ONTOLOGY-PLAN-CONTINUATION-028 Task continuity across faults and version changes</w:t>
      </w:r>
    </w:p>
    <w:p>
      <w:r>
        <w:t>Experiments 026 and 027 test placement, routing, faults, delays and writes separately. This study combines them in a persistent coordinator executing 240 query-derived task DAGs. A critical shard is lost, restored and delayed, and external updates advance object versions. Outcomes include task acceptance, retrieval agreement and final-state consistency.</w:t>
      </w:r>
    </w:p>
    <w:p>
      <w:r>
        <w:t>The frozen workload retains the 372 objects, 500 query vectors, eight balanced semantic shards and dependencies from 026/027. The first 240 queries define 240 task graphs. Eight persistent worker processes perform actual sparse retrieval and owner-scoped state operations. Faults, the 350 ms delay and external version changes are controlled interventions.</w:t>
      </w:r>
    </w:p>
    <w:p>
      <w:pPr>
        <w:pStyle w:val="Heading3"/>
      </w:pPr>
      <w:r>
        <w:t>9.3.1 Continuous task sequence and coordinator conditions</w:t>
      </w:r>
    </w:p>
    <w:p>
      <w:r>
        <w:t>The sequence contains 40 healthy tasks, 40 under critical-shard loss, 20 during recovery, 40 with a straggler, 40 in a second healthy phase, 40 with version conflicts and 20 in a final stable phase. Each task proceeds through routing, local retrieval, reduction, dependency expansion, owner read and commit.</w:t>
      </w:r>
    </w:p>
    <w:p>
      <w:pPr>
        <w:pStyle w:val="Caption"/>
        <w:keepNext/>
      </w:pPr>
      <w:r>
        <w:t>Table 93. Persistent coordinator conditions.</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160"/>
        <w:gridCol w:w="1440"/>
        <w:gridCol w:w="1800"/>
        <w:gridCol w:w="1944"/>
        <w:gridCol w:w="2880"/>
      </w:tblGrid>
      <w:tr>
        <w:trPr>
          <w:cantSplit/>
          <w:tblHeader/>
        </w:trPr>
        <w:tc>
          <w:tcPr>
            <w:tcW w:type="dxa" w:w="2160"/>
            <w:vAlign w:val="center"/>
            <w:shd w:fill="F2F2F2"/>
          </w:tcPr>
          <w:p>
            <w:pPr>
              <w:keepNext/>
              <w:spacing w:after="0" w:before="0" w:line="240" w:lineRule="auto"/>
            </w:pPr>
            <w:r>
              <w:rPr>
                <w:rFonts w:ascii="Calibri" w:hAnsi="Calibri"/>
                <w:b/>
                <w:sz w:val="19"/>
              </w:rPr>
              <w:t>Condition</w:t>
            </w:r>
          </w:p>
        </w:tc>
        <w:tc>
          <w:tcPr>
            <w:tcW w:type="dxa" w:w="1440"/>
            <w:vAlign w:val="center"/>
            <w:shd w:fill="F2F2F2"/>
          </w:tcPr>
          <w:p>
            <w:pPr>
              <w:keepNext/>
              <w:spacing w:after="0" w:before="0" w:line="240" w:lineRule="auto"/>
            </w:pPr>
            <w:r>
              <w:rPr>
                <w:rFonts w:ascii="Calibri" w:hAnsi="Calibri"/>
                <w:b/>
                <w:sz w:val="19"/>
              </w:rPr>
              <w:t>Adaptive route</w:t>
            </w:r>
          </w:p>
        </w:tc>
        <w:tc>
          <w:tcPr>
            <w:tcW w:type="dxa" w:w="1800"/>
            <w:vAlign w:val="center"/>
            <w:shd w:fill="F2F2F2"/>
          </w:tcPr>
          <w:p>
            <w:pPr>
              <w:keepNext/>
              <w:spacing w:after="0" w:before="0" w:line="240" w:lineRule="auto"/>
            </w:pPr>
            <w:r>
              <w:rPr>
                <w:rFonts w:ascii="Calibri" w:hAnsi="Calibri"/>
                <w:b/>
                <w:sz w:val="19"/>
              </w:rPr>
              <w:t>Replica budget</w:t>
            </w:r>
          </w:p>
        </w:tc>
        <w:tc>
          <w:tcPr>
            <w:tcW w:type="dxa" w:w="1944"/>
            <w:vAlign w:val="center"/>
            <w:shd w:fill="F2F2F2"/>
          </w:tcPr>
          <w:p>
            <w:pPr>
              <w:keepNext/>
              <w:spacing w:after="0" w:before="0" w:line="240" w:lineRule="auto"/>
            </w:pPr>
            <w:r>
              <w:rPr>
                <w:rFonts w:ascii="Calibri" w:hAnsi="Calibri"/>
                <w:b/>
                <w:sz w:val="19"/>
              </w:rPr>
              <w:t>Commit discipline</w:t>
            </w:r>
          </w:p>
        </w:tc>
        <w:tc>
          <w:tcPr>
            <w:tcW w:type="dxa" w:w="2880"/>
            <w:vAlign w:val="center"/>
            <w:shd w:fill="F2F2F2"/>
          </w:tcPr>
          <w:p>
            <w:pPr>
              <w:keepNext/>
              <w:spacing w:after="0" w:before="0" w:line="240" w:lineRule="auto"/>
            </w:pPr>
            <w:r>
              <w:rPr>
                <w:rFonts w:ascii="Calibri" w:hAnsi="Calibri"/>
                <w:b/>
                <w:sz w:val="19"/>
              </w:rPr>
              <w:t>Failure handling</w:t>
            </w:r>
          </w:p>
        </w:tc>
      </w:tr>
      <w:tr>
        <w:trPr>
          <w:cantSplit/>
        </w:trPr>
        <w:tc>
          <w:tcPr>
            <w:tcW w:type="dxa" w:w="2160"/>
            <w:vAlign w:val="center"/>
          </w:tcPr>
          <w:p>
            <w:pPr>
              <w:keepNext w:val="0"/>
              <w:spacing w:after="0" w:before="0" w:line="240" w:lineRule="auto"/>
            </w:pPr>
            <w:r>
              <w:rPr>
                <w:rFonts w:ascii="Calibri" w:hAnsi="Calibri"/>
                <w:b w:val="0"/>
                <w:sz w:val="19"/>
              </w:rPr>
              <w:t>Static barrier / none</w:t>
            </w:r>
          </w:p>
        </w:tc>
        <w:tc>
          <w:tcPr>
            <w:tcW w:type="dxa" w:w="1440"/>
            <w:vAlign w:val="center"/>
          </w:tcPr>
          <w:p>
            <w:pPr>
              <w:keepNext w:val="0"/>
              <w:spacing w:after="0" w:before="0" w:line="240" w:lineRule="auto"/>
            </w:pPr>
            <w:r>
              <w:rPr>
                <w:rFonts w:ascii="Calibri" w:hAnsi="Calibri"/>
                <w:b w:val="0"/>
                <w:sz w:val="19"/>
              </w:rPr>
              <w:t>No</w:t>
            </w:r>
          </w:p>
        </w:tc>
        <w:tc>
          <w:tcPr>
            <w:tcW w:type="dxa" w:w="1800"/>
            <w:vAlign w:val="center"/>
          </w:tcPr>
          <w:p>
            <w:pPr>
              <w:keepNext w:val="0"/>
              <w:spacing w:after="0" w:before="0" w:line="240" w:lineRule="auto"/>
            </w:pPr>
            <w:r>
              <w:rPr>
                <w:rFonts w:ascii="Calibri" w:hAnsi="Calibri"/>
                <w:b w:val="0"/>
                <w:sz w:val="19"/>
              </w:rPr>
              <w:t>None</w:t>
            </w:r>
          </w:p>
        </w:tc>
        <w:tc>
          <w:tcPr>
            <w:tcW w:type="dxa" w:w="1944"/>
            <w:vAlign w:val="center"/>
          </w:tcPr>
          <w:p>
            <w:pPr>
              <w:keepNext w:val="0"/>
              <w:spacing w:after="0" w:before="0" w:line="240" w:lineRule="auto"/>
            </w:pPr>
            <w:r>
              <w:rPr>
                <w:rFonts w:ascii="Calibri" w:hAnsi="Calibri"/>
                <w:b w:val="0"/>
                <w:sz w:val="19"/>
              </w:rPr>
              <w:t>Unsafe set</w:t>
            </w:r>
          </w:p>
        </w:tc>
        <w:tc>
          <w:tcPr>
            <w:tcW w:type="dxa" w:w="2880"/>
            <w:vAlign w:val="center"/>
          </w:tcPr>
          <w:p>
            <w:pPr>
              <w:keepNext w:val="0"/>
              <w:spacing w:after="0" w:before="0" w:line="240" w:lineRule="auto"/>
            </w:pPr>
            <w:r>
              <w:rPr>
                <w:rFonts w:ascii="Calibri" w:hAnsi="Calibri"/>
                <w:b w:val="0"/>
                <w:sz w:val="19"/>
              </w:rPr>
              <w:t>Wait/fail</w:t>
            </w:r>
          </w:p>
        </w:tc>
      </w:tr>
      <w:tr>
        <w:trPr>
          <w:cantSplit/>
        </w:trPr>
        <w:tc>
          <w:tcPr>
            <w:tcW w:type="dxa" w:w="2160"/>
            <w:vAlign w:val="center"/>
          </w:tcPr>
          <w:p>
            <w:pPr>
              <w:keepNext w:val="0"/>
              <w:spacing w:after="0" w:before="0" w:line="240" w:lineRule="auto"/>
            </w:pPr>
            <w:r>
              <w:rPr>
                <w:rFonts w:ascii="Calibri" w:hAnsi="Calibri"/>
                <w:b w:val="0"/>
                <w:sz w:val="19"/>
              </w:rPr>
              <w:t>Adaptive hot25 / unsafe</w:t>
            </w:r>
          </w:p>
        </w:tc>
        <w:tc>
          <w:tcPr>
            <w:tcW w:type="dxa" w:w="1440"/>
            <w:vAlign w:val="center"/>
          </w:tcPr>
          <w:p>
            <w:pPr>
              <w:keepNext w:val="0"/>
              <w:spacing w:after="0" w:before="0" w:line="240" w:lineRule="auto"/>
            </w:pPr>
            <w:r>
              <w:rPr>
                <w:rFonts w:ascii="Calibri" w:hAnsi="Calibri"/>
                <w:b w:val="0"/>
                <w:sz w:val="19"/>
              </w:rPr>
              <w:t>Yes</w:t>
            </w:r>
          </w:p>
        </w:tc>
        <w:tc>
          <w:tcPr>
            <w:tcW w:type="dxa" w:w="1800"/>
            <w:vAlign w:val="center"/>
          </w:tcPr>
          <w:p>
            <w:pPr>
              <w:keepNext w:val="0"/>
              <w:spacing w:after="0" w:before="0" w:line="240" w:lineRule="auto"/>
            </w:pPr>
            <w:r>
              <w:rPr>
                <w:rFonts w:ascii="Calibri" w:hAnsi="Calibri"/>
                <w:b w:val="0"/>
                <w:sz w:val="19"/>
              </w:rPr>
              <w:t>Hot 25%</w:t>
            </w:r>
          </w:p>
        </w:tc>
        <w:tc>
          <w:tcPr>
            <w:tcW w:type="dxa" w:w="1944"/>
            <w:vAlign w:val="center"/>
          </w:tcPr>
          <w:p>
            <w:pPr>
              <w:keepNext w:val="0"/>
              <w:spacing w:after="0" w:before="0" w:line="240" w:lineRule="auto"/>
            </w:pPr>
            <w:r>
              <w:rPr>
                <w:rFonts w:ascii="Calibri" w:hAnsi="Calibri"/>
                <w:b w:val="0"/>
                <w:sz w:val="19"/>
              </w:rPr>
              <w:t>Unsafe set</w:t>
            </w:r>
          </w:p>
        </w:tc>
        <w:tc>
          <w:tcPr>
            <w:tcW w:type="dxa" w:w="2880"/>
            <w:vAlign w:val="center"/>
          </w:tcPr>
          <w:p>
            <w:pPr>
              <w:keepNext w:val="0"/>
              <w:spacing w:after="0" w:before="0" w:line="240" w:lineRule="auto"/>
            </w:pPr>
            <w:r>
              <w:rPr>
                <w:rFonts w:ascii="Calibri" w:hAnsi="Calibri"/>
                <w:b w:val="0"/>
                <w:sz w:val="19"/>
              </w:rPr>
              <w:t>Health-aware + deferred log</w:t>
            </w:r>
          </w:p>
        </w:tc>
      </w:tr>
      <w:tr>
        <w:trPr>
          <w:cantSplit/>
        </w:trPr>
        <w:tc>
          <w:tcPr>
            <w:tcW w:type="dxa" w:w="2160"/>
            <w:vAlign w:val="center"/>
          </w:tcPr>
          <w:p>
            <w:pPr>
              <w:keepNext w:val="0"/>
              <w:spacing w:after="0" w:before="0" w:line="240" w:lineRule="auto"/>
            </w:pPr>
            <w:r>
              <w:rPr>
                <w:rFonts w:ascii="Calibri" w:hAnsi="Calibri"/>
                <w:b w:val="0"/>
                <w:sz w:val="19"/>
              </w:rPr>
              <w:t>Adaptive hot25 / versioned</w:t>
            </w:r>
          </w:p>
        </w:tc>
        <w:tc>
          <w:tcPr>
            <w:tcW w:type="dxa" w:w="1440"/>
            <w:vAlign w:val="center"/>
          </w:tcPr>
          <w:p>
            <w:pPr>
              <w:keepNext w:val="0"/>
              <w:spacing w:after="0" w:before="0" w:line="240" w:lineRule="auto"/>
            </w:pPr>
            <w:r>
              <w:rPr>
                <w:rFonts w:ascii="Calibri" w:hAnsi="Calibri"/>
                <w:b w:val="0"/>
                <w:sz w:val="19"/>
              </w:rPr>
              <w:t>Yes</w:t>
            </w:r>
          </w:p>
        </w:tc>
        <w:tc>
          <w:tcPr>
            <w:tcW w:type="dxa" w:w="1800"/>
            <w:vAlign w:val="center"/>
          </w:tcPr>
          <w:p>
            <w:pPr>
              <w:keepNext w:val="0"/>
              <w:spacing w:after="0" w:before="0" w:line="240" w:lineRule="auto"/>
            </w:pPr>
            <w:r>
              <w:rPr>
                <w:rFonts w:ascii="Calibri" w:hAnsi="Calibri"/>
                <w:b w:val="0"/>
                <w:sz w:val="19"/>
              </w:rPr>
              <w:t>Hot 25%</w:t>
            </w:r>
          </w:p>
        </w:tc>
        <w:tc>
          <w:tcPr>
            <w:tcW w:type="dxa" w:w="1944"/>
            <w:vAlign w:val="center"/>
          </w:tcPr>
          <w:p>
            <w:pPr>
              <w:keepNext w:val="0"/>
              <w:spacing w:after="0" w:before="0" w:line="240" w:lineRule="auto"/>
            </w:pPr>
            <w:r>
              <w:rPr>
                <w:rFonts w:ascii="Calibri" w:hAnsi="Calibri"/>
                <w:b w:val="0"/>
                <w:sz w:val="19"/>
              </w:rPr>
              <w:t>CAS + retry</w:t>
            </w:r>
          </w:p>
        </w:tc>
        <w:tc>
          <w:tcPr>
            <w:tcW w:type="dxa" w:w="2880"/>
            <w:vAlign w:val="center"/>
          </w:tcPr>
          <w:p>
            <w:pPr>
              <w:keepNext w:val="0"/>
              <w:spacing w:after="0" w:before="0" w:line="240" w:lineRule="auto"/>
            </w:pPr>
            <w:r>
              <w:rPr>
                <w:rFonts w:ascii="Calibri" w:hAnsi="Calibri"/>
                <w:b w:val="0"/>
                <w:sz w:val="19"/>
              </w:rPr>
              <w:t>Health-aware + deferred log</w:t>
            </w:r>
          </w:p>
        </w:tc>
      </w:tr>
      <w:tr>
        <w:trPr>
          <w:cantSplit/>
        </w:trPr>
        <w:tc>
          <w:tcPr>
            <w:tcW w:type="dxa" w:w="2160"/>
            <w:vAlign w:val="center"/>
          </w:tcPr>
          <w:p>
            <w:pPr>
              <w:keepNext w:val="0"/>
              <w:spacing w:after="0" w:before="0" w:line="240" w:lineRule="auto"/>
            </w:pPr>
            <w:r>
              <w:rPr>
                <w:rFonts w:ascii="Calibri" w:hAnsi="Calibri"/>
                <w:b w:val="0"/>
                <w:sz w:val="19"/>
              </w:rPr>
              <w:t>Adaptive full1 / versioned</w:t>
            </w:r>
          </w:p>
        </w:tc>
        <w:tc>
          <w:tcPr>
            <w:tcW w:type="dxa" w:w="1440"/>
            <w:vAlign w:val="center"/>
          </w:tcPr>
          <w:p>
            <w:pPr>
              <w:keepNext w:val="0"/>
              <w:spacing w:after="0" w:before="0" w:line="240" w:lineRule="auto"/>
            </w:pPr>
            <w:r>
              <w:rPr>
                <w:rFonts w:ascii="Calibri" w:hAnsi="Calibri"/>
                <w:b w:val="0"/>
                <w:sz w:val="19"/>
              </w:rPr>
              <w:t>Yes</w:t>
            </w:r>
          </w:p>
        </w:tc>
        <w:tc>
          <w:tcPr>
            <w:tcW w:type="dxa" w:w="1800"/>
            <w:vAlign w:val="center"/>
          </w:tcPr>
          <w:p>
            <w:pPr>
              <w:keepNext w:val="0"/>
              <w:spacing w:after="0" w:before="0" w:line="240" w:lineRule="auto"/>
            </w:pPr>
            <w:r>
              <w:rPr>
                <w:rFonts w:ascii="Calibri" w:hAnsi="Calibri"/>
                <w:b w:val="0"/>
                <w:sz w:val="19"/>
              </w:rPr>
              <w:t>One backup/object</w:t>
            </w:r>
          </w:p>
        </w:tc>
        <w:tc>
          <w:tcPr>
            <w:tcW w:type="dxa" w:w="1944"/>
            <w:vAlign w:val="center"/>
          </w:tcPr>
          <w:p>
            <w:pPr>
              <w:keepNext w:val="0"/>
              <w:spacing w:after="0" w:before="0" w:line="240" w:lineRule="auto"/>
            </w:pPr>
            <w:r>
              <w:rPr>
                <w:rFonts w:ascii="Calibri" w:hAnsi="Calibri"/>
                <w:b w:val="0"/>
                <w:sz w:val="19"/>
              </w:rPr>
              <w:t>CAS + retry</w:t>
            </w:r>
          </w:p>
        </w:tc>
        <w:tc>
          <w:tcPr>
            <w:tcW w:type="dxa" w:w="2880"/>
            <w:vAlign w:val="center"/>
          </w:tcPr>
          <w:p>
            <w:pPr>
              <w:keepNext w:val="0"/>
              <w:spacing w:after="0" w:before="0" w:line="240" w:lineRule="auto"/>
            </w:pPr>
            <w:r>
              <w:rPr>
                <w:rFonts w:ascii="Calibri" w:hAnsi="Calibri"/>
                <w:b w:val="0"/>
                <w:sz w:val="19"/>
              </w:rPr>
              <w:t>Health-aware + deferred log</w:t>
            </w:r>
          </w:p>
        </w:tc>
      </w:tr>
    </w:tbl>
    <w:p>
      <w:pPr>
        <w:keepNext/>
        <w:spacing w:after="60"/>
        <w:jc w:val="center"/>
      </w:pPr>
      <w:r>
        <w:drawing>
          <wp:inline xmlns:a="http://schemas.openxmlformats.org/drawingml/2006/main" xmlns:pic="http://schemas.openxmlformats.org/drawingml/2006/picture">
            <wp:extent cx="6309360" cy="3364992"/>
            <wp:docPr id="79" name="Picture 79"/>
            <wp:cNvGraphicFramePr>
              <a:graphicFrameLocks noChangeAspect="1"/>
            </wp:cNvGraphicFramePr>
            <a:graphic>
              <a:graphicData uri="http://schemas.openxmlformats.org/drawingml/2006/picture">
                <pic:pic>
                  <pic:nvPicPr>
                    <pic:cNvPr id="0" name="79_image79.png"/>
                    <pic:cNvPicPr/>
                  </pic:nvPicPr>
                  <pic:blipFill>
                    <a:blip r:embed="rId92"/>
                    <a:stretch>
                      <a:fillRect/>
                    </a:stretch>
                  </pic:blipFill>
                  <pic:spPr>
                    <a:xfrm>
                      <a:off x="0" y="0"/>
                      <a:ext cx="6309360" cy="3364992"/>
                    </a:xfrm>
                    <a:prstGeom prst="rect"/>
                  </pic:spPr>
                </pic:pic>
              </a:graphicData>
            </a:graphic>
          </wp:inline>
        </w:drawing>
      </w:r>
    </w:p>
    <w:p>
      <w:pPr>
        <w:pStyle w:val="Caption"/>
      </w:pPr>
      <w:r>
        <w:t>Figure 79. Task acceptance across seven operating phases in the 240-task workload. Critical-shard loss interrupts the static barrier condition.</w:t>
      </w:r>
    </w:p>
    <w:p>
      <w:pPr>
        <w:pStyle w:val="Heading3"/>
      </w:pPr>
      <w:r>
        <w:t>9.3.2 Task acceptance and retrieval completeness</w:t>
      </w:r>
    </w:p>
    <w:p>
      <w:r>
        <w:t>Static barrier acceptance is 88.75% over all 240 tasks. During the 40-task critical-shard-loss phase, only 32.5% are accepted and phase recall@5 is 0.320. Adaptive hot25 and adaptive full1 maintain 100% acceptance.</w:t>
      </w:r>
    </w:p>
    <w:p>
      <w:r>
        <w:t>During shard loss, hot25 recall@5 is 0.910 and full1 recall is 1.000. Over the full workload, mean recall is 0.905 and 0.9917, respectively. Acceptance and retrieval completeness therefore measure different aspects of continuity.</w:t>
      </w:r>
    </w:p>
    <w:p>
      <w:pPr>
        <w:keepNext/>
        <w:spacing w:after="60"/>
        <w:jc w:val="center"/>
      </w:pPr>
      <w:r>
        <w:drawing>
          <wp:inline xmlns:a="http://schemas.openxmlformats.org/drawingml/2006/main" xmlns:pic="http://schemas.openxmlformats.org/drawingml/2006/picture">
            <wp:extent cx="6309360" cy="3364992"/>
            <wp:docPr id="80" name="Picture 80"/>
            <wp:cNvGraphicFramePr>
              <a:graphicFrameLocks noChangeAspect="1"/>
            </wp:cNvGraphicFramePr>
            <a:graphic>
              <a:graphicData uri="http://schemas.openxmlformats.org/drawingml/2006/picture">
                <pic:pic>
                  <pic:nvPicPr>
                    <pic:cNvPr id="0" name="80_image80.png"/>
                    <pic:cNvPicPr/>
                  </pic:nvPicPr>
                  <pic:blipFill>
                    <a:blip r:embed="rId93"/>
                    <a:stretch>
                      <a:fillRect/>
                    </a:stretch>
                  </pic:blipFill>
                  <pic:spPr>
                    <a:xfrm>
                      <a:off x="0" y="0"/>
                      <a:ext cx="6309360" cy="3364992"/>
                    </a:xfrm>
                    <a:prstGeom prst="rect"/>
                  </pic:spPr>
                </pic:pic>
              </a:graphicData>
            </a:graphic>
          </wp:inline>
        </w:drawing>
      </w:r>
    </w:p>
    <w:p>
      <w:pPr>
        <w:pStyle w:val="Caption"/>
      </w:pPr>
      <w:r>
        <w:t>Figure 80. Mean recall@5 against centralized retrieval in each operating phase. The same document-derived workload is used across coordinator conditions.</w:t>
      </w:r>
    </w:p>
    <w:p>
      <w:pPr>
        <w:pStyle w:val="Heading3"/>
      </w:pPr>
      <w:r>
        <w:t>9.3.3 Remembering delayed owners</w:t>
      </w:r>
    </w:p>
    <w:p>
      <w:r>
        <w:t>The static barrier waits for the shard with the injected 350 ms delay and has phase median latency 354.0 ms. Adaptive coordinators retain the first timeout in their health state and route subsequent tasks around the owner. Phase medians are 5.10 ms for hot25/versioned and 4.73 ms for full1/versioned, approximately 69.5 and 74.8 times shorter than static latency.</w:t>
      </w:r>
    </w:p>
    <w:p>
      <w:r>
        <w:t>Bypassing the delayed owner reduces retrieval completeness when replicas omit relevant objects. Straggler-phase recall is 0.715 for hot25 and 0.960 for full1. Availability, latency and agreement are separate evaluation quantities.</w:t>
      </w:r>
    </w:p>
    <w:p>
      <w:pPr>
        <w:keepNext/>
        <w:spacing w:after="60"/>
        <w:jc w:val="center"/>
      </w:pPr>
      <w:r>
        <w:drawing>
          <wp:inline xmlns:a="http://schemas.openxmlformats.org/drawingml/2006/main" xmlns:pic="http://schemas.openxmlformats.org/drawingml/2006/picture">
            <wp:extent cx="6309360" cy="3364992"/>
            <wp:docPr id="81" name="Picture 81"/>
            <wp:cNvGraphicFramePr>
              <a:graphicFrameLocks noChangeAspect="1"/>
            </wp:cNvGraphicFramePr>
            <a:graphic>
              <a:graphicData uri="http://schemas.openxmlformats.org/drawingml/2006/picture">
                <pic:pic>
                  <pic:nvPicPr>
                    <pic:cNvPr id="0" name="81_image81.png"/>
                    <pic:cNvPicPr/>
                  </pic:nvPicPr>
                  <pic:blipFill>
                    <a:blip r:embed="rId94"/>
                    <a:stretch>
                      <a:fillRect/>
                    </a:stretch>
                  </pic:blipFill>
                  <pic:spPr>
                    <a:xfrm>
                      <a:off x="0" y="0"/>
                      <a:ext cx="6309360" cy="3364992"/>
                    </a:xfrm>
                    <a:prstGeom prst="rect"/>
                  </pic:spPr>
                </pic:pic>
              </a:graphicData>
            </a:graphic>
          </wp:inline>
        </w:drawing>
      </w:r>
    </w:p>
    <w:p>
      <w:pPr>
        <w:pStyle w:val="Caption"/>
      </w:pPr>
      <w:r>
        <w:t>Figure 81. Phase median latency in the persistent coordinator prototype, shown on a logarithmic axis. Health memory changes later routing after the first delayed response.</w:t>
      </w:r>
    </w:p>
    <w:p>
      <w:pPr>
        <w:pStyle w:val="Heading3"/>
      </w:pPr>
      <w:r>
        <w:t>9.3.4 Deferred writes during owner loss</w:t>
      </w:r>
    </w:p>
    <w:p>
      <w:r>
        <w:t>During shard loss, adaptive hot25 records 21 owner write intents and full1 records 26. The coordinator retains these in a deferred log and replays them when the owner returns. The corresponding replay counts are 21 and 26, and both final pending queues are empty.</w:t>
      </w:r>
    </w:p>
    <w:p>
      <w:r>
        <w:t>Task acceptance can therefore precede physical completion of all writes. The experiment preserves the outstanding intents and closes them after owner recovery. The measured recovery concerns this tested owner-loss cycle; survival of the log across a coordinator crash is a separate property.</w:t>
      </w:r>
    </w:p>
    <w:p>
      <w:pPr>
        <w:keepNext/>
        <w:spacing w:after="60"/>
        <w:jc w:val="center"/>
      </w:pPr>
      <w:r>
        <w:drawing>
          <wp:inline xmlns:a="http://schemas.openxmlformats.org/drawingml/2006/main" xmlns:pic="http://schemas.openxmlformats.org/drawingml/2006/picture">
            <wp:extent cx="6309360" cy="3154680"/>
            <wp:docPr id="82" name="Picture 82"/>
            <wp:cNvGraphicFramePr>
              <a:graphicFrameLocks noChangeAspect="1"/>
            </wp:cNvGraphicFramePr>
            <a:graphic>
              <a:graphicData uri="http://schemas.openxmlformats.org/drawingml/2006/picture">
                <pic:pic>
                  <pic:nvPicPr>
                    <pic:cNvPr id="0" name="82_image82.png"/>
                    <pic:cNvPicPr/>
                  </pic:nvPicPr>
                  <pic:blipFill>
                    <a:blip r:embed="rId95"/>
                    <a:stretch>
                      <a:fillRect/>
                    </a:stretch>
                  </pic:blipFill>
                  <pic:spPr>
                    <a:xfrm>
                      <a:off x="0" y="0"/>
                      <a:ext cx="6309360" cy="3154680"/>
                    </a:xfrm>
                    <a:prstGeom prst="rect"/>
                  </pic:spPr>
                </pic:pic>
              </a:graphicData>
            </a:graphic>
          </wp:inline>
        </w:drawing>
      </w:r>
    </w:p>
    <w:p>
      <w:pPr>
        <w:pStyle w:val="Caption"/>
      </w:pPr>
      <w:r>
        <w:t>Figure 82. Deferred-write queues during owner loss and recovery. Logged writes are replayed when the owner returns, leaving no pending writes at the end of the tested sequence.</w:t>
      </w:r>
    </w:p>
    <w:p>
      <w:pPr>
        <w:pStyle w:val="Heading3"/>
      </w:pPr>
      <w:r>
        <w:t>9.3.5 Matched comparison of commit discipline</w:t>
      </w:r>
    </w:p>
    <w:p>
      <w:r>
        <w:t>Adaptive hot25/unsafe and hot25/versioned use identical placement, routing, fault sequences and query workload, and have identical retrieval metrics. During 40 version-conflict tasks, 38 external updates collide with task writes. Unsafe commits leave 38 incorrect increments and an internal state error of 1.595%.</w:t>
      </w:r>
    </w:p>
    <w:p>
      <w:r>
        <w:t>Versioned commits encounter the same 38 collisions and perform 38 compare-and-set retries. Final internal-state L1 error is zero. The matched control attributes this consistency difference to checking the expected version and recomputing the update.</w:t>
      </w:r>
    </w:p>
    <w:p>
      <w:pPr>
        <w:keepNext/>
        <w:spacing w:after="60"/>
        <w:jc w:val="center"/>
      </w:pPr>
      <w:r>
        <w:drawing>
          <wp:inline xmlns:a="http://schemas.openxmlformats.org/drawingml/2006/main" xmlns:pic="http://schemas.openxmlformats.org/drawingml/2006/picture">
            <wp:extent cx="6309360" cy="4588625"/>
            <wp:docPr id="83" name="Picture 83"/>
            <wp:cNvGraphicFramePr>
              <a:graphicFrameLocks noChangeAspect="1"/>
            </wp:cNvGraphicFramePr>
            <a:graphic>
              <a:graphicData uri="http://schemas.openxmlformats.org/drawingml/2006/picture">
                <pic:pic>
                  <pic:nvPicPr>
                    <pic:cNvPr id="0" name="83_image83.png"/>
                    <pic:cNvPicPr/>
                  </pic:nvPicPr>
                  <pic:blipFill>
                    <a:blip r:embed="rId96"/>
                    <a:stretch>
                      <a:fillRect/>
                    </a:stretch>
                  </pic:blipFill>
                  <pic:spPr>
                    <a:xfrm>
                      <a:off x="0" y="0"/>
                      <a:ext cx="6309360" cy="4588625"/>
                    </a:xfrm>
                    <a:prstGeom prst="rect"/>
                  </pic:spPr>
                </pic:pic>
              </a:graphicData>
            </a:graphic>
          </wp:inline>
        </w:drawing>
      </w:r>
    </w:p>
    <w:p>
      <w:pPr>
        <w:pStyle w:val="Caption"/>
      </w:pPr>
      <w:r>
        <w:t>Figure 83. Matched hot25 commit comparison. Expected-version checks convert 38 stale-write collisions into 38 retries and eliminate the measured internal increment error.</w:t>
      </w:r>
    </w:p>
    <w:p>
      <w:pPr>
        <w:pStyle w:val="Heading3"/>
      </w:pPr>
      <w:r>
        <w:t>9.3.6 Final-state agreement</w:t>
      </w:r>
    </w:p>
    <w:p>
      <w:pPr>
        <w:pStyle w:val="Caption"/>
        <w:keepNext/>
      </w:pPr>
      <w:r>
        <w:t>Table 94. Acceptance retrieval and final-state agreement.</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1642"/>
        <w:gridCol w:w="1642"/>
        <w:gridCol w:w="1642"/>
        <w:gridCol w:w="1642"/>
        <w:gridCol w:w="1642"/>
      </w:tblGrid>
      <w:tr>
        <w:trPr>
          <w:cantSplit/>
          <w:tblHeader/>
        </w:trPr>
        <w:tc>
          <w:tcPr>
            <w:tcW w:type="dxa" w:w="2016"/>
            <w:vAlign w:val="center"/>
            <w:shd w:fill="F2F2F2"/>
          </w:tcPr>
          <w:p>
            <w:pPr>
              <w:keepNext/>
              <w:spacing w:after="0" w:before="0" w:line="240" w:lineRule="auto"/>
            </w:pPr>
            <w:r>
              <w:rPr>
                <w:rFonts w:ascii="Calibri" w:hAnsi="Calibri"/>
                <w:b/>
                <w:sz w:val="19"/>
              </w:rPr>
              <w:t>Condition</w:t>
            </w:r>
          </w:p>
        </w:tc>
        <w:tc>
          <w:tcPr>
            <w:tcW w:type="dxa" w:w="1642"/>
            <w:vAlign w:val="center"/>
            <w:shd w:fill="F2F2F2"/>
          </w:tcPr>
          <w:p>
            <w:pPr>
              <w:keepNext/>
              <w:spacing w:after="0" w:before="0" w:line="240" w:lineRule="auto"/>
            </w:pPr>
            <w:r>
              <w:rPr>
                <w:rFonts w:ascii="Calibri" w:hAnsi="Calibri"/>
                <w:b/>
                <w:sz w:val="19"/>
              </w:rPr>
              <w:t>Accepted</w:t>
            </w:r>
          </w:p>
        </w:tc>
        <w:tc>
          <w:tcPr>
            <w:tcW w:type="dxa" w:w="1642"/>
            <w:vAlign w:val="center"/>
            <w:shd w:fill="F2F2F2"/>
          </w:tcPr>
          <w:p>
            <w:pPr>
              <w:keepNext/>
              <w:spacing w:after="0" w:before="0" w:line="240" w:lineRule="auto"/>
            </w:pPr>
            <w:r>
              <w:rPr>
                <w:rFonts w:ascii="Calibri" w:hAnsi="Calibri"/>
                <w:b/>
                <w:sz w:val="19"/>
              </w:rPr>
              <w:t>Mean recall@5</w:t>
            </w:r>
          </w:p>
        </w:tc>
        <w:tc>
          <w:tcPr>
            <w:tcW w:type="dxa" w:w="1642"/>
            <w:vAlign w:val="center"/>
            <w:shd w:fill="F2F2F2"/>
          </w:tcPr>
          <w:p>
            <w:pPr>
              <w:keepNext/>
              <w:spacing w:after="0" w:before="0" w:line="240" w:lineRule="auto"/>
            </w:pPr>
            <w:r>
              <w:rPr>
                <w:rFonts w:ascii="Calibri" w:hAnsi="Calibri"/>
                <w:b/>
                <w:sz w:val="19"/>
              </w:rPr>
              <w:t>Internal state error</w:t>
            </w:r>
          </w:p>
        </w:tc>
        <w:tc>
          <w:tcPr>
            <w:tcW w:type="dxa" w:w="1642"/>
            <w:vAlign w:val="center"/>
            <w:shd w:fill="F2F2F2"/>
          </w:tcPr>
          <w:p>
            <w:pPr>
              <w:keepNext/>
              <w:spacing w:after="0" w:before="0" w:line="240" w:lineRule="auto"/>
            </w:pPr>
            <w:r>
              <w:rPr>
                <w:rFonts w:ascii="Calibri" w:hAnsi="Calibri"/>
                <w:b/>
                <w:sz w:val="19"/>
              </w:rPr>
              <w:t>Final L1 error vs reference</w:t>
            </w:r>
          </w:p>
        </w:tc>
        <w:tc>
          <w:tcPr>
            <w:tcW w:type="dxa" w:w="1642"/>
            <w:vAlign w:val="center"/>
            <w:shd w:fill="F2F2F2"/>
          </w:tcPr>
          <w:p>
            <w:pPr>
              <w:keepNext/>
              <w:spacing w:after="0" w:before="0" w:line="240" w:lineRule="auto"/>
            </w:pPr>
            <w:r>
              <w:rPr>
                <w:rFonts w:ascii="Calibri" w:hAnsi="Calibri"/>
                <w:b/>
                <w:sz w:val="19"/>
              </w:rPr>
              <w:t>Objects exact vs reference</w:t>
            </w:r>
          </w:p>
        </w:tc>
      </w:tr>
      <w:tr>
        <w:trPr>
          <w:cantSplit/>
        </w:trPr>
        <w:tc>
          <w:tcPr>
            <w:tcW w:type="dxa" w:w="2016"/>
            <w:vAlign w:val="center"/>
          </w:tcPr>
          <w:p>
            <w:pPr>
              <w:keepNext w:val="0"/>
              <w:spacing w:after="0" w:before="0" w:line="240" w:lineRule="auto"/>
            </w:pPr>
            <w:r>
              <w:rPr>
                <w:rFonts w:ascii="Calibri" w:hAnsi="Calibri"/>
                <w:b w:val="0"/>
                <w:sz w:val="19"/>
              </w:rPr>
              <w:t>Static / none</w:t>
            </w:r>
          </w:p>
        </w:tc>
        <w:tc>
          <w:tcPr>
            <w:tcW w:type="dxa" w:w="1642"/>
            <w:vAlign w:val="center"/>
          </w:tcPr>
          <w:p>
            <w:pPr>
              <w:keepNext w:val="0"/>
              <w:spacing w:after="0" w:before="0" w:line="240" w:lineRule="auto"/>
              <w:jc w:val="right"/>
            </w:pPr>
            <w:r>
              <w:rPr>
                <w:rFonts w:ascii="Calibri" w:hAnsi="Calibri"/>
                <w:b w:val="0"/>
                <w:sz w:val="19"/>
              </w:rPr>
              <w:t>88.75%</w:t>
            </w:r>
          </w:p>
        </w:tc>
        <w:tc>
          <w:tcPr>
            <w:tcW w:type="dxa" w:w="1642"/>
            <w:vAlign w:val="center"/>
          </w:tcPr>
          <w:p>
            <w:pPr>
              <w:keepNext w:val="0"/>
              <w:spacing w:after="0" w:before="0" w:line="240" w:lineRule="auto"/>
              <w:jc w:val="right"/>
            </w:pPr>
            <w:r>
              <w:rPr>
                <w:rFonts w:ascii="Calibri" w:hAnsi="Calibri"/>
                <w:b w:val="0"/>
                <w:sz w:val="19"/>
              </w:rPr>
              <w:t>0.824</w:t>
            </w:r>
          </w:p>
        </w:tc>
        <w:tc>
          <w:tcPr>
            <w:tcW w:type="dxa" w:w="1642"/>
            <w:vAlign w:val="center"/>
          </w:tcPr>
          <w:p>
            <w:pPr>
              <w:keepNext w:val="0"/>
              <w:spacing w:after="0" w:before="0" w:line="240" w:lineRule="auto"/>
              <w:jc w:val="right"/>
            </w:pPr>
            <w:r>
              <w:rPr>
                <w:rFonts w:ascii="Calibri" w:hAnsi="Calibri"/>
                <w:b w:val="0"/>
                <w:sz w:val="19"/>
              </w:rPr>
              <w:t>1.846%</w:t>
            </w:r>
          </w:p>
        </w:tc>
        <w:tc>
          <w:tcPr>
            <w:tcW w:type="dxa" w:w="1642"/>
            <w:vAlign w:val="center"/>
          </w:tcPr>
          <w:p>
            <w:pPr>
              <w:keepNext w:val="0"/>
              <w:spacing w:after="0" w:before="0" w:line="240" w:lineRule="auto"/>
              <w:jc w:val="right"/>
            </w:pPr>
            <w:r>
              <w:rPr>
                <w:rFonts w:ascii="Calibri" w:hAnsi="Calibri"/>
                <w:b w:val="0"/>
                <w:sz w:val="19"/>
              </w:rPr>
              <w:t>19.31%</w:t>
            </w:r>
          </w:p>
        </w:tc>
        <w:tc>
          <w:tcPr>
            <w:tcW w:type="dxa" w:w="1642"/>
            <w:vAlign w:val="center"/>
          </w:tcPr>
          <w:p>
            <w:pPr>
              <w:keepNext w:val="0"/>
              <w:spacing w:after="0" w:before="0" w:line="240" w:lineRule="auto"/>
              <w:jc w:val="right"/>
            </w:pPr>
            <w:r>
              <w:rPr>
                <w:rFonts w:ascii="Calibri" w:hAnsi="Calibri"/>
                <w:b w:val="0"/>
                <w:sz w:val="19"/>
              </w:rPr>
              <w:t>49.19%</w:t>
            </w:r>
          </w:p>
        </w:tc>
      </w:tr>
      <w:tr>
        <w:trPr>
          <w:cantSplit/>
        </w:trPr>
        <w:tc>
          <w:tcPr>
            <w:tcW w:type="dxa" w:w="2016"/>
            <w:vAlign w:val="center"/>
          </w:tcPr>
          <w:p>
            <w:pPr>
              <w:keepNext w:val="0"/>
              <w:spacing w:after="0" w:before="0" w:line="240" w:lineRule="auto"/>
            </w:pPr>
            <w:r>
              <w:rPr>
                <w:rFonts w:ascii="Calibri" w:hAnsi="Calibri"/>
                <w:b w:val="0"/>
                <w:sz w:val="19"/>
              </w:rPr>
              <w:t>Adaptive hot25 / unsafe</w:t>
            </w:r>
          </w:p>
        </w:tc>
        <w:tc>
          <w:tcPr>
            <w:tcW w:type="dxa" w:w="1642"/>
            <w:vAlign w:val="center"/>
          </w:tcPr>
          <w:p>
            <w:pPr>
              <w:keepNext w:val="0"/>
              <w:spacing w:after="0" w:before="0" w:line="240" w:lineRule="auto"/>
              <w:jc w:val="right"/>
            </w:pPr>
            <w:r>
              <w:rPr>
                <w:rFonts w:ascii="Calibri" w:hAnsi="Calibri"/>
                <w:b w:val="0"/>
                <w:sz w:val="19"/>
              </w:rPr>
              <w:t>100.00%</w:t>
            </w:r>
          </w:p>
        </w:tc>
        <w:tc>
          <w:tcPr>
            <w:tcW w:type="dxa" w:w="1642"/>
            <w:vAlign w:val="center"/>
          </w:tcPr>
          <w:p>
            <w:pPr>
              <w:keepNext w:val="0"/>
              <w:spacing w:after="0" w:before="0" w:line="240" w:lineRule="auto"/>
              <w:jc w:val="right"/>
            </w:pPr>
            <w:r>
              <w:rPr>
                <w:rFonts w:ascii="Calibri" w:hAnsi="Calibri"/>
                <w:b w:val="0"/>
                <w:sz w:val="19"/>
              </w:rPr>
              <w:t>0.905</w:t>
            </w:r>
          </w:p>
        </w:tc>
        <w:tc>
          <w:tcPr>
            <w:tcW w:type="dxa" w:w="1642"/>
            <w:vAlign w:val="center"/>
          </w:tcPr>
          <w:p>
            <w:pPr>
              <w:keepNext w:val="0"/>
              <w:spacing w:after="0" w:before="0" w:line="240" w:lineRule="auto"/>
              <w:jc w:val="right"/>
            </w:pPr>
            <w:r>
              <w:rPr>
                <w:rFonts w:ascii="Calibri" w:hAnsi="Calibri"/>
                <w:b w:val="0"/>
                <w:sz w:val="19"/>
              </w:rPr>
              <w:t>1.595%</w:t>
            </w:r>
          </w:p>
        </w:tc>
        <w:tc>
          <w:tcPr>
            <w:tcW w:type="dxa" w:w="1642"/>
            <w:vAlign w:val="center"/>
          </w:tcPr>
          <w:p>
            <w:pPr>
              <w:keepNext w:val="0"/>
              <w:spacing w:after="0" w:before="0" w:line="240" w:lineRule="auto"/>
              <w:jc w:val="right"/>
            </w:pPr>
            <w:r>
              <w:rPr>
                <w:rFonts w:ascii="Calibri" w:hAnsi="Calibri"/>
                <w:b w:val="0"/>
                <w:sz w:val="19"/>
              </w:rPr>
              <w:t>14.35%</w:t>
            </w:r>
          </w:p>
        </w:tc>
        <w:tc>
          <w:tcPr>
            <w:tcW w:type="dxa" w:w="1642"/>
            <w:vAlign w:val="center"/>
          </w:tcPr>
          <w:p>
            <w:pPr>
              <w:keepNext w:val="0"/>
              <w:spacing w:after="0" w:before="0" w:line="240" w:lineRule="auto"/>
              <w:jc w:val="right"/>
            </w:pPr>
            <w:r>
              <w:rPr>
                <w:rFonts w:ascii="Calibri" w:hAnsi="Calibri"/>
                <w:b w:val="0"/>
                <w:sz w:val="19"/>
              </w:rPr>
              <w:t>51.88%</w:t>
            </w:r>
          </w:p>
        </w:tc>
      </w:tr>
      <w:tr>
        <w:trPr>
          <w:cantSplit/>
        </w:trPr>
        <w:tc>
          <w:tcPr>
            <w:tcW w:type="dxa" w:w="2016"/>
            <w:vAlign w:val="center"/>
          </w:tcPr>
          <w:p>
            <w:pPr>
              <w:keepNext w:val="0"/>
              <w:spacing w:after="0" w:before="0" w:line="240" w:lineRule="auto"/>
            </w:pPr>
            <w:r>
              <w:rPr>
                <w:rFonts w:ascii="Calibri" w:hAnsi="Calibri"/>
                <w:b w:val="0"/>
                <w:sz w:val="19"/>
              </w:rPr>
              <w:t>Adaptive hot25 / versioned</w:t>
            </w:r>
          </w:p>
        </w:tc>
        <w:tc>
          <w:tcPr>
            <w:tcW w:type="dxa" w:w="1642"/>
            <w:vAlign w:val="center"/>
          </w:tcPr>
          <w:p>
            <w:pPr>
              <w:keepNext w:val="0"/>
              <w:spacing w:after="0" w:before="0" w:line="240" w:lineRule="auto"/>
              <w:jc w:val="right"/>
            </w:pPr>
            <w:r>
              <w:rPr>
                <w:rFonts w:ascii="Calibri" w:hAnsi="Calibri"/>
                <w:b w:val="0"/>
                <w:sz w:val="19"/>
              </w:rPr>
              <w:t>100.00%</w:t>
            </w:r>
          </w:p>
        </w:tc>
        <w:tc>
          <w:tcPr>
            <w:tcW w:type="dxa" w:w="1642"/>
            <w:vAlign w:val="center"/>
          </w:tcPr>
          <w:p>
            <w:pPr>
              <w:keepNext w:val="0"/>
              <w:spacing w:after="0" w:before="0" w:line="240" w:lineRule="auto"/>
              <w:jc w:val="right"/>
            </w:pPr>
            <w:r>
              <w:rPr>
                <w:rFonts w:ascii="Calibri" w:hAnsi="Calibri"/>
                <w:b w:val="0"/>
                <w:sz w:val="19"/>
              </w:rPr>
              <w:t>0.905</w:t>
            </w:r>
          </w:p>
        </w:tc>
        <w:tc>
          <w:tcPr>
            <w:tcW w:type="dxa" w:w="1642"/>
            <w:vAlign w:val="center"/>
          </w:tcPr>
          <w:p>
            <w:pPr>
              <w:keepNext w:val="0"/>
              <w:spacing w:after="0" w:before="0" w:line="240" w:lineRule="auto"/>
              <w:jc w:val="right"/>
            </w:pPr>
            <w:r>
              <w:rPr>
                <w:rFonts w:ascii="Calibri" w:hAnsi="Calibri"/>
                <w:b w:val="0"/>
                <w:sz w:val="19"/>
              </w:rPr>
              <w:t>0.000%</w:t>
            </w:r>
          </w:p>
        </w:tc>
        <w:tc>
          <w:tcPr>
            <w:tcW w:type="dxa" w:w="1642"/>
            <w:vAlign w:val="center"/>
          </w:tcPr>
          <w:p>
            <w:pPr>
              <w:keepNext w:val="0"/>
              <w:spacing w:after="0" w:before="0" w:line="240" w:lineRule="auto"/>
              <w:jc w:val="right"/>
            </w:pPr>
            <w:r>
              <w:rPr>
                <w:rFonts w:ascii="Calibri" w:hAnsi="Calibri"/>
                <w:b w:val="0"/>
                <w:sz w:val="19"/>
              </w:rPr>
              <w:t>13.33%</w:t>
            </w:r>
          </w:p>
        </w:tc>
        <w:tc>
          <w:tcPr>
            <w:tcW w:type="dxa" w:w="1642"/>
            <w:vAlign w:val="center"/>
          </w:tcPr>
          <w:p>
            <w:pPr>
              <w:keepNext w:val="0"/>
              <w:spacing w:after="0" w:before="0" w:line="240" w:lineRule="auto"/>
              <w:jc w:val="right"/>
            </w:pPr>
            <w:r>
              <w:rPr>
                <w:rFonts w:ascii="Calibri" w:hAnsi="Calibri"/>
                <w:b w:val="0"/>
                <w:sz w:val="19"/>
              </w:rPr>
              <w:t>57.80%</w:t>
            </w:r>
          </w:p>
        </w:tc>
      </w:tr>
      <w:tr>
        <w:trPr>
          <w:cantSplit/>
        </w:trPr>
        <w:tc>
          <w:tcPr>
            <w:tcW w:type="dxa" w:w="2016"/>
            <w:vAlign w:val="center"/>
          </w:tcPr>
          <w:p>
            <w:pPr>
              <w:keepNext/>
              <w:spacing w:after="0" w:before="0" w:line="240" w:lineRule="auto"/>
            </w:pPr>
            <w:r>
              <w:rPr>
                <w:rFonts w:ascii="Calibri" w:hAnsi="Calibri"/>
                <w:b w:val="0"/>
                <w:sz w:val="19"/>
              </w:rPr>
              <w:t>Adaptive full1 / versioned</w:t>
            </w:r>
          </w:p>
        </w:tc>
        <w:tc>
          <w:tcPr>
            <w:tcW w:type="dxa" w:w="1642"/>
            <w:vAlign w:val="center"/>
          </w:tcPr>
          <w:p>
            <w:pPr>
              <w:keepNext/>
              <w:spacing w:after="0" w:before="0" w:line="240" w:lineRule="auto"/>
              <w:jc w:val="right"/>
            </w:pPr>
            <w:r>
              <w:rPr>
                <w:rFonts w:ascii="Calibri" w:hAnsi="Calibri"/>
                <w:b w:val="0"/>
                <w:sz w:val="19"/>
              </w:rPr>
              <w:t>100.00%</w:t>
            </w:r>
          </w:p>
        </w:tc>
        <w:tc>
          <w:tcPr>
            <w:tcW w:type="dxa" w:w="1642"/>
            <w:vAlign w:val="center"/>
          </w:tcPr>
          <w:p>
            <w:pPr>
              <w:keepNext/>
              <w:spacing w:after="0" w:before="0" w:line="240" w:lineRule="auto"/>
              <w:jc w:val="right"/>
            </w:pPr>
            <w:r>
              <w:rPr>
                <w:rFonts w:ascii="Calibri" w:hAnsi="Calibri"/>
                <w:b w:val="0"/>
                <w:sz w:val="19"/>
              </w:rPr>
              <w:t>0.992</w:t>
            </w:r>
          </w:p>
        </w:tc>
        <w:tc>
          <w:tcPr>
            <w:tcW w:type="dxa" w:w="1642"/>
            <w:vAlign w:val="center"/>
          </w:tcPr>
          <w:p>
            <w:pPr>
              <w:keepNext/>
              <w:spacing w:after="0" w:before="0" w:line="240" w:lineRule="auto"/>
              <w:jc w:val="right"/>
            </w:pPr>
            <w:r>
              <w:rPr>
                <w:rFonts w:ascii="Calibri" w:hAnsi="Calibri"/>
                <w:b w:val="0"/>
                <w:sz w:val="19"/>
              </w:rPr>
              <w:t>0.000%</w:t>
            </w:r>
          </w:p>
        </w:tc>
        <w:tc>
          <w:tcPr>
            <w:tcW w:type="dxa" w:w="1642"/>
            <w:vAlign w:val="center"/>
          </w:tcPr>
          <w:p>
            <w:pPr>
              <w:keepNext/>
              <w:spacing w:after="0" w:before="0" w:line="240" w:lineRule="auto"/>
              <w:jc w:val="right"/>
            </w:pPr>
            <w:r>
              <w:rPr>
                <w:rFonts w:ascii="Calibri" w:hAnsi="Calibri"/>
                <w:b w:val="0"/>
                <w:sz w:val="19"/>
              </w:rPr>
              <w:t>1.50%</w:t>
            </w:r>
          </w:p>
        </w:tc>
        <w:tc>
          <w:tcPr>
            <w:tcW w:type="dxa" w:w="1642"/>
            <w:vAlign w:val="center"/>
          </w:tcPr>
          <w:p>
            <w:pPr>
              <w:keepNext/>
              <w:spacing w:after="0" w:before="0" w:line="240" w:lineRule="auto"/>
              <w:jc w:val="right"/>
            </w:pPr>
            <w:r>
              <w:rPr>
                <w:rFonts w:ascii="Calibri" w:hAnsi="Calibri"/>
                <w:b w:val="0"/>
                <w:sz w:val="19"/>
              </w:rPr>
              <w:t>93.55%</w:t>
            </w:r>
          </w:p>
        </w:tc>
      </w:tr>
    </w:tbl>
    <w:p>
      <w:pPr>
        <w:keepLines/>
        <w:spacing w:before="60" w:after="120"/>
      </w:pPr>
      <w:r>
        <w:rPr>
          <w:sz w:val="18"/>
        </w:rPr>
        <w:t>Real document-derived workload with controlled placement, fault or update conditions. Timing is specific to the local prototype. Internal write error and error against the centralized task reference are different outcomes.</w:t>
      </w:r>
    </w:p>
    <w:p>
      <w:r>
        <w:t>Relative to the serial centralized task reference, final state L1 error is 19.31% for static, 13.33% for hot25/versioned and 1.50% for full1/versioned. In full1/versioned, 93.55% of object states exactly match the serial reference. Zero internal write error and zero error against the full reference are distinct criteria because routing can select different objects.</w:t>
      </w:r>
    </w:p>
    <w:p>
      <w:pPr>
        <w:keepNext/>
        <w:spacing w:after="60"/>
        <w:jc w:val="center"/>
      </w:pPr>
      <w:r>
        <w:drawing>
          <wp:inline xmlns:a="http://schemas.openxmlformats.org/drawingml/2006/main" xmlns:pic="http://schemas.openxmlformats.org/drawingml/2006/picture">
            <wp:extent cx="6309360" cy="3605349"/>
            <wp:docPr id="84" name="Picture 84"/>
            <wp:cNvGraphicFramePr>
              <a:graphicFrameLocks noChangeAspect="1"/>
            </wp:cNvGraphicFramePr>
            <a:graphic>
              <a:graphicData uri="http://schemas.openxmlformats.org/drawingml/2006/picture">
                <pic:pic>
                  <pic:nvPicPr>
                    <pic:cNvPr id="0" name="84_image84.png"/>
                    <pic:cNvPicPr/>
                  </pic:nvPicPr>
                  <pic:blipFill>
                    <a:blip r:embed="rId97"/>
                    <a:stretch>
                      <a:fillRect/>
                    </a:stretch>
                  </pic:blipFill>
                  <pic:spPr>
                    <a:xfrm>
                      <a:off x="0" y="0"/>
                      <a:ext cx="6309360" cy="3605349"/>
                    </a:xfrm>
                    <a:prstGeom prst="rect"/>
                  </pic:spPr>
                </pic:pic>
              </a:graphicData>
            </a:graphic>
          </wp:inline>
        </w:drawing>
      </w:r>
    </w:p>
    <w:p>
      <w:pPr>
        <w:pStyle w:val="Caption"/>
      </w:pPr>
      <w:r>
        <w:t>Figure 84. Final-state error after 240 tasks. The reference difference combines approximate routing, fault-dependent access and commit consistency; it is distinct from the isolated internal write-error measure.</w:t>
      </w:r>
    </w:p>
    <w:p>
      <w:pPr>
        <w:pStyle w:val="Heading3"/>
      </w:pPr>
      <w:r>
        <w:t>9.3.7 Discussion of continuity</w:t>
      </w:r>
    </w:p>
    <w:p>
      <w:r>
        <w:t>The integrated workload tests whether task identity, result aggregation and writes remain coordinated as owners fail, slow down and receive concurrent updates. The coordinator's contribution is continuity of execution across these changes.</w:t>
      </w:r>
    </w:p>
    <w:p>
      <w:r>
        <w:t>During critical-shard loss, 67.5% of static-barrier tasks lose their continuation condition. Adaptive execution retains task identity, write intents and ownership separately, allowing available work to proceed and deferred updates to complete after recovery.</w:t>
      </w:r>
    </w:p>
    <w:p>
      <w:r>
        <w:t>After the first straggler timeout, the subsequent 39 tasks avoid repeatedly waiting 350 ms. Hot25 nevertheless has phase recall 0.715 because its replicas omit less frequently used objects; full1 reaches 0.960 with greater storage cost. Deadline and retrieval fidelity therefore require separate budgets.</w:t>
      </w:r>
    </w:p>
    <w:p>
      <w:r>
        <w:t>Logical identity also requires an explicit write discipline. With otherwise matched conditions, version checks change 38 stale overwrites into recoverable retries. Object versions provide the temporal ordering needed for these state updates.</w:t>
      </w:r>
    </w:p>
    <w:p>
      <w:r>
        <w:t>The tested continuity layer maintains task identity, health memory, owner mappings, deferred writes, commit versions and completion conditions. These are concrete system records through which a logical process continues across changing physical availability.</w:t>
      </w:r>
    </w:p>
    <w:p>
      <w:pPr>
        <w:pStyle w:val="Heading3"/>
      </w:pPr>
      <w:r>
        <w:t>9.3.8 Evidence scope</w:t>
      </w:r>
    </w:p>
    <w:p>
      <w:r>
        <w:t>Corpus content, query vectors, shard assignments and dependencies are frozen from 026/027. The eight workers execute real local retrieval and owner-scoped operations; shard loss, delay and external version advances are controlled stress conditions. Latency describes this single-machine prototype. Acceptance, recall, deferred-write recovery, compare-and-set retries and final-state agreement are the principal experimental outcomes.</w:t>
      </w:r>
    </w:p>
    <w:p>
      <w:pPr>
        <w:pStyle w:val="Heading1"/>
        <w:pageBreakBefore w:val="0"/>
      </w:pPr>
      <w:r>
        <w:t>10. General discussion and conclusions</w:t>
      </w:r>
    </w:p>
    <w:p>
      <w:r>
        <w:t>The chapter develops a data-oriented modelling principle: characterize the structure that generates and reveals the observations, preserve the information needed for the task, and organize computation accordingly. Across the experiments, dimension, timescale, topology, observation policy and continuity of state change which modelling choices are useful. General data intelligence names this common procedure for working across data structures; its components are evaluated through specific predictions, interventions and execution outcomes.</w:t>
      </w:r>
    </w:p>
    <w:p>
      <w:pPr>
        <w:pStyle w:val="Heading2"/>
      </w:pPr>
      <w:r>
        <w:t>10.1 Predictive consequences as a common modelling objective</w:t>
      </w:r>
    </w:p>
    <w:p>
      <w:r>
        <w:t>The statistical, chemical, birdsong, dance, quorum-sensing, physical and tracking studies show that similar surface formats can contain different predictive relationships. The common object is the information in current observations and history that constrains the specified future response.</w:t>
      </w:r>
    </w:p>
    <w:p>
      <w:r>
        <w:t>This supplies a shared evaluation vocabulary for text-like sequences, graphs, continuous signals and event streams. Each representation can be asked which futures it distinguishes, which history it retains and which relations it preserves. Native encodings can differ even when the evaluation concerns these common questions.</w:t>
      </w:r>
    </w:p>
    <w:p>
      <w:pPr>
        <w:pStyle w:val="Heading2"/>
      </w:pPr>
      <w:r>
        <w:t>10.2 Data geometry as an input to model selection</w:t>
      </w:r>
    </w:p>
    <w:p>
      <w:r>
        <w:t>The geometry, microstructure, observability, fusion and hidden-manifold experiments establish that effective dimension is only one diagnostic. Data with the same measured dimension can differ in innovation noise, memory, observability, local compatibility and transition rules. These differences affect the observed training outcomes.</w:t>
      </w:r>
    </w:p>
    <w:p>
      <w:r>
        <w:t>The real graph measurements add separate empirical layers. In Facebook, pooled profile cosine is only approximately 8.9% higher on friendship edges than sampled non-edges, but shared-circle membership has a 3.25-fold enrichment. In Email-Eu-core, median active-neighbour coverage is 22.5% at 30 days and 40.0% at 90 days. Node and directed-dyad activity also have different adjacent-window continuity. These measurements favour preserving the layers and their timescales as distinct modelling inputs.</w:t>
      </w:r>
    </w:p>
    <w:p>
      <w:r>
        <w:t>The practical implication is to measure dimension, neighbourhood scale, temporal continuity, observation policy, relation state and training compatibility before assigning model capacity or selecting a representation.</w:t>
      </w:r>
    </w:p>
    <w:p>
      <w:pPr>
        <w:pStyle w:val="Heading2"/>
      </w:pPr>
      <w:r>
        <w:t>10.3 Conditional computation as a tested design choice</w:t>
      </w:r>
    </w:p>
    <w:p>
      <w:r>
        <w:t>WORLD-MOE-002 provides a condition-specific routing result. Under the homogeneous law, MoE and a shared rule generator perform similarly. Under heterogeneous laws, routing interventions change long-horizon predictions. Subsequent studies show that this contribution depends on adequate state information, local capacity and discovery of a useful partition.</w:t>
      </w:r>
    </w:p>
    <w:p>
      <w:r>
        <w:t>The broader design family includes local residuals, recurrent modules and relational computation. The distributed studies concern a separate implementation layer: where identified data and updates are owned and executed. Both involve allocating computation, but worker placement is not evidence that neural experts have recovered data-generating mechanisms.</w:t>
      </w:r>
    </w:p>
    <w:p>
      <w:r>
        <w:t>Modularity is therefore an empirical modelling choice. Its value is established through comparisons with shared models, routing interventions, capacity controls and held-out response performance.</w:t>
      </w:r>
    </w:p>
    <w:p>
      <w:pPr>
        <w:pStyle w:val="Heading2"/>
      </w:pPr>
      <w:r>
        <w:t>10.4 Coordinating prediction under changing computational resources</w:t>
      </w:r>
    </w:p>
    <w:p>
      <w:r>
        <w:t>Experiments 015–018B make resource-dependent prediction measurable. Availability, load history and substitute pathways enter the coordinator, and module perturbations test whether prediction can be maintained. The phrase “computational body” used in model identifiers refers operationally to these resource variables and module interactions.</w:t>
      </w:r>
    </w:p>
    <w:p>
      <w:r>
        <w:t>The anticipation experiment separates resource-state estimation from training through delayed resource consequences. Its matched architecture comparison shows that the loss and training dynamics affect later prediction and reserve capacity. This is a result about conditional computation under a specified resource simulator.</w:t>
      </w:r>
    </w:p>
    <w:p>
      <w:r>
        <w:t>The integrated predictor and multi-source comparisons test how those mechanisms operate within autoregressive models. Continuous, categorical-event and unordered-set sources satisfy the reported accuracy and perturbation criteria; the graph condition exposes a convergence–robustness trade-off. These are the measured conditions of architectural reuse.</w:t>
      </w:r>
    </w:p>
    <w:p>
      <w:pPr>
        <w:pStyle w:val="Heading2"/>
      </w:pPr>
      <w:r>
        <w:t>10.5 An operational definition of general data intelligence</w:t>
      </w:r>
    </w:p>
    <w:p>
      <w:r>
        <w:t>In this chapter, general data intelligence is the organized use of data diagnostics to choose representations, estimate predictive states and allocate computation across heterogeneous sources. It asks which native structures to preserve, which parameters to share, which histories to retain and how to test those decisions.</w:t>
      </w:r>
    </w:p>
    <w:p>
      <w:r>
        <w:t>This emphasis complements automated model selection. The earlier questions concern the generating and observation processes, independent directions of variation, predictive timescales, relational layers, transfer between data regions and the location of useful capacity. Answers supply an empirical basis for architecture and training choices.</w:t>
      </w:r>
    </w:p>
    <w:p>
      <w:r>
        <w:t>The experiments provide components of this procedure: diagnostic measurements, controlled comparisons and running coordination prototypes. Their combination defines a research framework; the document does not report an autonomous system that has learned to perform every diagnostic or select every architecture by itself.</w:t>
      </w:r>
    </w:p>
    <w:p>
      <w:pPr>
        <w:pStyle w:val="Heading2"/>
      </w:pPr>
      <w:r>
        <w:t>10.6 Distributed state with continuous logical identity</w:t>
      </w:r>
    </w:p>
    <w:p>
      <w:r>
        <w:t>Experiments 026–028 extend the analysis to execution and state ownership. At 16 shards, hash placement cuts 93.3% of semantic neighbour edges, and pure semantic clustering concentrates load. Balanced semantic placement limits the largest shard to 6.75% and preserves more locality than hash placement. Location and available capacity jointly affect the placement problem.</w:t>
      </w:r>
    </w:p>
    <w:p>
      <w:r>
        <w:t>The compact routing map occupies approximately 8.2% of the text size. Contacting half the shards gives recall@5 98.4% and exact-set agreement 92.2% against centralized retrieval. The useful coordinator records are ownership, routing summaries, dependencies, health and versions, with their size and agreement costs explicitly measured.</w:t>
      </w:r>
    </w:p>
    <w:p>
      <w:r>
        <w:t>A complete backup restores reference retrieval across all eight single-shard failures. Ownership-scoped locking preserves 120,000 concurrent dependency-derived updates at median throughput approximately 669,000 updates/s, exceeding the global-lock result on this machine. In the matched version test, 38 stale-write conflicts leave 38 incorrect increments with unsafe commits and zero internal increment error with versioned retries.</w:t>
      </w:r>
    </w:p>
    <w:p>
      <w:r>
        <w:t>These experiments establish continuity conditions for the tested corpus and workload: stable logical identities, explicit owners, tracked dependencies, ordered commits and retained write intents through owner recovery. The results concern local multiprocess coordination with injected faults, rather than an untested claim about arbitrary distributed deployments.</w:t>
      </w:r>
    </w:p>
    <w:p>
      <w:pPr>
        <w:pStyle w:val="Heading2"/>
      </w:pPr>
      <w:r>
        <w:t>10.7 A common procedure with heterogeneous internal representations</w:t>
      </w:r>
    </w:p>
    <w:p>
      <w:r>
        <w:t>The unifying proposal is a shared procedure for measurement and evaluation. Predictive-state queries compare representations; conditional computation allocates modelling effort; ownership and versions coordinate distributed state. These operations can be studied together without assuming identical internal mathematics for every data source.</w:t>
      </w:r>
    </w:p>
    <w:p>
      <w:r>
        <w:t>Continuous fields, events, graph relations, lifecycle objects and partially observed trajectories impose different representation requirements. The chapter documents which of those requirements were isolated, which comparisons improved prediction and which state-coordination mechanisms were executed.</w:t>
      </w:r>
    </w:p>
    <w:p>
      <w:r>
        <w:t>Generality is therefore assessed as reuse of explicit procedures or components across stated conditions. It remains an empirical property of those comparisons, with source-specific encoders, objectives and observation processes made visible.</w:t>
      </w:r>
    </w:p>
    <w:p>
      <w:pPr>
        <w:pStyle w:val="Heading2"/>
      </w:pPr>
      <w:r>
        <w:t>10.8 Evidence supporting the framework</w:t>
      </w:r>
    </w:p>
    <w:p>
      <w:r>
        <w:t>Three evidence types support the chapter. Controlled generators isolate dimension, observability, innovation, drift and transition heterogeneity and measure their effects on learning. Recorded biological communication and public graph data supply direct measurements of temporal and relational structure. The document-derived multiprocess workload measures placement, retrieval, fault handling and update consistency under controlled stress.</w:t>
      </w:r>
    </w:p>
    <w:p>
      <w:r>
        <w:t>Together, these studies support data geometry as a design input, predictive state as a task-dependent representation, conditional computation as an architecture to compare, and ownership/version/health records as coordination mechanisms. Each conclusion is attached to the experimental scale and outcome that supports it.</w:t>
      </w:r>
    </w:p>
    <w:p>
      <w:pPr>
        <w:pStyle w:val="Heading2"/>
      </w:pPr>
      <w:r>
        <w:t>10.9 Conclusion</w:t>
      </w:r>
    </w:p>
    <w:p>
      <w:r>
        <w:t>The recurring result is that a model's input format does not determine the structure it must learn. Equal dimension can conceal different curvature or noise; equal marginals can conceal different transitions; static adjacency can conceal a changing active relation field; one logical corpus can be partitioned across owners with measurable coordination costs.</w:t>
      </w:r>
    </w:p>
    <w:p>
      <w:r>
        <w:t>Data-oriented modelling turns those differences into explicit design variables. It preserves predictive information, assigns capacity where the measured response requires it, and evaluates both prediction and state continuity under changes in observation or computational resources.</w:t>
      </w:r>
    </w:p>
    <w:p>
      <w:r>
        <w:t>General data intelligence is developed here as a disciplined way to connect the structure of data with the organization and evaluation of computation.</w:t>
      </w:r>
    </w:p>
    <w:sectPr w:rsidR="00FC693F" w:rsidRPr="0006063C" w:rsidSect="00034616">
      <w:pgSz w:w="12240" w:h="15840"/>
      <w:pgMar w:top="979" w:right="1008" w:bottom="979" w:left="100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Calibri" w:hAnsi="Calibri"/>
      <w:color w:val="000000"/>
    </w:rPr>
  </w:style>
  <w:style w:type="paragraph" w:styleId="BodyText">
    <w:name w:val="Body Text"/>
    <w:basedOn w:val="Normal"/>
    <w:link w:val="BodyTextChar"/>
    <w:uiPriority w:val="99"/>
    <w:unhideWhenUsed/>
    <w:rsid w:val="00AA1D8D"/>
    <w:pPr>
      <w:widowControl/>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rPr>
      <w:rFonts w:ascii="Calibri" w:hAnsi="Calibri"/>
      <w:color w:val="000000"/>
    </w:rPr>
  </w:style>
  <w:style w:type="paragraph" w:styleId="List2">
    <w:name w:val="List 2"/>
    <w:basedOn w:val="Normal"/>
    <w:uiPriority w:val="99"/>
    <w:unhideWhenUsed/>
    <w:rsid w:val="00326F90"/>
    <w:pPr>
      <w:widowControl/>
      <w:ind w:left="720" w:hanging="360"/>
      <w:contextualSpacing/>
    </w:pPr>
    <w:rPr>
      <w:rFonts w:ascii="Calibri" w:hAnsi="Calibri"/>
      <w:color w:val="000000"/>
    </w:rPr>
  </w:style>
  <w:style w:type="paragraph" w:styleId="List3">
    <w:name w:val="List 3"/>
    <w:basedOn w:val="Normal"/>
    <w:uiPriority w:val="99"/>
    <w:unhideWhenUsed/>
    <w:rsid w:val="00326F90"/>
    <w:pPr>
      <w:widowControl/>
      <w:ind w:left="1080" w:hanging="360"/>
      <w:contextualSpacing/>
    </w:pPr>
    <w:rPr>
      <w:rFonts w:ascii="Calibri" w:hAnsi="Calibri"/>
      <w:color w:val="000000"/>
    </w:r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widowControl/>
      <w:numPr>
        <w:numId w:val="2"/>
      </w:numPr>
      <w:contextualSpacing/>
    </w:pPr>
    <w:rPr>
      <w:rFonts w:ascii="Calibri" w:hAnsi="Calibri"/>
      <w:color w:val="000000"/>
    </w:rPr>
  </w:style>
  <w:style w:type="paragraph" w:styleId="ListBullet3">
    <w:name w:val="List Bullet 3"/>
    <w:basedOn w:val="Normal"/>
    <w:uiPriority w:val="99"/>
    <w:unhideWhenUsed/>
    <w:rsid w:val="00326F90"/>
    <w:pPr>
      <w:widowControl/>
      <w:numPr>
        <w:numId w:val="3"/>
      </w:numPr>
      <w:contextualSpacing/>
    </w:pPr>
    <w:rPr>
      <w:rFonts w:ascii="Calibri" w:hAnsi="Calibri"/>
      <w:color w:val="000000"/>
    </w:r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widowControl/>
      <w:numPr>
        <w:numId w:val="6"/>
      </w:numPr>
      <w:contextualSpacing/>
    </w:pPr>
    <w:rPr>
      <w:rFonts w:ascii="Calibri" w:hAnsi="Calibri"/>
      <w:color w:val="000000"/>
    </w:rPr>
  </w:style>
  <w:style w:type="paragraph" w:styleId="ListNumber3">
    <w:name w:val="List Number 3"/>
    <w:basedOn w:val="Normal"/>
    <w:uiPriority w:val="99"/>
    <w:unhideWhenUsed/>
    <w:rsid w:val="0029639D"/>
    <w:pPr>
      <w:widowControl/>
      <w:numPr>
        <w:numId w:val="7"/>
      </w:numPr>
      <w:contextualSpacing/>
    </w:pPr>
    <w:rPr>
      <w:rFonts w:ascii="Calibri" w:hAnsi="Calibri"/>
      <w:color w:val="000000"/>
    </w:rPr>
  </w:style>
  <w:style w:type="paragraph" w:styleId="ListContinue">
    <w:name w:val="List Continue"/>
    <w:basedOn w:val="Normal"/>
    <w:uiPriority w:val="99"/>
    <w:unhideWhenUsed/>
    <w:rsid w:val="0029639D"/>
    <w:pPr>
      <w:widowControl/>
      <w:spacing w:after="120"/>
      <w:ind w:left="360"/>
      <w:contextualSpacing/>
    </w:pPr>
    <w:rPr>
      <w:rFonts w:ascii="Calibri" w:hAnsi="Calibri"/>
      <w:color w:val="000000"/>
    </w:rPr>
  </w:style>
  <w:style w:type="paragraph" w:styleId="ListContinue2">
    <w:name w:val="List Continue 2"/>
    <w:basedOn w:val="Normal"/>
    <w:uiPriority w:val="99"/>
    <w:unhideWhenUsed/>
    <w:rsid w:val="0029639D"/>
    <w:pPr>
      <w:widowControl/>
      <w:spacing w:after="120"/>
      <w:ind w:left="720"/>
      <w:contextualSpacing/>
    </w:pPr>
    <w:rPr>
      <w:rFonts w:ascii="Calibri" w:hAnsi="Calibri"/>
      <w:color w:val="000000"/>
    </w:rPr>
  </w:style>
  <w:style w:type="paragraph" w:styleId="ListContinue3">
    <w:name w:val="List Continue 3"/>
    <w:basedOn w:val="Normal"/>
    <w:uiPriority w:val="99"/>
    <w:unhideWhenUsed/>
    <w:rsid w:val="0029639D"/>
    <w:pPr>
      <w:widowControl/>
      <w:spacing w:after="120"/>
      <w:ind w:left="1080"/>
      <w:contextualSpacing/>
    </w:pPr>
    <w:rPr>
      <w:rFonts w:ascii="Calibri" w:hAnsi="Calibri"/>
      <w:color w:val="000000"/>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40" w:lineRule="auto" w:after="120"/>
    </w:pPr>
    <w:rPr>
      <w:rFonts w:ascii="Calibri" w:hAnsi="Calibri"/>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github.com/NickleDave/pomma" TargetMode="External"/><Relationship Id="rId16" Type="http://schemas.openxmlformats.org/officeDocument/2006/relationships/hyperlink" Target="https://www.vocalpy.org/bfsongrepo/" TargetMode="External"/><Relationship Id="rId17" Type="http://schemas.openxmlformats.org/officeDocument/2006/relationships/hyperlink" Target="https://github.com/BioroboticsLab/WDD_paper" TargetMode="External"/><Relationship Id="rId18" Type="http://schemas.openxmlformats.org/officeDocument/2006/relationships/hyperlink" Target="https://github.com/qhmu/QSDB" TargetMode="External"/><Relationship Id="rId19" Type="http://schemas.openxmlformats.org/officeDocument/2006/relationships/hyperlink" Target="https://zenodo.org/records/7928121" TargetMode="Externa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Data-Oriented Modelling: Heterogeneous Data and General Data Intelligence</dc:title>
  <dc:subject>Data geometry, predictive-state modelling and distributed state coordination</dc:subject>
  <dc:creator/>
  <cp:keywords>heterogeneous data; predictive state; conditional computation; observation process; distributed state</cp:keywords>
  <dc:description/>
  <cp:lastModifiedBy/>
  <cp:revision>1</cp:revision>
  <dcterms:created xsi:type="dcterms:W3CDTF">2013-12-23T23:15:00Z</dcterms:created>
  <dcterms:modified xsi:type="dcterms:W3CDTF">2013-12-23T23:15:00Z</dcterms:modified>
  <cp:category/>
</cp:coreProperties>
</file>