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93B877">
      <w:pPr>
        <w:numPr>
          <w:ilvl w:val="0"/>
          <w:numId w:val="0"/>
        </w:numPr>
        <w:rPr>
          <w:rFonts w:hint="eastAsia"/>
          <w:lang w:val="en-US" w:eastAsia="zh-CN"/>
        </w:rPr>
      </w:pPr>
      <w:r>
        <w:rPr>
          <w:rFonts w:hint="eastAsia"/>
          <w:lang w:val="en-US" w:eastAsia="zh-CN"/>
        </w:rPr>
        <w:t>通过对历史行情的分析找到规律从而找到合适的交易品种</w:t>
      </w:r>
    </w:p>
    <w:p w14:paraId="56738DB3">
      <w:pPr>
        <w:numPr>
          <w:ilvl w:val="0"/>
          <w:numId w:val="1"/>
        </w:numPr>
        <w:rPr>
          <w:rFonts w:hint="eastAsia"/>
          <w:lang w:val="en-US" w:eastAsia="zh-CN"/>
        </w:rPr>
      </w:pPr>
      <w:r>
        <w:rPr>
          <w:rFonts w:hint="eastAsia"/>
          <w:lang w:val="en-US" w:eastAsia="zh-CN"/>
        </w:rPr>
        <w:t>有较长的历史行情或可以借鉴的相关性高的品种</w:t>
      </w:r>
    </w:p>
    <w:p w14:paraId="13B1BD85">
      <w:pPr>
        <w:numPr>
          <w:ilvl w:val="0"/>
          <w:numId w:val="1"/>
        </w:numPr>
        <w:rPr>
          <w:rFonts w:hint="default"/>
          <w:lang w:val="en-US" w:eastAsia="zh-CN"/>
        </w:rPr>
      </w:pPr>
      <w:r>
        <w:rPr>
          <w:rFonts w:hint="eastAsia"/>
          <w:lang w:val="en-US" w:eastAsia="zh-CN"/>
        </w:rPr>
        <w:t>有比较明确的“规律”如下：</w:t>
      </w:r>
    </w:p>
    <w:p w14:paraId="665CBA5B">
      <w:pPr>
        <w:numPr>
          <w:ilvl w:val="0"/>
          <w:numId w:val="2"/>
        </w:numPr>
        <w:rPr>
          <w:rFonts w:hint="eastAsia"/>
          <w:lang w:val="en-US" w:eastAsia="zh-CN"/>
        </w:rPr>
      </w:pPr>
      <w:r>
        <w:rPr>
          <w:rFonts w:hint="eastAsia"/>
          <w:lang w:val="en-US" w:eastAsia="zh-CN"/>
        </w:rPr>
        <w:t>比较稳定的生贴水结构：排除一些季节性品种、交割不连续合约，这类品种不是不能做而是要更多的考虑强弱月的关系。</w:t>
      </w:r>
    </w:p>
    <w:p w14:paraId="7BF5709D">
      <w:pPr>
        <w:numPr>
          <w:ilvl w:val="0"/>
          <w:numId w:val="2"/>
        </w:numPr>
        <w:rPr>
          <w:rFonts w:hint="default"/>
          <w:lang w:val="en-US" w:eastAsia="zh-CN"/>
        </w:rPr>
      </w:pPr>
      <w:r>
        <w:rPr>
          <w:rFonts w:hint="eastAsia"/>
          <w:lang w:val="en-US" w:eastAsia="zh-CN"/>
        </w:rPr>
        <w:t>比较明确的价格与价差间关系：例如行情上涨、下跌时价差波动的方向和幅度</w:t>
      </w:r>
    </w:p>
    <w:p w14:paraId="628F657D">
      <w:pPr>
        <w:numPr>
          <w:ilvl w:val="0"/>
          <w:numId w:val="2"/>
        </w:numPr>
        <w:rPr>
          <w:rFonts w:hint="default"/>
          <w:lang w:val="en-US" w:eastAsia="zh-CN"/>
        </w:rPr>
      </w:pPr>
      <w:r>
        <w:rPr>
          <w:rFonts w:hint="eastAsia"/>
          <w:lang w:val="en-US" w:eastAsia="zh-CN"/>
        </w:rPr>
        <w:t>对时间的理解：例如ec交易对时间的把握及交割时交割对期现价差的影响等，如股指有分红月等一些对价差产生一些除行情波动外的一些方向性的影响</w:t>
      </w:r>
    </w:p>
    <w:p w14:paraId="232EEE1D">
      <w:pPr>
        <w:numPr>
          <w:numId w:val="0"/>
        </w:numPr>
        <w:rPr>
          <w:rFonts w:hint="eastAsia"/>
          <w:lang w:val="en-US" w:eastAsia="zh-CN"/>
        </w:rPr>
      </w:pPr>
    </w:p>
    <w:p w14:paraId="7B5F6432">
      <w:pPr>
        <w:numPr>
          <w:numId w:val="0"/>
        </w:numPr>
        <w:rPr>
          <w:rFonts w:hint="eastAsia"/>
          <w:lang w:val="en-US" w:eastAsia="zh-CN"/>
        </w:rPr>
      </w:pPr>
      <w:r>
        <w:rPr>
          <w:rFonts w:hint="eastAsia"/>
          <w:lang w:val="en-US" w:eastAsia="zh-CN"/>
        </w:rPr>
        <w:t>用sc来举例</w:t>
      </w:r>
    </w:p>
    <w:p w14:paraId="722A208A">
      <w:pPr>
        <w:numPr>
          <w:numId w:val="0"/>
        </w:numPr>
        <w:rPr>
          <w:rFonts w:hint="default"/>
          <w:lang w:val="en-US" w:eastAsia="zh-CN"/>
        </w:rPr>
      </w:pPr>
      <w:r>
        <w:rPr>
          <w:rFonts w:hint="default"/>
          <w:lang w:val="en-US" w:eastAsia="zh-CN"/>
        </w:rPr>
        <w:drawing>
          <wp:inline distT="0" distB="0" distL="114300" distR="114300">
            <wp:extent cx="5271135" cy="2988945"/>
            <wp:effectExtent l="0" t="0" r="5715" b="1905"/>
            <wp:docPr id="1" name="图片 1" descr="8511760af48bc467dbff474cdecc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511760af48bc467dbff474cdeccfb2"/>
                    <pic:cNvPicPr>
                      <a:picLocks noChangeAspect="1"/>
                    </pic:cNvPicPr>
                  </pic:nvPicPr>
                  <pic:blipFill>
                    <a:blip r:embed="rId4"/>
                    <a:stretch>
                      <a:fillRect/>
                    </a:stretch>
                  </pic:blipFill>
                  <pic:spPr>
                    <a:xfrm>
                      <a:off x="0" y="0"/>
                      <a:ext cx="5271135" cy="2988945"/>
                    </a:xfrm>
                    <a:prstGeom prst="rect">
                      <a:avLst/>
                    </a:prstGeom>
                  </pic:spPr>
                </pic:pic>
              </a:graphicData>
            </a:graphic>
          </wp:inline>
        </w:drawing>
      </w:r>
    </w:p>
    <w:p w14:paraId="0DDA4143">
      <w:pPr>
        <w:numPr>
          <w:numId w:val="0"/>
        </w:numPr>
        <w:rPr>
          <w:rFonts w:hint="eastAsia"/>
          <w:lang w:val="en-US" w:eastAsia="zh-CN"/>
        </w:rPr>
      </w:pPr>
      <w:r>
        <w:rPr>
          <w:rFonts w:hint="eastAsia"/>
          <w:lang w:val="en-US" w:eastAsia="zh-CN"/>
        </w:rPr>
        <w:t>上图中，红色线为sc主力连、其他线依次为sc1-2、sc2-3...这里的1、2不是月份而是第一合约-第二合约，那么每个月都会有sc2-3变sc1-2，sc3-4变sc2-3的过程，这么显示与我们日常交易的价差不同，是为了更好的表现趋势和升贴水的变化。</w:t>
      </w:r>
    </w:p>
    <w:p w14:paraId="1907F634">
      <w:pPr>
        <w:numPr>
          <w:numId w:val="0"/>
        </w:numPr>
        <w:rPr>
          <w:rFonts w:hint="eastAsia"/>
          <w:lang w:val="en-US" w:eastAsia="zh-CN"/>
        </w:rPr>
      </w:pPr>
      <w:r>
        <w:rPr>
          <w:rFonts w:hint="eastAsia"/>
          <w:lang w:val="en-US" w:eastAsia="zh-CN"/>
        </w:rPr>
        <w:t>我们可以观察到什么</w:t>
      </w:r>
    </w:p>
    <w:p w14:paraId="5BD9CD86">
      <w:pPr>
        <w:numPr>
          <w:ilvl w:val="0"/>
          <w:numId w:val="3"/>
        </w:numPr>
        <w:rPr>
          <w:rFonts w:hint="eastAsia"/>
          <w:lang w:val="en-US" w:eastAsia="zh-CN"/>
        </w:rPr>
      </w:pPr>
      <w:r>
        <w:rPr>
          <w:rFonts w:hint="eastAsia"/>
          <w:lang w:val="en-US" w:eastAsia="zh-CN"/>
        </w:rPr>
        <w:t>单边价格变化&gt;价差变化且同向</w:t>
      </w:r>
    </w:p>
    <w:p w14:paraId="7EE7E626">
      <w:pPr>
        <w:numPr>
          <w:ilvl w:val="0"/>
          <w:numId w:val="3"/>
        </w:numPr>
        <w:rPr>
          <w:rFonts w:hint="default"/>
          <w:lang w:val="en-US" w:eastAsia="zh-CN"/>
        </w:rPr>
      </w:pPr>
      <w:r>
        <w:rPr>
          <w:rFonts w:hint="eastAsia"/>
          <w:lang w:val="en-US" w:eastAsia="zh-CN"/>
        </w:rPr>
        <w:t>Sc1-2&gt;Sc2-3&gt;Sc3-4...且同向</w:t>
      </w:r>
    </w:p>
    <w:p w14:paraId="5111A787">
      <w:pPr>
        <w:numPr>
          <w:ilvl w:val="0"/>
          <w:numId w:val="3"/>
        </w:numPr>
        <w:rPr>
          <w:rFonts w:hint="default"/>
          <w:lang w:val="en-US" w:eastAsia="zh-CN"/>
        </w:rPr>
      </w:pPr>
      <w:r>
        <w:rPr>
          <w:rFonts w:hint="eastAsia"/>
          <w:lang w:val="en-US" w:eastAsia="zh-CN"/>
        </w:rPr>
        <w:t>Sc1-2（蓝线）我们从图中看到的价格波动在每一次月份变更时的波动是由合约转换导致，24次换月统计中有17次由贴水转升水，可以中中找到的规律：在没有趋势行情下越靠近交割升水越明显，但升水幅度有限。</w:t>
      </w:r>
    </w:p>
    <w:p w14:paraId="49B88C68">
      <w:pPr>
        <w:numPr>
          <w:ilvl w:val="0"/>
          <w:numId w:val="3"/>
        </w:numPr>
        <w:rPr>
          <w:rFonts w:hint="default"/>
          <w:lang w:val="en-US" w:eastAsia="zh-CN"/>
        </w:rPr>
      </w:pPr>
      <w:r>
        <w:rPr>
          <w:rFonts w:hint="eastAsia"/>
          <w:lang w:val="en-US" w:eastAsia="zh-CN"/>
        </w:rPr>
        <w:t>Sc1-2（蓝线）随单边价格上涨时贴水幅度扩大，且贴水幅度远大于上面所讲的升水幅度变化。</w:t>
      </w:r>
    </w:p>
    <w:p w14:paraId="5713F6AB">
      <w:pPr>
        <w:numPr>
          <w:numId w:val="0"/>
        </w:numPr>
        <w:rPr>
          <w:rFonts w:hint="eastAsia"/>
          <w:lang w:val="en-US" w:eastAsia="zh-CN"/>
        </w:rPr>
      </w:pPr>
      <w:r>
        <w:rPr>
          <w:rFonts w:hint="eastAsia"/>
          <w:lang w:val="en-US" w:eastAsia="zh-CN"/>
        </w:rPr>
        <w:t>由上面几点我们可以看出日常交易，喜欢卖近买远的原因是因为回归次数多，但一旦出现趋势上涨行情时风险很大。</w:t>
      </w:r>
    </w:p>
    <w:p w14:paraId="107DE671">
      <w:pPr>
        <w:numPr>
          <w:numId w:val="0"/>
        </w:numPr>
        <w:rPr>
          <w:rFonts w:hint="default"/>
          <w:lang w:val="en-US" w:eastAsia="zh-CN"/>
        </w:rPr>
      </w:pPr>
      <w:r>
        <w:rPr>
          <w:rFonts w:hint="eastAsia"/>
          <w:lang w:val="en-US" w:eastAsia="zh-CN"/>
        </w:rPr>
        <w:t>利用上面的特征把握交易机会的选择，收益来源应该从趋势和波动两方面考虑，并制定相应的交易策略</w:t>
      </w:r>
    </w:p>
    <w:p w14:paraId="739ED660">
      <w:pPr>
        <w:numPr>
          <w:ilvl w:val="0"/>
          <w:numId w:val="4"/>
        </w:numPr>
        <w:rPr>
          <w:rFonts w:hint="eastAsia"/>
          <w:lang w:val="en-US" w:eastAsia="zh-CN"/>
        </w:rPr>
      </w:pPr>
      <w:r>
        <w:rPr>
          <w:rFonts w:hint="eastAsia"/>
          <w:lang w:val="en-US" w:eastAsia="zh-CN"/>
        </w:rPr>
        <w:t>趋势：优先捕捉上涨趋势，可以交易的策略为</w:t>
      </w:r>
    </w:p>
    <w:p w14:paraId="30698C61">
      <w:pPr>
        <w:numPr>
          <w:numId w:val="0"/>
        </w:numPr>
        <w:rPr>
          <w:rFonts w:hint="eastAsia"/>
          <w:lang w:val="en-US" w:eastAsia="zh-CN"/>
        </w:rPr>
      </w:pPr>
      <w:r>
        <w:rPr>
          <w:rFonts w:hint="eastAsia"/>
          <w:lang w:val="en-US" w:eastAsia="zh-CN"/>
        </w:rPr>
        <w:t xml:space="preserve">   单边交易：价格相对较低波动率低、无明显下跌趋势下，少量单边交易第3、4个月份的合约，收益来源平均月均差带来的carry收益+单边上涨收益+极端趋势行情下贴水转升水，如平均月均差在5个点，那么在全年现货价格不变的情况下收益=月均差*12，这里要考虑到上面所提到的17次进入现货月前时转升水的过程，因此在没有明确上涨的行情下需要提前换月，也就是03、04合约持仓在变成01前进行移仓。</w:t>
      </w:r>
    </w:p>
    <w:p w14:paraId="2B58E6C0">
      <w:pPr>
        <w:numPr>
          <w:numId w:val="0"/>
        </w:numPr>
        <w:rPr>
          <w:rFonts w:hint="eastAsia"/>
          <w:lang w:val="en-US" w:eastAsia="zh-CN"/>
        </w:rPr>
      </w:pPr>
      <w:r>
        <w:rPr>
          <w:rFonts w:hint="eastAsia"/>
          <w:lang w:val="en-US" w:eastAsia="zh-CN"/>
        </w:rPr>
        <w:t>风险：单边下跌风险+现货持续低迷时贴水转升水风险</w:t>
      </w:r>
    </w:p>
    <w:p w14:paraId="34168E42">
      <w:pPr>
        <w:numPr>
          <w:numId w:val="0"/>
        </w:numPr>
        <w:rPr>
          <w:rFonts w:hint="eastAsia"/>
          <w:lang w:val="en-US" w:eastAsia="zh-CN"/>
        </w:rPr>
      </w:pPr>
      <w:r>
        <w:rPr>
          <w:rFonts w:hint="eastAsia"/>
          <w:lang w:val="en-US" w:eastAsia="zh-CN"/>
        </w:rPr>
        <w:t>单边行情需要对品种有一定方向性理解和判断和稳定的贴水结构</w:t>
      </w:r>
    </w:p>
    <w:p w14:paraId="0A3F9DB8">
      <w:pPr>
        <w:numPr>
          <w:numId w:val="0"/>
        </w:numPr>
        <w:rPr>
          <w:rFonts w:hint="eastAsia"/>
          <w:lang w:val="en-US" w:eastAsia="zh-CN"/>
        </w:rPr>
      </w:pPr>
    </w:p>
    <w:p w14:paraId="116A5872">
      <w:pPr>
        <w:numPr>
          <w:numId w:val="0"/>
        </w:numPr>
        <w:rPr>
          <w:rFonts w:hint="eastAsia"/>
          <w:lang w:val="en-US" w:eastAsia="zh-CN"/>
        </w:rPr>
      </w:pPr>
      <w:r>
        <w:rPr>
          <w:rFonts w:hint="eastAsia"/>
          <w:lang w:val="en-US" w:eastAsia="zh-CN"/>
        </w:rPr>
        <w:t>套利：通过对历史行情的统计（附件）</w:t>
      </w:r>
    </w:p>
    <w:p w14:paraId="509B258C">
      <w:pPr>
        <w:numPr>
          <w:numId w:val="0"/>
        </w:numPr>
        <w:rPr>
          <w:rFonts w:hint="eastAsia"/>
          <w:lang w:val="en-US" w:eastAsia="zh-CN"/>
        </w:rPr>
      </w:pPr>
      <w:r>
        <w:rPr>
          <w:rFonts w:hint="eastAsia"/>
          <w:lang w:val="en-US" w:eastAsia="zh-CN"/>
        </w:rPr>
        <w:t>我们看到各分页里各合约组合下1%、25%、75%、90%几列的统计，我们可以从中看到的过程是如果用sc3-4，25%均线位置建仓（0.5），在不移仓的情况下最大风险为变成Sc1-2的1%位置（-7.6），如果平仓可参考sc2-3（4.4）。</w:t>
      </w:r>
    </w:p>
    <w:p w14:paraId="3A641F3C">
      <w:pPr>
        <w:numPr>
          <w:numId w:val="0"/>
        </w:numPr>
        <w:rPr>
          <w:rFonts w:hint="eastAsia"/>
          <w:lang w:val="en-US" w:eastAsia="zh-CN"/>
        </w:rPr>
      </w:pPr>
      <w:r>
        <w:rPr>
          <w:rFonts w:hint="eastAsia"/>
          <w:lang w:val="en-US" w:eastAsia="zh-CN"/>
        </w:rPr>
        <w:t>结论，如图越远的组合波动越小，合理的贴水价格入场价位风险越小，越远间隔组合越容易获得价差的收益回测比越小（可观察各组合下1%和99%对比）</w:t>
      </w:r>
    </w:p>
    <w:p w14:paraId="42F00A48">
      <w:pPr>
        <w:numPr>
          <w:numId w:val="0"/>
        </w:numPr>
        <w:rPr>
          <w:rFonts w:hint="eastAsia"/>
          <w:lang w:val="en-US" w:eastAsia="zh-CN"/>
        </w:rPr>
      </w:pPr>
      <w:r>
        <w:rPr>
          <w:rFonts w:hint="eastAsia"/>
          <w:lang w:val="en-US" w:eastAsia="zh-CN"/>
        </w:rPr>
        <w:t>那么最优的买近抛远组合为在没有出现极端近月升水的行情下（大涨之后的回归行情）03/04-越远的合约平水位置越安全，这样当合约将变成01前只需要把前合约单独换月后合约继续持仓就好。</w:t>
      </w:r>
    </w:p>
    <w:p w14:paraId="5F4965E0">
      <w:pPr>
        <w:numPr>
          <w:numId w:val="0"/>
        </w:numPr>
        <w:rPr>
          <w:rFonts w:hint="default"/>
          <w:lang w:val="en-US" w:eastAsia="zh-CN"/>
        </w:rPr>
      </w:pPr>
      <w:r>
        <w:rPr>
          <w:rFonts w:hint="eastAsia"/>
          <w:lang w:val="en-US" w:eastAsia="zh-CN"/>
        </w:rPr>
        <w:t>原油远期合约开口大且不容易成交，建仓过程缓慢，但这类持仓的风险和收益比合适，适合慢慢建仓等时间临近时提前换月，而且合约为连续合约，这样可以分布在各月份分布建仓，随着时间临近还可以做些细微的波动来扩大收益，另外在该持仓下还可以做少量Sc1-2、Sc2-3的反向波动交易</w:t>
      </w:r>
    </w:p>
    <w:p w14:paraId="57F7E360">
      <w:pPr>
        <w:numPr>
          <w:numId w:val="0"/>
        </w:numPr>
        <w:rPr>
          <w:rFonts w:hint="eastAsia"/>
          <w:lang w:val="en-US" w:eastAsia="zh-CN"/>
        </w:rPr>
      </w:pPr>
      <w:r>
        <w:rPr>
          <w:rFonts w:hint="eastAsia"/>
          <w:lang w:val="en-US" w:eastAsia="zh-CN"/>
        </w:rPr>
        <w:t>收益为carry+波动</w:t>
      </w:r>
    </w:p>
    <w:p w14:paraId="51422EEE">
      <w:pPr>
        <w:numPr>
          <w:numId w:val="0"/>
        </w:numPr>
        <w:rPr>
          <w:rFonts w:hint="eastAsia"/>
          <w:lang w:val="en-US" w:eastAsia="zh-CN"/>
        </w:rPr>
      </w:pPr>
      <w:r>
        <w:rPr>
          <w:rFonts w:hint="eastAsia"/>
          <w:lang w:val="en-US" w:eastAsia="zh-CN"/>
        </w:rPr>
        <w:t>风险：原油宝事件，现货极度下跌。</w:t>
      </w:r>
    </w:p>
    <w:p w14:paraId="006E2CF5">
      <w:pPr>
        <w:numPr>
          <w:numId w:val="0"/>
        </w:numPr>
        <w:rPr>
          <w:rFonts w:hint="eastAsia"/>
          <w:lang w:val="en-US" w:eastAsia="zh-CN"/>
        </w:rPr>
      </w:pPr>
    </w:p>
    <w:p w14:paraId="49FBF9BE">
      <w:pPr>
        <w:numPr>
          <w:numId w:val="0"/>
        </w:numPr>
        <w:rPr>
          <w:rFonts w:hint="eastAsia"/>
          <w:lang w:val="en-US" w:eastAsia="zh-CN"/>
        </w:rPr>
      </w:pPr>
      <w:bookmarkStart w:id="0" w:name="_GoBack"/>
      <w:bookmarkEnd w:id="0"/>
    </w:p>
    <w:p w14:paraId="15F356DA">
      <w:pPr>
        <w:numPr>
          <w:numId w:val="0"/>
        </w:numPr>
        <w:rPr>
          <w:rFonts w:hint="eastAsia"/>
          <w:lang w:val="en-US" w:eastAsia="zh-CN"/>
        </w:rPr>
      </w:pPr>
      <w:r>
        <w:rPr>
          <w:rFonts w:hint="eastAsia"/>
          <w:lang w:val="en-US" w:eastAsia="zh-CN"/>
        </w:rPr>
        <w:t>同类交易品种</w:t>
      </w:r>
    </w:p>
    <w:p w14:paraId="4E8B2B2E">
      <w:pPr>
        <w:numPr>
          <w:numId w:val="0"/>
        </w:numPr>
        <w:rPr>
          <w:rFonts w:hint="eastAsia"/>
          <w:lang w:val="en-US" w:eastAsia="zh-CN"/>
        </w:rPr>
      </w:pPr>
      <w:r>
        <w:rPr>
          <w:rFonts w:hint="eastAsia"/>
          <w:lang w:val="en-US" w:eastAsia="zh-CN"/>
        </w:rPr>
        <w:t>铁矿石、pb</w:t>
      </w:r>
    </w:p>
    <w:p w14:paraId="44C55080">
      <w:pPr>
        <w:numPr>
          <w:numId w:val="0"/>
        </w:numPr>
        <w:rPr>
          <w:rFonts w:hint="eastAsia"/>
          <w:lang w:val="en-US" w:eastAsia="zh-CN"/>
        </w:rPr>
      </w:pPr>
      <w:r>
        <w:rPr>
          <w:rFonts w:hint="eastAsia"/>
          <w:lang w:val="en-US" w:eastAsia="zh-CN"/>
        </w:rPr>
        <w:t>股指（需考虑分红月1、9）集运（交割差价计算）</w:t>
      </w:r>
    </w:p>
    <w:p w14:paraId="7518D487">
      <w:pPr>
        <w:numPr>
          <w:numId w:val="0"/>
        </w:numPr>
        <w:rPr>
          <w:rFonts w:hint="default"/>
          <w:lang w:val="en-US" w:eastAsia="zh-CN"/>
        </w:rPr>
      </w:pPr>
      <w:r>
        <w:rPr>
          <w:rFonts w:hint="eastAsia"/>
          <w:lang w:val="en-US" w:eastAsia="zh-CN"/>
        </w:rPr>
        <w:t>有色（需贴水稳定且月均差有一定carry）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242D97"/>
    <w:multiLevelType w:val="singleLevel"/>
    <w:tmpl w:val="98242D97"/>
    <w:lvl w:ilvl="0" w:tentative="0">
      <w:start w:val="1"/>
      <w:numFmt w:val="decimal"/>
      <w:suff w:val="nothing"/>
      <w:lvlText w:val="%1、"/>
      <w:lvlJc w:val="left"/>
    </w:lvl>
  </w:abstractNum>
  <w:abstractNum w:abstractNumId="1">
    <w:nsid w:val="A70433EC"/>
    <w:multiLevelType w:val="singleLevel"/>
    <w:tmpl w:val="A70433EC"/>
    <w:lvl w:ilvl="0" w:tentative="0">
      <w:start w:val="1"/>
      <w:numFmt w:val="decimal"/>
      <w:suff w:val="nothing"/>
      <w:lvlText w:val="%1）"/>
      <w:lvlJc w:val="left"/>
    </w:lvl>
  </w:abstractNum>
  <w:abstractNum w:abstractNumId="2">
    <w:nsid w:val="E8B93090"/>
    <w:multiLevelType w:val="singleLevel"/>
    <w:tmpl w:val="E8B93090"/>
    <w:lvl w:ilvl="0" w:tentative="0">
      <w:start w:val="1"/>
      <w:numFmt w:val="decimal"/>
      <w:suff w:val="nothing"/>
      <w:lvlText w:val="%1、"/>
      <w:lvlJc w:val="left"/>
    </w:lvl>
  </w:abstractNum>
  <w:abstractNum w:abstractNumId="3">
    <w:nsid w:val="1278F377"/>
    <w:multiLevelType w:val="singleLevel"/>
    <w:tmpl w:val="1278F377"/>
    <w:lvl w:ilvl="0" w:tentative="0">
      <w:start w:val="1"/>
      <w:numFmt w:val="decimal"/>
      <w:suff w:val="nothing"/>
      <w:lvlText w:val="%1、"/>
      <w:lvlJc w:val="left"/>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F3540E"/>
    <w:rsid w:val="2DF35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133</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2025-02-13T00:30:00Z</dcterms:created>
  <dc:creator>刘光博</dc:creator>
  <cp:lastModifiedBy>刘光博</cp:lastModifiedBy>
  <dcterms:modified xsi:type="dcterms:W3CDTF">2025-02-13T02:44:14Z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F6D89BF7B0FE440E8B3044F0869EF6F5_11</vt:lpwstr>
  </property>
  <property fmtid="{D5CDD505-2E9C-101B-9397-08002B2CF9AE}" pid="4" name="KSOTemplateDocerSaveRecord">
    <vt:lpwstr>eyJoZGlkIjoiYjA4Mjk1YjE0YTQxNzMxNGViMGI1NGU3MDEyODVjZDMiLCJ1c2VySWQiOiI1NDA5MTk3ODMifQ==</vt:lpwstr>
  </property>
</Properties>
</file>