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2B5C"/>
          <w:sz w:val="28"/>
        </w:rPr>
        <w:t>CENTRO UNIVERSITÁRIO INTERNACIONAL UNINTER</w:t>
        <w:br/>
      </w:r>
      <w:r>
        <w:rPr>
          <w:color w:val="6C757D"/>
          <w:sz w:val="22"/>
        </w:rPr>
        <w:t>CURSO SUPERIOR DE TECNOLOGIA EM ANÁLISE E DESENVOLVIMENTO DE SISTEMAS</w:t>
        <w:br/>
        <w:t>DISCIPLINA: DESENVOLVIMENTO WEB BACK-END</w:t>
        <w:br/>
        <w:t>ANO: 2026</w:t>
      </w:r>
    </w:p>
    <w:p>
      <w:r>
        <w:br/>
        <w:br/>
        <w:br/>
        <w:br/>
      </w:r>
    </w:p>
    <w:p>
      <w:pPr>
        <w:jc w:val="center"/>
      </w:pPr>
      <w:r>
        <w:rPr>
          <w:b/>
          <w:color w:val="0E2B5C"/>
          <w:sz w:val="44"/>
        </w:rPr>
        <w:t>RELATÓRIO DO TRABALHO ACADÊMICO</w:t>
        <w:br/>
      </w:r>
      <w:r>
        <w:rPr>
          <w:b/>
          <w:color w:val="D48A0E"/>
          <w:sz w:val="28"/>
        </w:rPr>
        <w:t>SISTEMA DE GESTÃO DE FRANQUIAS</w:t>
        <w:br/>
        <w:t>API REST EM C# E ASP.NET CORE COM ENTITY FRAMEWORK CORE</w:t>
      </w:r>
    </w:p>
    <w:p>
      <w:r>
        <w:br/>
        <w:br/>
        <w:br/>
        <w:br/>
        <w:br/>
        <w:br/>
      </w:r>
    </w:p>
    <w:p>
      <w:pPr>
        <w:spacing w:line="312" w:lineRule="auto"/>
        <w:jc w:val="right"/>
      </w:pPr>
      <w:r>
        <w:rPr>
          <w:b/>
          <w:color w:val="212529"/>
          <w:sz w:val="24"/>
        </w:rPr>
        <w:t>Estudante: WALLACE F G SILVA</w:t>
        <w:br/>
        <w:t>RU: 5146520</w:t>
        <w:br/>
        <w:t>Professor Orientador: Prof. Rodrigo da S. do Nascimento</w:t>
        <w:br/>
        <w:t>Ambiente: C# 12 / .NET 8.0 Web API / SQLite</w:t>
        <w:br/>
        <w:t>Data de Entrega: Setembro de 2026</w:t>
        <w:br/>
      </w:r>
    </w:p>
    <w:p>
      <w:r>
        <w:br w:type="page"/>
      </w:r>
    </w:p>
    <w:p>
      <w:pPr>
        <w:spacing w:before="360" w:after="120"/>
      </w:pPr>
      <w:r>
        <w:rPr>
          <w:b/>
          <w:color w:val="0E2B5C"/>
          <w:sz w:val="30"/>
        </w:rPr>
        <w:t>1. Introdução e Descrição do Problema</w:t>
      </w:r>
    </w:p>
    <w:p>
      <w:pPr>
        <w:spacing w:line="276" w:lineRule="auto" w:after="120"/>
      </w:pPr>
      <w:r>
        <w:rPr>
          <w:color w:val="212529"/>
          <w:sz w:val="21"/>
        </w:rPr>
        <w:t>No modelo empresarial de franchising, a integridade operacional e a padronização de rotinas entre a franqueadora (matriz) e suas unidades franqueadas constituem o alicerce para a expansão sustentável da marca. Contudo, na ausência de uma plataforma digital centralizada, as franquias frequentemente operam de forma isolada, gerando dispersão de informações em planilhas eletrônicas, lentidão na comunicação e ausência de conciliação fiscal e financeira.</w:t>
      </w:r>
    </w:p>
    <w:p>
      <w:pPr>
        <w:spacing w:line="276" w:lineRule="auto" w:after="120"/>
      </w:pPr>
      <w:r>
        <w:rPr>
          <w:color w:val="212529"/>
          <w:sz w:val="21"/>
        </w:rPr>
        <w:t>Para solucionar este desafio corporativo, o presente trabalho acadêmico apresenta o desenvolvimento de uma API REST completa em C# com ASP.NET Core Web API e Entity Framework Core. A solução centraliza o cadastro das unidades e seus respectivos responsáveis, mantém o catálogo padronizado de produtos e serviços, rastreia fornecedores homologados, monitora estoques em tempo real impedindo saldos negativos, orquestra as vendas em balcão com baixa atômica, calcula automaticamente os royalties devidos por competência e fornece indicadores gerenciais detalhados para tomada de decisão estratégica pela diretoria da rede.</w:t>
      </w:r>
    </w:p>
    <w:p>
      <w:pPr>
        <w:spacing w:before="360" w:after="120"/>
      </w:pPr>
      <w:r>
        <w:rPr>
          <w:b/>
          <w:color w:val="0E2B5C"/>
          <w:sz w:val="30"/>
        </w:rPr>
        <w:t>2. Arquitetura e Organização do Projeto</w:t>
      </w:r>
    </w:p>
    <w:p>
      <w:pPr>
        <w:spacing w:line="276" w:lineRule="auto" w:after="120"/>
      </w:pPr>
      <w:r>
        <w:rPr>
          <w:color w:val="212529"/>
          <w:sz w:val="21"/>
        </w:rPr>
        <w:t>O sistema adota uma arquitetura em camadas orientada a objetos, fundamentada no princípio da responsabilidade única (SRP) e inversão de controle (IoC) nativa do .NET 8:</w:t>
      </w:r>
    </w:p>
    <w:p>
      <w:pPr>
        <w:pStyle w:val="ListBullet"/>
        <w:spacing w:after="60"/>
      </w:pPr>
      <w:r>
        <w:rPr>
          <w:b/>
          <w:color w:val="0E2B5C"/>
        </w:rPr>
        <w:t xml:space="preserve">Controllers (Franquias.Api/Controllers): </w:t>
      </w:r>
      <w:r>
        <w:rPr>
          <w:color w:val="212529"/>
        </w:rPr>
        <w:t>Exposição dos endpoints RESTful, validação de payload, autenticação e documentação OpenAPI/Swagger.</w:t>
      </w:r>
    </w:p>
    <w:p>
      <w:pPr>
        <w:pStyle w:val="ListBullet"/>
        <w:spacing w:after="60"/>
      </w:pPr>
      <w:r>
        <w:rPr>
          <w:b/>
          <w:color w:val="0E2B5C"/>
        </w:rPr>
        <w:t xml:space="preserve">Services (Franquias.Api/Services): </w:t>
      </w:r>
      <w:r>
        <w:rPr>
          <w:color w:val="212529"/>
        </w:rPr>
        <w:t>Camada de domínio e regras de negócio corporativas (cálculo de royalties, validação de unidades inativas, controle transacional de vendas e bloqueio de estoque negativo).</w:t>
      </w:r>
    </w:p>
    <w:p>
      <w:pPr>
        <w:pStyle w:val="ListBullet"/>
        <w:spacing w:after="60"/>
      </w:pPr>
      <w:r>
        <w:rPr>
          <w:b/>
          <w:color w:val="0E2B5C"/>
        </w:rPr>
        <w:t xml:space="preserve">Repositories (Franquias.Api/Repositories): </w:t>
      </w:r>
      <w:r>
        <w:rPr>
          <w:color w:val="212529"/>
        </w:rPr>
        <w:t>Abstração de acesso a dados (Repository Pattern) utilizando LINQ otimizado e Entity Framework Core.</w:t>
      </w:r>
    </w:p>
    <w:p>
      <w:pPr>
        <w:pStyle w:val="ListBullet"/>
        <w:spacing w:after="60"/>
      </w:pPr>
      <w:r>
        <w:rPr>
          <w:b/>
          <w:color w:val="0E2B5C"/>
        </w:rPr>
        <w:t xml:space="preserve">Data &amp; Migrations (Franquias.Api/Data): </w:t>
      </w:r>
      <w:r>
        <w:rPr>
          <w:color w:val="212529"/>
        </w:rPr>
        <w:t>Mapeamento relacional via Fluent API no AppDbContext, histórico de Migrations e classe DbInitializer para seed completo.</w:t>
      </w:r>
    </w:p>
    <w:p>
      <w:pPr>
        <w:pStyle w:val="ListBullet"/>
        <w:spacing w:after="60"/>
      </w:pPr>
      <w:r>
        <w:rPr>
          <w:b/>
          <w:color w:val="0E2B5C"/>
        </w:rPr>
        <w:t xml:space="preserve">DTOs (Franquias.Api/DTOs): </w:t>
      </w:r>
      <w:r>
        <w:rPr>
          <w:color w:val="212529"/>
        </w:rPr>
        <w:t>Objetos de transferência que blindam o modelo interno e evitam a exposição de dados sensíveis.</w:t>
      </w:r>
    </w:p>
    <w:p>
      <w:pPr>
        <w:pStyle w:val="ListBullet"/>
        <w:spacing w:after="60"/>
      </w:pPr>
      <w:r>
        <w:rPr>
          <w:b/>
          <w:color w:val="0E2B5C"/>
        </w:rPr>
        <w:t xml:space="preserve">Configurations (Franquias.Api/Configurations): </w:t>
      </w:r>
      <w:r>
        <w:rPr>
          <w:color w:val="212529"/>
        </w:rPr>
        <w:t>Injeção de dependência modular, autenticação JWT Bearer e Middleware global para captura e padronização de exceções HTTP.</w:t>
      </w:r>
    </w:p>
    <w:p>
      <w:pPr>
        <w:spacing w:before="360" w:after="120"/>
      </w:pPr>
      <w:r>
        <w:rPr>
          <w:b/>
          <w:color w:val="0E2B5C"/>
          <w:sz w:val="30"/>
        </w:rPr>
        <w:t>3. Modelagem Relacional do Banco de Dados</w:t>
      </w:r>
    </w:p>
    <w:p>
      <w:pPr>
        <w:spacing w:line="276" w:lineRule="auto" w:after="120"/>
      </w:pPr>
      <w:r>
        <w:rPr>
          <w:color w:val="212529"/>
          <w:sz w:val="21"/>
        </w:rPr>
        <w:t>O modelo relacional foi estruturado para refletir a totalidade das operações da franquia. Foi adotado o SQLite com Entity Framework Core, garantindo conformidade com transações ACID, integridade referencial, chaves primárias e índices únicos, além de permitir a portabilidade total da aplicação sem exigir a instalação de instâncias externas de banco pelo professor avaliador.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E2B5C"/>
          </w:tcPr>
          <w:p>
            <w:r>
              <w:rPr>
                <w:b/>
                <w:color w:val="FFFFFF"/>
              </w:rPr>
              <w:t>Tabela / Entidade</w:t>
            </w:r>
          </w:p>
        </w:tc>
        <w:tc>
          <w:tcPr>
            <w:tcW w:type="dxa" w:w="3120"/>
            <w:shd w:fill="0E2B5C"/>
          </w:tcPr>
          <w:p>
            <w:r>
              <w:rPr>
                <w:b/>
                <w:color w:val="FFFFFF"/>
              </w:rPr>
              <w:t>Chaves e Índices</w:t>
            </w:r>
          </w:p>
        </w:tc>
        <w:tc>
          <w:tcPr>
            <w:tcW w:type="dxa" w:w="3120"/>
            <w:shd w:fill="0E2B5C"/>
          </w:tcPr>
          <w:p>
            <w:r>
              <w:rPr>
                <w:b/>
                <w:color w:val="FFFFFF"/>
              </w:rPr>
              <w:t>Papel no Sistema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Franqueadoras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Unique: CNPJ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Dados da matriz da rede e percentual padrão de royalties.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Responsaveis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Dados cadastrais e contato dos franqueados responsáveis legais.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Unidades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FranqueadoraId, ResponsavelId | Unique: CNPJ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Lojas físicas, endereços, situação (Ativa/Inativa) e alíquota de royalty.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Usuarios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UnidadeId | Unique: Email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Operadores, Gestores e Administradores com perfis e senha com hash BCrypt.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Categorias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Categorização dos produtos e serviços padronizados.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Fornecedores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Unique: CNPJ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Fornecedores homologados pela rede.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Produtos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CategoriaId, FornecedorId | Unique: CodigoSKU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Catálogo padrão de mercadorias e serviços com preço base e estoque mínimo.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Estoques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UnidadeId, ProdutoId | Unique: (UnidadeId, ProdutoId)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Saldo físico disponível por produto em cada unidade franqueada.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MovimentacoesEstoque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UnidadeId, ProdutoId, UsuarioId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Histórico de auditoria de todas as entradas, saídas e ajustes de saldo.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Vendas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UnidadeId, UsuarioId | Unique: CodigoVenda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Registro transacional do cupom de venda com total consolidado.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ItensVenda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VendaId, ProdutoId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Itens comercializados com snapshot de preço unitário e subtotal.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Royalties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UnidadeId | Unique: (UnidadeId, Mes, Ano)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Apuração financeira de royalties sobre faturamento bruto do período.</w:t>
            </w:r>
          </w:p>
        </w:tc>
      </w:tr>
      <w:tr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Chamados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PK: Id | FK: UnidadeId, UsuarioAberturaId</w:t>
            </w:r>
          </w:p>
        </w:tc>
        <w:tc>
          <w:tcPr>
            <w:tcW w:type="dxa" w:w="31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8"/>
              </w:rPr>
              <w:t>Solicitações de suporte operacional e técnico entre franquia e matriz.</w:t>
            </w:r>
          </w:p>
        </w:tc>
      </w:tr>
    </w:tbl>
    <w:p/>
    <w:p>
      <w:pPr>
        <w:spacing w:before="360" w:after="120"/>
      </w:pPr>
      <w:r>
        <w:rPr>
          <w:b/>
          <w:color w:val="0E2B5C"/>
          <w:sz w:val="30"/>
        </w:rPr>
        <w:t>4. Principais Regras de Negócio Implementadas</w:t>
      </w:r>
    </w:p>
    <w:p>
      <w:pPr>
        <w:pStyle w:val="ListBullet"/>
        <w:spacing w:after="80"/>
      </w:pPr>
      <w:r>
        <w:rPr>
          <w:b/>
          <w:color w:val="0E2B5C"/>
        </w:rPr>
        <w:t xml:space="preserve">1. Unicidade de CNPJ de Unidades: </w:t>
      </w:r>
      <w:r>
        <w:rPr>
          <w:color w:val="212529"/>
        </w:rPr>
        <w:t>O sistema valida tanto em memória quanto no banco relacional (Index Unique) a unicidade de CNPJs de unidades e fornecedores, impedindo cadastros duplicados com retorno HTTP 400 Bad Request.</w:t>
      </w:r>
    </w:p>
    <w:p>
      <w:pPr>
        <w:pStyle w:val="ListBullet"/>
        <w:spacing w:after="80"/>
      </w:pPr>
      <w:r>
        <w:rPr>
          <w:b/>
          <w:color w:val="0E2B5C"/>
        </w:rPr>
        <w:t xml:space="preserve">2. Bloqueio de Operações em Unidades Inativas: </w:t>
      </w:r>
      <w:r>
        <w:rPr>
          <w:color w:val="212529"/>
        </w:rPr>
        <w:t>Unidades franqueadas que estejam com situação Inativa têm seu acesso bloqueado para emissão de vendas (retorno HTTP 400 descritivo).</w:t>
      </w:r>
    </w:p>
    <w:p>
      <w:pPr>
        <w:pStyle w:val="ListBullet"/>
        <w:spacing w:after="80"/>
      </w:pPr>
      <w:r>
        <w:rPr>
          <w:b/>
          <w:color w:val="0E2B5C"/>
        </w:rPr>
        <w:t xml:space="preserve">3. Impedimento Estrito de Saldo Negativo de Estoque: </w:t>
      </w:r>
      <w:r>
        <w:rPr>
          <w:color w:val="212529"/>
        </w:rPr>
        <w:t>Nenhuma movimentação de saída manual ou conclusão de venda pode deixar o saldo de estoque inferior a zero. Caso a quantidade demandada supere a disponível, a operação é interrompida.</w:t>
      </w:r>
    </w:p>
    <w:p>
      <w:pPr>
        <w:pStyle w:val="ListBullet"/>
        <w:spacing w:after="80"/>
      </w:pPr>
      <w:r>
        <w:rPr>
          <w:b/>
          <w:color w:val="0E2B5C"/>
        </w:rPr>
        <w:t xml:space="preserve">4. Transação Atômica de Venda com Baixa de Estoque: </w:t>
      </w:r>
      <w:r>
        <w:rPr>
          <w:color w:val="212529"/>
        </w:rPr>
        <w:t>Ao registrar uma venda, o sistema abre uma transação via EF Core que persiste o cupom da venda, registra os itens e debita simultaneamente os saldos de estoque correspondentes.</w:t>
      </w:r>
    </w:p>
    <w:p>
      <w:pPr>
        <w:pStyle w:val="ListBullet"/>
        <w:spacing w:after="80"/>
      </w:pPr>
      <w:r>
        <w:rPr>
          <w:b/>
          <w:color w:val="0E2B5C"/>
        </w:rPr>
        <w:t xml:space="preserve">5. Cálculo e Apuração Dinâmica de Royalties: </w:t>
      </w:r>
      <w:r>
        <w:rPr>
          <w:color w:val="212529"/>
        </w:rPr>
        <w:t>A rotina de apuração consolida todas as vendas com status Concluída dentro do mês e ano informados e aplica a alíquota contratual da unidade franqueada, registrando a data de vencimento para o dia 10 do mês subsequente.</w:t>
      </w:r>
    </w:p>
    <w:p>
      <w:pPr>
        <w:pStyle w:val="ListBullet"/>
        <w:spacing w:after="80"/>
      </w:pPr>
      <w:r>
        <w:rPr>
          <w:b/>
          <w:color w:val="0E2B5C"/>
        </w:rPr>
        <w:t xml:space="preserve">6. Autenticação e Perfis de Acesso (RBAC): </w:t>
      </w:r>
      <w:r>
        <w:rPr>
          <w:color w:val="212529"/>
        </w:rPr>
        <w:t>Usuários autenticam-se com token JWT com validade de 8 horas. Endpoints críticos são protegidos por perfis: AdminFranqueadora (acesso amplo), GestorUnidade (gestão da sua unidade) e Operador (rotinas de PDV).</w:t>
      </w:r>
    </w:p>
    <w:p>
      <w:pPr>
        <w:pStyle w:val="ListBullet"/>
        <w:spacing w:after="80"/>
      </w:pPr>
      <w:r>
        <w:rPr>
          <w:b/>
          <w:color w:val="0E2B5C"/>
        </w:rPr>
        <w:t xml:space="preserve">7. Tratamento Centralizado de Exceções: </w:t>
      </w:r>
      <w:r>
        <w:rPr>
          <w:color w:val="212529"/>
        </w:rPr>
        <w:t>O ExceptionHandlingMiddleware captura erros não tratados e formata retornos padronizados com os status HTTP adequados (400, 401, 403, 404 e 500).</w:t>
      </w:r>
    </w:p>
    <w:p>
      <w:pPr>
        <w:spacing w:before="360" w:after="120"/>
      </w:pPr>
      <w:r>
        <w:rPr>
          <w:b/>
          <w:color w:val="0E2B5C"/>
          <w:sz w:val="30"/>
        </w:rPr>
        <w:t>5. Evidências de Execução dos Principais Endpoints</w:t>
      </w:r>
    </w:p>
    <w:p>
      <w:pPr>
        <w:spacing w:line="276" w:lineRule="auto" w:after="120"/>
      </w:pPr>
      <w:r>
        <w:rPr>
          <w:color w:val="212529"/>
          <w:sz w:val="21"/>
        </w:rPr>
        <w:t>A seguir são apresentadas as evidências reais de execução dos testes automatizados efetuados na API, demonstrando o comportamento correto de cada funcionalidade e regra de negócio exigida:</w:t>
      </w:r>
    </w:p>
    <w:p>
      <w:pPr>
        <w:spacing w:before="240" w:after="80"/>
      </w:pPr>
      <w:r>
        <w:rPr>
          <w:b/>
          <w:color w:val="D48A0E"/>
          <w:sz w:val="24"/>
        </w:rPr>
        <w:t>Evidência 1: Autenticação com Emissão de Token JWT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POST /api/auth/login</w:t>
              <w:br/>
              <w:t>Request: {"email": "admin@franquias.com.br", "senha": "Admin@123"}</w:t>
              <w:br/>
              <w:br/>
              <w:t>Response HTTP 200 OK:</w:t>
              <w:br/>
              <w:t>{</w:t>
              <w:br/>
              <w:t xml:space="preserve">  "token": "eyJhbGciOiJIUzI1NiIsInR5cCI6IkpXVCJ9...",</w:t>
              <w:br/>
              <w:t xml:space="preserve">  "expiracao": "2026-09-14T14:47:18Z",</w:t>
              <w:br/>
              <w:t xml:space="preserve">  "usuario": {</w:t>
              <w:br/>
              <w:t xml:space="preserve">    "id": 1,</w:t>
              <w:br/>
              <w:t xml:space="preserve">    "nome": "Wallace Silva (Administrador)",</w:t>
              <w:br/>
              <w:t xml:space="preserve">    "email": "admin@franquias.com.br",</w:t>
              <w:br/>
              <w:t xml:space="preserve">    "perfil": "AdminFranqueadora",</w:t>
              <w:br/>
              <w:t xml:space="preserve">    "ativo": true</w:t>
              <w:br/>
              <w:t xml:space="preserve">  }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color w:val="D48A0E"/>
          <w:sz w:val="24"/>
        </w:rPr>
        <w:t>Evidência 2: Bloqueio de Unidade com CNPJ Duplicado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POST /api/unidades</w:t>
              <w:br/>
              <w:t>Payload com CNPJ já existente: 23.456.789/0001-01</w:t>
              <w:br/>
              <w:br/>
              <w:t>Response HTTP 400 Bad Request:</w:t>
              <w:br/>
              <w:t>{</w:t>
              <w:br/>
              <w:t xml:space="preserve">  "sucesso": false,</w:t>
              <w:br/>
              <w:t xml:space="preserve">  "codigoStatus": 400,</w:t>
              <w:br/>
              <w:t xml:space="preserve">  "mensagem": "Já existe uma unidade franqueada cadastrada com o CNPJ '23.456.789/0001-01'.",</w:t>
              <w:br/>
              <w:t xml:space="preserve">  "dataHora": "2026-09-14T06:47:20Z"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color w:val="D48A0E"/>
          <w:sz w:val="24"/>
        </w:rPr>
        <w:t>Evidência 3: Bloqueio de Venda para Unidade Inativa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POST /api/vendas</w:t>
              <w:br/>
              <w:t>Tentativa de registrar venda para a Unidade Barra RJ (Id 3, Situacao = Inativa)</w:t>
              <w:br/>
              <w:br/>
              <w:t>Response HTTP 400 Bad Request:</w:t>
              <w:br/>
              <w:t>{</w:t>
              <w:br/>
              <w:t xml:space="preserve">  "sucesso": false,</w:t>
              <w:br/>
              <w:t xml:space="preserve">  "codigoStatus": 400,</w:t>
              <w:br/>
              <w:t xml:space="preserve">  "mensagem": "Não é permitido registrar vendas para a unidade 'Café Gourmet - Unidade Barra RJ' pois ela se encontra INATIVA.",</w:t>
              <w:br/>
              <w:t xml:space="preserve">  "dataHora": "2026-09-14T06:47:21Z"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color w:val="D48A0E"/>
          <w:sz w:val="24"/>
        </w:rPr>
        <w:t>Evidência 4: Bloqueio de Movimentação que Resulte em Saldo Negativo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POST /api/estoques/movimentar</w:t>
              <w:br/>
              <w:t>Tentativa de SaidaVenda de 99.999 unidades do Café Espresso Blend</w:t>
              <w:br/>
              <w:br/>
              <w:t>Response HTTP 400 Bad Request:</w:t>
              <w:br/>
              <w:t>{</w:t>
              <w:br/>
              <w:t xml:space="preserve">  "sucesso": false,</w:t>
              <w:br/>
              <w:t xml:space="preserve">  "codigoStatus": 400,</w:t>
              <w:br/>
              <w:t xml:space="preserve">  "mensagem": "Operação não permitida. O estoque do produto 'Café Espresso Blend Nobre 250g' na unidade 'Café Gourmet - Unidade Moema SP' não pode ficar negativo. Saldo disponível: 50, Quantidade solicitada: 99999.",</w:t>
              <w:br/>
              <w:t xml:space="preserve">  "dataHora": "2026-09-14T06:47:21Z"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color w:val="D48A0E"/>
          <w:sz w:val="24"/>
        </w:rPr>
        <w:t>Evidência 5: Registro de Venda Válida com Atualização de Estoque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POST /api/vendas</w:t>
              <w:br/>
              <w:t>Payload com 2 cafés blend (R$ 38,50 cada) e 1 croissant (R$ 15,00)</w:t>
              <w:br/>
              <w:br/>
              <w:t>Response HTTP 201 Created:</w:t>
              <w:br/>
              <w:t>{</w:t>
              <w:br/>
              <w:t xml:space="preserve">  "id": 4,</w:t>
              <w:br/>
              <w:t xml:space="preserve">  "codigoVenda": "VND-20260914-4BD8EE",</w:t>
              <w:br/>
              <w:t xml:space="preserve">  "unidadeNome": "Café Gourmet - Unidade Moema SP",</w:t>
              <w:br/>
              <w:t xml:space="preserve">  "usuarioNome": "Lucas Santos (Operador SP)",</w:t>
              <w:br/>
              <w:t xml:space="preserve">  "valorTotal": 92.00,</w:t>
              <w:br/>
              <w:t xml:space="preserve">  "status": "Concluida",</w:t>
              <w:br/>
              <w:t xml:space="preserve">  "itens": [</w:t>
              <w:br/>
              <w:t xml:space="preserve">    { "produtoNome": "Café Espresso Blend Nobre 250g", "quantidade": 2, "subtotal": 77.00 },</w:t>
              <w:br/>
              <w:t xml:space="preserve">    { "produtoNome": "Croissant Francês Folhado Tradicional", "quantidade": 1, "subtotal": 15.00 }</w:t>
              <w:br/>
              <w:t xml:space="preserve">  ]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color w:val="D48A0E"/>
          <w:sz w:val="24"/>
        </w:rPr>
        <w:t>Evidência 6: Apuração de Royalties sobre o Faturamento da Unidade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POST /api/royalties/apurar</w:t>
              <w:br/>
              <w:t>Request: { "unidadeId": 1, "mesReferencia": 9, "anoReferencia": 2026 }</w:t>
              <w:br/>
              <w:br/>
              <w:t>Response HTTP 200 OK:</w:t>
              <w:br/>
              <w:t>{</w:t>
              <w:br/>
              <w:t xml:space="preserve">  "id": 3,</w:t>
              <w:br/>
              <w:t xml:space="preserve">  "unidadeNome": "Café Gourmet - Unidade Moema SP",</w:t>
              <w:br/>
              <w:t xml:space="preserve">  "mesReferencia": 9,</w:t>
              <w:br/>
              <w:t xml:space="preserve">  "anoReferencia": 2026,</w:t>
              <w:br/>
              <w:t xml:space="preserve">  "faturamentoBase": 624.00,</w:t>
              <w:br/>
              <w:t xml:space="preserve">  "percentualCobrado": 5.0,</w:t>
              <w:br/>
              <w:t xml:space="preserve">  "valorRoyalty": 31.20,</w:t>
              <w:br/>
              <w:t xml:space="preserve">  "status": "Pendente",</w:t>
              <w:br/>
              <w:t xml:space="preserve">  "dataVencimento": "2026-10-10T00:00:00Z"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color w:val="D48A0E"/>
          <w:sz w:val="24"/>
        </w:rPr>
        <w:t>Evidência 7: Indicadores Gerenciais e Ranking de Unidades por Faturamento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GET /api/relatorios/ranking-unidades</w:t>
              <w:br/>
              <w:br/>
              <w:t>Response HTTP 200 OK:</w:t>
              <w:br/>
              <w:t>[</w:t>
              <w:br/>
              <w:t xml:space="preserve">  {</w:t>
              <w:br/>
              <w:t xml:space="preserve">    "posicao": 1,</w:t>
              <w:br/>
              <w:t xml:space="preserve">    "codigoUnidade": "FRANQ-SP01",</w:t>
              <w:br/>
              <w:t xml:space="preserve">    "nomeUnidade": "Café Gourmet - Unidade Moema SP",</w:t>
              <w:br/>
              <w:t xml:space="preserve">    "cidade": "São Paulo",</w:t>
              <w:br/>
              <w:t xml:space="preserve">    "totalVendas": 4,</w:t>
              <w:br/>
              <w:t xml:space="preserve">    "totalFaturado": 624.00</w:t>
              <w:br/>
              <w:t xml:space="preserve">  },</w:t>
              <w:br/>
              <w:t xml:space="preserve">  {</w:t>
              <w:br/>
              <w:t xml:space="preserve">    "posicao": 2,</w:t>
              <w:br/>
              <w:t xml:space="preserve">    "codigoUnidade": "FRANQ-PR01",</w:t>
              <w:br/>
              <w:t xml:space="preserve">    "nomeUnidade": "Café Gourmet - Unidade Batel Curitiba",</w:t>
              <w:br/>
              <w:t xml:space="preserve">    "cidade": "Curitiba",</w:t>
              <w:br/>
              <w:t xml:space="preserve">    "totalVendas": 1,</w:t>
              <w:br/>
              <w:t xml:space="preserve">    "totalFaturado": 115.50</w:t>
              <w:br/>
              <w:t xml:space="preserve">  }</w:t>
              <w:br/>
              <w:t>]</w:t>
            </w:r>
          </w:p>
        </w:tc>
      </w:tr>
    </w:tbl>
    <w:p/>
    <w:p>
      <w:pPr>
        <w:spacing w:before="360" w:after="120"/>
      </w:pPr>
      <w:r>
        <w:rPr>
          <w:b/>
          <w:color w:val="0E2B5C"/>
          <w:sz w:val="30"/>
        </w:rPr>
        <w:t>6. Análise Crítica do Desenvolvimento</w:t>
      </w:r>
    </w:p>
    <w:p>
      <w:pPr>
        <w:spacing w:before="240" w:after="80"/>
      </w:pPr>
      <w:r>
        <w:rPr>
          <w:b/>
          <w:color w:val="D48A0E"/>
          <w:sz w:val="24"/>
        </w:rPr>
        <w:t>6.1 Funcionalidades Implementadas e Destaques Técnicos</w:t>
      </w:r>
    </w:p>
    <w:p>
      <w:pPr>
        <w:spacing w:line="276" w:lineRule="auto" w:after="120"/>
      </w:pPr>
      <w:r>
        <w:rPr>
          <w:color w:val="212529"/>
          <w:sz w:val="21"/>
        </w:rPr>
        <w:t>Foram desenvolvidos com sucesso todos os 9 módulos funcionais exigidos na especificação: Autenticação JWT, Cadastro de Franqueadora e Unidades com validação de CNPJ, Catálogo de Produtos e Categorias, Controle de Fornecedores, Saldo e Movimentações de Estoque, Emissão de Vendas com integridade atômica, Apuração e Liquidação de Royalties, Abertura e Resolução de Chamados de Suporte, e Indicadores Analíticos com LINQ.</w:t>
      </w:r>
    </w:p>
    <w:p>
      <w:pPr>
        <w:spacing w:before="240" w:after="80"/>
      </w:pPr>
      <w:r>
        <w:rPr>
          <w:b/>
          <w:color w:val="D48A0E"/>
          <w:sz w:val="24"/>
        </w:rPr>
        <w:t>6.2 Decisões Técnicas e Desafios Superados</w:t>
      </w:r>
    </w:p>
    <w:p>
      <w:pPr>
        <w:spacing w:line="276" w:lineRule="auto" w:after="120"/>
      </w:pPr>
      <w:r>
        <w:rPr>
          <w:color w:val="212529"/>
          <w:sz w:val="21"/>
        </w:rPr>
        <w:t>A decisão de utilizar o SQLite como banco relacional provou-se extremamente acertada para o contexto acadêmico, pois garante uma avaliação limpa e imediata pelo professor sem atritos de dependência de contêineres Docker ou serviços locais de terceiros. Durante a implementação dos relatórios gerenciais, superou-se a limitação do provider SQLite com o operador de agregação Sum em campos de ponto fixo (decimal), aplicando-se projeções otimizadas de colunas seguidas de cálculo em memória com LINQ to Objects.</w:t>
      </w:r>
    </w:p>
    <w:p>
      <w:pPr>
        <w:spacing w:before="240" w:after="80"/>
      </w:pPr>
      <w:r>
        <w:rPr>
          <w:b/>
          <w:color w:val="D48A0E"/>
          <w:sz w:val="24"/>
        </w:rPr>
        <w:t>6.3 Limitações e Propostas de Evolução</w:t>
      </w:r>
    </w:p>
    <w:p>
      <w:pPr>
        <w:spacing w:line="276" w:lineRule="auto" w:after="120"/>
      </w:pPr>
      <w:r>
        <w:rPr>
          <w:color w:val="212529"/>
          <w:sz w:val="21"/>
        </w:rPr>
        <w:t>Como melhorias planejadas para versões futuras da plataforma corporativa, destacam-se: implementação de mensageria assíncrona (RabbitMQ ou Azure Service Bus) para notificação imediata de estoques críticos e chamados abertos aos gestores da franqueadora, e a integração de um gateway de pagamentos para geração automática de QR Codes PIX e boletos bancários nos lançamentos de royalties.</w:t>
      </w:r>
    </w:p>
    <w:p>
      <w:pPr>
        <w:spacing w:before="360" w:after="120"/>
      </w:pPr>
      <w:r>
        <w:rPr>
          <w:b/>
          <w:color w:val="0E2B5C"/>
          <w:sz w:val="30"/>
        </w:rPr>
        <w:t>7. Conclusão e Dados de Acesso para Avaliação</w:t>
      </w:r>
    </w:p>
    <w:p>
      <w:pPr>
        <w:spacing w:line="276" w:lineRule="auto" w:after="120"/>
      </w:pPr>
      <w:r>
        <w:rPr>
          <w:color w:val="212529"/>
          <w:sz w:val="21"/>
        </w:rPr>
        <w:t>O projeto cumpre com rigor os requisitos acadêmicos da UNINTER, apresentando uma API REST corporativa moderna, fortemente tipada, segura, testada e completamente documentada via Swagger/OpenAPI.</w:t>
      </w:r>
    </w:p>
    <w:p>
      <w:pPr>
        <w:spacing w:before="240" w:after="80"/>
      </w:pPr>
      <w:r>
        <w:rPr>
          <w:b/>
          <w:color w:val="D48A0E"/>
          <w:sz w:val="24"/>
        </w:rPr>
        <w:t>Resumo dos Usuários Pré-Cadastrados para Teste: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E2B5C"/>
          </w:tcPr>
          <w:p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2340"/>
            <w:shd w:fill="0E2B5C"/>
          </w:tcPr>
          <w:p>
            <w:r>
              <w:rPr>
                <w:b/>
                <w:color w:val="FFFFFF"/>
              </w:rPr>
              <w:t>E-mail</w:t>
            </w:r>
          </w:p>
        </w:tc>
        <w:tc>
          <w:tcPr>
            <w:tcW w:type="dxa" w:w="2340"/>
            <w:shd w:fill="0E2B5C"/>
          </w:tcPr>
          <w:p>
            <w:r>
              <w:rPr>
                <w:b/>
                <w:color w:val="FFFFFF"/>
              </w:rPr>
              <w:t>Senha</w:t>
            </w:r>
          </w:p>
        </w:tc>
        <w:tc>
          <w:tcPr>
            <w:tcW w:type="dxa" w:w="2340"/>
            <w:shd w:fill="0E2B5C"/>
          </w:tcPr>
          <w:p>
            <w:r>
              <w:rPr>
                <w:b/>
                <w:color w:val="FFFFFF"/>
              </w:rPr>
              <w:t>Escopo</w:t>
            </w:r>
          </w:p>
        </w:tc>
      </w:tr>
      <w:tr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AdminFranqueadora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admin@franquias.com.br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Admin@123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Acesso irrestrito a toda a rede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GestorUnidade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gestor.sp@franquias.com.br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Gestor@123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Unidade Moema SP</w:t>
            </w:r>
          </w:p>
        </w:tc>
      </w:tr>
      <w:tr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Operador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operador.sp@franquias.com.br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Operador@123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PDV Unidade Moema SP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GestorUnidade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gestor.pr@franquias.com.br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Gestor@123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Unidade Batel Curitiba</w:t>
            </w:r>
          </w:p>
        </w:tc>
      </w:tr>
      <w:tr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Operador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operador.pr@franquias.com.br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Operador@123</w:t>
            </w:r>
          </w:p>
        </w:tc>
        <w:tc>
          <w:tcPr>
            <w:tcW w:type="dxa" w:w="23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sz w:val="19"/>
              </w:rPr>
              <w:t>PDV Unidade Curitiba</w:t>
            </w:r>
          </w:p>
        </w:tc>
      </w:tr>
    </w:tbl>
    <w:p/>
    <w:p>
      <w:pPr>
        <w:jc w:val="center"/>
      </w:pPr>
      <w:r>
        <w:rPr>
          <w:b/>
          <w:color w:val="6C757D"/>
          <w:sz w:val="20"/>
        </w:rPr>
        <w:t>Trabalho Acadêmico — WALLACE F G SILVA (RU: 5146520) — UNINTER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