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pStyle w:val="Title"/>
      </w:pPr>
      <w:r>
        <w:rPr>
          <w:rFonts w:ascii="Times New Roman" w:hAnsi="Times New Roman" w:eastAsia="黑体"/>
          <w:b/>
          <w:color w:val="000000"/>
          <w:sz w:val="36"/>
        </w:rPr>
        <w:t>DWX 决策工作台</w:t>
      </w:r>
    </w:p>
    <w:p>
      <w:pPr>
        <w:spacing w:before="160" w:after="160"/>
        <w:jc w:val="center"/>
      </w:pPr>
      <w:r>
        <w:rPr>
          <w:rFonts w:ascii="Times New Roman" w:hAnsi="Times New Roman" w:eastAsia="楷体"/>
          <w:color w:val="000000"/>
          <w:sz w:val="24"/>
        </w:rPr>
        <w:t>Decision Workbench X</w:t>
      </w:r>
    </w:p>
    <w:p>
      <w:pPr>
        <w:pStyle w:val="Subtitle"/>
        <w:jc w:val="center"/>
      </w:pPr>
      <w:r>
        <w:rPr>
          <w:rFonts w:ascii="Times New Roman" w:hAnsi="Times New Roman" w:eastAsia="楷体"/>
          <w:color w:val="000000"/>
          <w:sz w:val="24"/>
        </w:rPr>
        <w:t>用户操作手册</w:t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before="40" w:after="40" w:line="360" w:lineRule="auto"/>
        <w:jc w:val="center"/>
      </w:pPr>
      <w:r>
        <w:rPr>
          <w:rFonts w:ascii="Times New Roman" w:hAnsi="Times New Roman" w:eastAsia="宋体"/>
          <w:b/>
          <w:color w:val="000000"/>
          <w:sz w:val="24"/>
        </w:rPr>
        <w:t>文档版本：</w:t>
      </w:r>
      <w:r>
        <w:rPr>
          <w:rFonts w:ascii="Times New Roman" w:hAnsi="Times New Roman" w:eastAsia="宋体"/>
          <w:color w:val="000000"/>
          <w:sz w:val="24"/>
        </w:rPr>
        <w:t>V1.0</w:t>
      </w:r>
    </w:p>
    <w:p>
      <w:pPr>
        <w:spacing w:before="40" w:after="40" w:line="360" w:lineRule="auto"/>
        <w:jc w:val="center"/>
      </w:pPr>
      <w:r>
        <w:rPr>
          <w:rFonts w:ascii="Times New Roman" w:hAnsi="Times New Roman" w:eastAsia="宋体"/>
          <w:b/>
          <w:color w:val="000000"/>
          <w:sz w:val="24"/>
        </w:rPr>
        <w:t>编制日期：</w:t>
      </w:r>
      <w:r>
        <w:rPr>
          <w:rFonts w:ascii="Times New Roman" w:hAnsi="Times New Roman" w:eastAsia="宋体"/>
          <w:color w:val="000000"/>
          <w:sz w:val="24"/>
        </w:rPr>
        <w:t>2026 年 10 月</w:t>
      </w:r>
    </w:p>
    <w:p>
      <w:pPr>
        <w:spacing w:before="40" w:after="40" w:line="360" w:lineRule="auto"/>
        <w:jc w:val="center"/>
      </w:pPr>
      <w:r>
        <w:rPr>
          <w:rFonts w:ascii="Times New Roman" w:hAnsi="Times New Roman" w:eastAsia="宋体"/>
          <w:b/>
          <w:color w:val="000000"/>
          <w:sz w:val="24"/>
        </w:rPr>
        <w:t>适用范围：</w:t>
      </w:r>
      <w:r>
        <w:rPr>
          <w:rFonts w:ascii="Times New Roman" w:hAnsi="Times New Roman" w:eastAsia="宋体"/>
          <w:color w:val="000000"/>
          <w:sz w:val="24"/>
        </w:rPr>
        <w:t>本地研发、产品验证与客户演示环境</w:t>
      </w:r>
    </w:p>
    <w:p>
      <w:pPr>
        <w:sectPr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pPr>
        <w:spacing w:before="0" w:after="240"/>
        <w:jc w:val="center"/>
      </w:pPr>
      <w:r>
        <w:rPr>
          <w:rFonts w:ascii="Times New Roman" w:hAnsi="Times New Roman" w:eastAsia="黑体"/>
          <w:b/>
          <w:color w:val="000000"/>
          <w:sz w:val="32"/>
        </w:rPr>
        <w:t>目  录</w:t>
      </w:r>
    </w:p>
    <w:p>
      <w:pPr>
        <w:pStyle w:val="TOC1"/>
        <w:tabs>
          <w:tab w:val="right" w:leader="dot" w:pos="9072"/>
        </w:tabs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LarkToc00001" w:history="1">
        <w:r>
          <w:t>1 产品概述</w:t>
        </w:r>
        <w:r>
          <w:tab/>
        </w:r>
        <w:r>
          <w:fldChar w:fldCharType="begin"/>
        </w:r>
        <w:r>
          <w:instrText xml:space="preserve"> PAGEREF _LarkToc00001 \h </w:instrText>
        </w:r>
        <w:r>
          <w:fldChar w:fldCharType="separate"/>
        </w:r>
        <w:r>
          <w:t>1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2" w:history="1">
        <w:r>
          <w:t>1.1 产品简介</w:t>
        </w:r>
        <w:r>
          <w:tab/>
        </w:r>
        <w:r>
          <w:fldChar w:fldCharType="begin"/>
        </w:r>
        <w:r>
          <w:instrText xml:space="preserve"> PAGEREF _LarkToc00002 \h </w:instrText>
        </w:r>
        <w:r>
          <w:fldChar w:fldCharType="separate"/>
        </w:r>
        <w:r>
          <w:t>1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3" w:history="1">
        <w:r>
          <w:t>1.2 产品定位与边界</w:t>
        </w:r>
        <w:r>
          <w:tab/>
        </w:r>
        <w:r>
          <w:fldChar w:fldCharType="begin"/>
        </w:r>
        <w:r>
          <w:instrText xml:space="preserve"> PAGEREF _LarkToc00003 \h </w:instrText>
        </w:r>
        <w:r>
          <w:fldChar w:fldCharType="separate"/>
        </w:r>
        <w:r>
          <w:t>1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4" w:history="1">
        <w:r>
          <w:t>1.3 核心概念与术语</w:t>
        </w:r>
        <w:r>
          <w:tab/>
        </w:r>
        <w:r>
          <w:fldChar w:fldCharType="begin"/>
        </w:r>
        <w:r>
          <w:instrText xml:space="preserve"> PAGEREF _LarkToc00004 \h </w:instrText>
        </w:r>
        <w:r>
          <w:fldChar w:fldCharType="separate"/>
        </w:r>
        <w:r>
          <w:t>2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5" w:history="1">
        <w:r>
          <w:t>1.4 用户角色与职责</w:t>
        </w:r>
        <w:r>
          <w:tab/>
        </w:r>
        <w:r>
          <w:fldChar w:fldCharType="begin"/>
        </w:r>
        <w:r>
          <w:instrText xml:space="preserve"> PAGEREF _LarkToc00005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06" w:history="1">
        <w:r>
          <w:t>2 部署与启动</w:t>
        </w:r>
        <w:r>
          <w:tab/>
        </w:r>
        <w:r>
          <w:fldChar w:fldCharType="begin"/>
        </w:r>
        <w:r>
          <w:instrText xml:space="preserve"> PAGEREF _LarkToc00006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7" w:history="1">
        <w:r>
          <w:t>2.1 环境要求</w:t>
        </w:r>
        <w:r>
          <w:tab/>
        </w:r>
        <w:r>
          <w:fldChar w:fldCharType="begin"/>
        </w:r>
        <w:r>
          <w:instrText xml:space="preserve"> PAGEREF _LarkToc00007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8" w:history="1">
        <w:r>
          <w:t>2.2 安装依赖</w:t>
        </w:r>
        <w:r>
          <w:tab/>
        </w:r>
        <w:r>
          <w:fldChar w:fldCharType="begin"/>
        </w:r>
        <w:r>
          <w:instrText xml:space="preserve"> PAGEREF _LarkToc00008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9" w:history="1">
        <w:r>
          <w:t>2.3 启动引擎容器</w:t>
        </w:r>
        <w:r>
          <w:tab/>
        </w:r>
        <w:r>
          <w:fldChar w:fldCharType="begin"/>
        </w:r>
        <w:r>
          <w:instrText xml:space="preserve"> PAGEREF _LarkToc00009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0" w:history="1">
        <w:r>
          <w:t>2.4 启动 Team Server 与前端</w:t>
        </w:r>
        <w:r>
          <w:tab/>
        </w:r>
        <w:r>
          <w:fldChar w:fldCharType="begin"/>
        </w:r>
        <w:r>
          <w:instrText xml:space="preserve"> PAGEREF _LarkToc00010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1" w:history="1">
        <w:r>
          <w:t>2.5 PostgreSQL 模式</w:t>
        </w:r>
        <w:r>
          <w:tab/>
        </w:r>
        <w:r>
          <w:fldChar w:fldCharType="begin"/>
        </w:r>
        <w:r>
          <w:instrText xml:space="preserve"> PAGEREF _LarkToc00011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2" w:history="1">
        <w:r>
          <w:t>2.6 认证模式配置</w:t>
        </w:r>
        <w:r>
          <w:tab/>
        </w:r>
        <w:r>
          <w:fldChar w:fldCharType="begin"/>
        </w:r>
        <w:r>
          <w:instrText xml:space="preserve"> PAGEREF _LarkToc00012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3" w:history="1">
        <w:r>
          <w:t>2.7 服务端口与健康检查</w:t>
        </w:r>
        <w:r>
          <w:tab/>
        </w:r>
        <w:r>
          <w:fldChar w:fldCharType="begin"/>
        </w:r>
        <w:r>
          <w:instrText xml:space="preserve"> PAGEREF _LarkToc00013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4" w:history="1">
        <w:r>
          <w:t>2.8 使用边界提示</w:t>
        </w:r>
        <w:r>
          <w:tab/>
        </w:r>
        <w:r>
          <w:fldChar w:fldCharType="begin"/>
        </w:r>
        <w:r>
          <w:instrText xml:space="preserve"> PAGEREF _LarkToc00014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15" w:history="1">
        <w:r>
          <w:t>3 登录与界面导航</w:t>
        </w:r>
        <w:r>
          <w:tab/>
        </w:r>
        <w:r>
          <w:fldChar w:fldCharType="begin"/>
        </w:r>
        <w:r>
          <w:instrText xml:space="preserve"> PAGEREF _LarkToc00015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6" w:history="1">
        <w:r>
          <w:t>3.1 登录与退出</w:t>
        </w:r>
        <w:r>
          <w:tab/>
        </w:r>
        <w:r>
          <w:fldChar w:fldCharType="begin"/>
        </w:r>
        <w:r>
          <w:instrText xml:space="preserve"> PAGEREF _LarkToc00016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7" w:history="1">
        <w:r>
          <w:t>3.2 全局导航</w:t>
        </w:r>
        <w:r>
          <w:tab/>
        </w:r>
        <w:r>
          <w:fldChar w:fldCharType="begin"/>
        </w:r>
        <w:r>
          <w:instrText xml:space="preserve"> PAGEREF _LarkToc00017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8" w:history="1">
        <w:r>
          <w:t>3.3 项目内页签</w:t>
        </w:r>
        <w:r>
          <w:tab/>
        </w:r>
        <w:r>
          <w:fldChar w:fldCharType="begin"/>
        </w:r>
        <w:r>
          <w:instrText xml:space="preserve"> PAGEREF _LarkToc00018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9" w:history="1">
        <w:r>
          <w:t>3.4 通用界面约定</w:t>
        </w:r>
        <w:r>
          <w:tab/>
        </w:r>
        <w:r>
          <w:fldChar w:fldCharType="begin"/>
        </w:r>
        <w:r>
          <w:instrText xml:space="preserve"> PAGEREF _LarkToc00019 \h </w:instrText>
        </w:r>
        <w:r>
          <w:fldChar w:fldCharType="separate"/>
        </w:r>
        <w:r>
          <w:t>7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20" w:history="1">
        <w:r>
          <w:t>4 项目管理</w:t>
        </w:r>
        <w:r>
          <w:tab/>
        </w:r>
        <w:r>
          <w:fldChar w:fldCharType="begin"/>
        </w:r>
        <w:r>
          <w:instrText xml:space="preserve"> PAGEREF _LarkToc00020 \h </w:instrText>
        </w:r>
        <w:r>
          <w:fldChar w:fldCharType="separate"/>
        </w:r>
        <w:r>
          <w:t>7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1" w:history="1">
        <w:r>
          <w:t>4.1 新建项目</w:t>
        </w:r>
        <w:r>
          <w:tab/>
        </w:r>
        <w:r>
          <w:fldChar w:fldCharType="begin"/>
        </w:r>
        <w:r>
          <w:instrText xml:space="preserve"> PAGEREF _LarkToc00021 \h </w:instrText>
        </w:r>
        <w:r>
          <w:fldChar w:fldCharType="separate"/>
        </w:r>
        <w:r>
          <w:t>7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2" w:history="1">
        <w:r>
          <w:t>4.2 编辑项目</w:t>
        </w:r>
        <w:r>
          <w:tab/>
        </w:r>
        <w:r>
          <w:fldChar w:fldCharType="begin"/>
        </w:r>
        <w:r>
          <w:instrText xml:space="preserve"> PAGEREF _LarkToc00022 \h </w:instrText>
        </w:r>
        <w:r>
          <w:fldChar w:fldCharType="separate"/>
        </w:r>
        <w:r>
          <w:t>7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3" w:history="1">
        <w:r>
          <w:t>4.3 归档与删除项目</w:t>
        </w:r>
        <w:r>
          <w:tab/>
        </w:r>
        <w:r>
          <w:fldChar w:fldCharType="begin"/>
        </w:r>
        <w:r>
          <w:instrText xml:space="preserve"> PAGEREF _LarkToc00023 \h </w:instrText>
        </w:r>
        <w:r>
          <w:fldChar w:fldCharType="separate"/>
        </w:r>
        <w:r>
          <w:t>7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4" w:history="1">
        <w:r>
          <w:t>4.4 规则包管理</w:t>
        </w:r>
        <w:r>
          <w:tab/>
        </w:r>
        <w:r>
          <w:fldChar w:fldCharType="begin"/>
        </w:r>
        <w:r>
          <w:instrText xml:space="preserve"> PAGEREF _LarkToc00024 \h </w:instrText>
        </w:r>
        <w:r>
          <w:fldChar w:fldCharType="separate"/>
        </w:r>
        <w:r>
          <w:t>8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5" w:history="1">
        <w:r>
          <w:t>4.5 资产状态与生命周期</w:t>
        </w:r>
        <w:r>
          <w:tab/>
        </w:r>
        <w:r>
          <w:fldChar w:fldCharType="begin"/>
        </w:r>
        <w:r>
          <w:instrText xml:space="preserve"> PAGEREF _LarkToc00025 \h </w:instrText>
        </w:r>
        <w:r>
          <w:fldChar w:fldCharType="separate"/>
        </w:r>
        <w:r>
          <w:t>8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26" w:history="1">
        <w:r>
          <w:t>5 字段模型（BOM）管理</w:t>
        </w:r>
        <w:r>
          <w:tab/>
        </w:r>
        <w:r>
          <w:fldChar w:fldCharType="begin"/>
        </w:r>
        <w:r>
          <w:instrText xml:space="preserve"> PAGEREF _LarkToc00026 \h </w:instrText>
        </w:r>
        <w:r>
          <w:fldChar w:fldCharType="separate"/>
        </w:r>
        <w:r>
          <w:t>8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7" w:history="1">
        <w:r>
          <w:t>5.1 BOM 概述</w:t>
        </w:r>
        <w:r>
          <w:tab/>
        </w:r>
        <w:r>
          <w:fldChar w:fldCharType="begin"/>
        </w:r>
        <w:r>
          <w:instrText xml:space="preserve"> PAGEREF _LarkToc00027 \h </w:instrText>
        </w:r>
        <w:r>
          <w:fldChar w:fldCharType="separate"/>
        </w:r>
        <w:r>
          <w:t>8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8" w:history="1">
        <w:r>
          <w:t>5.2 进入编辑模式</w:t>
        </w:r>
        <w:r>
          <w:tab/>
        </w:r>
        <w:r>
          <w:fldChar w:fldCharType="begin"/>
        </w:r>
        <w:r>
          <w:instrText xml:space="preserve"> PAGEREF _LarkToc00028 \h </w:instrText>
        </w:r>
        <w:r>
          <w:fldChar w:fldCharType="separate"/>
        </w:r>
        <w:r>
          <w:t>9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9" w:history="1">
        <w:r>
          <w:t>5.3 新增事实类型与字段</w:t>
        </w:r>
        <w:r>
          <w:tab/>
        </w:r>
        <w:r>
          <w:fldChar w:fldCharType="begin"/>
        </w:r>
        <w:r>
          <w:instrText xml:space="preserve"> PAGEREF _LarkToc00029 \h </w:instrText>
        </w:r>
        <w:r>
          <w:fldChar w:fldCharType="separate"/>
        </w:r>
        <w:r>
          <w:t>9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30" w:history="1">
        <w:r>
          <w:t>5.4 编辑字段</w:t>
        </w:r>
        <w:r>
          <w:tab/>
        </w:r>
        <w:r>
          <w:fldChar w:fldCharType="begin"/>
        </w:r>
        <w:r>
          <w:instrText xml:space="preserve"> PAGEREF _LarkToc00030 \h </w:instrText>
        </w:r>
        <w:r>
          <w:fldChar w:fldCharType="separate"/>
        </w:r>
        <w:r>
          <w:t>9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31" w:history="1">
        <w:r>
          <w:t>5.5 删除字段与事实类型</w:t>
        </w:r>
        <w:r>
          <w:tab/>
        </w:r>
        <w:r>
          <w:fldChar w:fldCharType="begin"/>
        </w:r>
        <w:r>
          <w:instrText xml:space="preserve"> PAGEREF _LarkToc00031 \h </w:instrText>
        </w:r>
        <w:r>
          <w:fldChar w:fldCharType="separate"/>
        </w:r>
        <w:r>
          <w:t>9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32" w:history="1">
        <w:r>
          <w:t>5.6 BOM 变更影响分析</w:t>
        </w:r>
        <w:r>
          <w:tab/>
        </w:r>
        <w:r>
          <w:fldChar w:fldCharType="begin"/>
        </w:r>
        <w:r>
          <w:instrText xml:space="preserve"> PAGEREF _LarkToc00032 \h </w:instrText>
        </w:r>
        <w:r>
          <w:fldChar w:fldCharType="separate"/>
        </w:r>
        <w:r>
          <w:t>9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33" w:history="1">
        <w:r>
          <w:t>5.7 数据类型与操作符</w:t>
        </w:r>
        <w:r>
          <w:tab/>
        </w:r>
        <w:r>
          <w:fldChar w:fldCharType="begin"/>
        </w:r>
        <w:r>
          <w:instrText xml:space="preserve"> PAGEREF _LarkToc00033 \h </w:instrText>
        </w:r>
        <w:r>
          <w:fldChar w:fldCharType="separate"/>
        </w:r>
        <w:r>
          <w:t>10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34" w:history="1">
        <w:r>
          <w:t>6 规则管理</w:t>
        </w:r>
        <w:r>
          <w:tab/>
        </w:r>
        <w:r>
          <w:fldChar w:fldCharType="begin"/>
        </w:r>
        <w:r>
          <w:instrText xml:space="preserve"> PAGEREF _LarkToc00034 \h </w:instrText>
        </w:r>
        <w:r>
          <w:fldChar w:fldCharType="separate"/>
        </w:r>
        <w:r>
          <w:t>10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35" w:history="1">
        <w:r>
          <w:t>6.1 新建规则</w:t>
        </w:r>
        <w:r>
          <w:tab/>
        </w:r>
        <w:r>
          <w:fldChar w:fldCharType="begin"/>
        </w:r>
        <w:r>
          <w:instrText xml:space="preserve"> PAGEREF _LarkToc00035 \h </w:instrText>
        </w:r>
        <w:r>
          <w:fldChar w:fldCharType="separate"/>
        </w:r>
        <w:r>
          <w:t>10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36" w:history="1">
        <w:r>
          <w:t>6.2 BAL 编辑器</w:t>
        </w:r>
        <w:r>
          <w:tab/>
        </w:r>
        <w:r>
          <w:fldChar w:fldCharType="begin"/>
        </w:r>
        <w:r>
          <w:instrText xml:space="preserve"> PAGEREF _LarkToc00036 \h </w:instrText>
        </w:r>
        <w:r>
          <w:fldChar w:fldCharType="separate"/>
        </w:r>
        <w:r>
          <w:t>11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37" w:history="1">
        <w:r>
          <w:t>6.3 保存、编译与提交</w:t>
        </w:r>
        <w:r>
          <w:tab/>
        </w:r>
        <w:r>
          <w:fldChar w:fldCharType="begin"/>
        </w:r>
        <w:r>
          <w:instrText xml:space="preserve"> PAGEREF _LarkToc00037 \h </w:instrText>
        </w:r>
        <w:r>
          <w:fldChar w:fldCharType="separate"/>
        </w:r>
        <w:r>
          <w:t>11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38" w:history="1">
        <w:r>
          <w:t>6.4 复制、重命名、移动与删除</w:t>
        </w:r>
        <w:r>
          <w:tab/>
        </w:r>
        <w:r>
          <w:fldChar w:fldCharType="begin"/>
        </w:r>
        <w:r>
          <w:instrText xml:space="preserve"> PAGEREF _LarkToc00038 \h </w:instrText>
        </w:r>
        <w:r>
          <w:fldChar w:fldCharType="separate"/>
        </w:r>
        <w:r>
          <w:t>12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39" w:history="1">
        <w:r>
          <w:t>6.5 与 BOM 的联动</w:t>
        </w:r>
        <w:r>
          <w:tab/>
        </w:r>
        <w:r>
          <w:fldChar w:fldCharType="begin"/>
        </w:r>
        <w:r>
          <w:instrText xml:space="preserve"> PAGEREF _LarkToc00039 \h </w:instrText>
        </w:r>
        <w:r>
          <w:fldChar w:fldCharType="separate"/>
        </w:r>
        <w:r>
          <w:t>12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40" w:history="1">
        <w:r>
          <w:t>7 决策表管理</w:t>
        </w:r>
        <w:r>
          <w:tab/>
        </w:r>
        <w:r>
          <w:fldChar w:fldCharType="begin"/>
        </w:r>
        <w:r>
          <w:instrText xml:space="preserve"> PAGEREF _LarkToc00040 \h </w:instrText>
        </w:r>
        <w:r>
          <w:fldChar w:fldCharType="separate"/>
        </w:r>
        <w:r>
          <w:t>12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41" w:history="1">
        <w:r>
          <w:t>7.1 新建决策表</w:t>
        </w:r>
        <w:r>
          <w:tab/>
        </w:r>
        <w:r>
          <w:fldChar w:fldCharType="begin"/>
        </w:r>
        <w:r>
          <w:instrText xml:space="preserve"> PAGEREF _LarkToc00041 \h </w:instrText>
        </w:r>
        <w:r>
          <w:fldChar w:fldCharType="separate"/>
        </w:r>
        <w:r>
          <w:t>12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42" w:history="1">
        <w:r>
          <w:t>7.2 网格编辑操作</w:t>
        </w:r>
        <w:r>
          <w:tab/>
        </w:r>
        <w:r>
          <w:fldChar w:fldCharType="begin"/>
        </w:r>
        <w:r>
          <w:instrText xml:space="preserve"> PAGEREF _LarkToc00042 \h </w:instrText>
        </w:r>
        <w:r>
          <w:fldChar w:fldCharType="separate"/>
        </w:r>
        <w:r>
          <w:t>12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43" w:history="1">
        <w:r>
          <w:t>7.3 单元格语法</w:t>
        </w:r>
        <w:r>
          <w:tab/>
        </w:r>
        <w:r>
          <w:fldChar w:fldCharType="begin"/>
        </w:r>
        <w:r>
          <w:instrText xml:space="preserve"> PAGEREF _LarkToc00043 \h </w:instrText>
        </w:r>
        <w:r>
          <w:fldChar w:fldCharType="separate"/>
        </w:r>
        <w:r>
          <w:t>13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44" w:history="1">
        <w:r>
          <w:t>7.4 命中策略</w:t>
        </w:r>
        <w:r>
          <w:tab/>
        </w:r>
        <w:r>
          <w:fldChar w:fldCharType="begin"/>
        </w:r>
        <w:r>
          <w:instrText xml:space="preserve"> PAGEREF _LarkToc00044 \h </w:instrText>
        </w:r>
        <w:r>
          <w:fldChar w:fldCharType="separate"/>
        </w:r>
        <w:r>
          <w:t>13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45" w:history="1">
        <w:r>
          <w:t>7.5 冲突与覆盖检测</w:t>
        </w:r>
        <w:r>
          <w:tab/>
        </w:r>
        <w:r>
          <w:fldChar w:fldCharType="begin"/>
        </w:r>
        <w:r>
          <w:instrText xml:space="preserve"> PAGEREF _LarkToc00045 \h </w:instrText>
        </w:r>
        <w:r>
          <w:fldChar w:fldCharType="separate"/>
        </w:r>
        <w:r>
          <w:t>13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46" w:history="1">
        <w:r>
          <w:t>7.6 导入与导出</w:t>
        </w:r>
        <w:r>
          <w:tab/>
        </w:r>
        <w:r>
          <w:fldChar w:fldCharType="begin"/>
        </w:r>
        <w:r>
          <w:instrText xml:space="preserve"> PAGEREF _LarkToc00046 \h </w:instrText>
        </w:r>
        <w:r>
          <w:fldChar w:fldCharType="separate"/>
        </w:r>
        <w:r>
          <w:t>14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47" w:history="1">
        <w:r>
          <w:t>8 规则流管理</w:t>
        </w:r>
        <w:r>
          <w:tab/>
        </w:r>
        <w:r>
          <w:fldChar w:fldCharType="begin"/>
        </w:r>
        <w:r>
          <w:instrText xml:space="preserve"> PAGEREF _LarkToc00047 \h </w:instrText>
        </w:r>
        <w:r>
          <w:fldChar w:fldCharType="separate"/>
        </w:r>
        <w:r>
          <w:t>14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48" w:history="1">
        <w:r>
          <w:t>8.1 规则流概念与拓扑约束</w:t>
        </w:r>
        <w:r>
          <w:tab/>
        </w:r>
        <w:r>
          <w:fldChar w:fldCharType="begin"/>
        </w:r>
        <w:r>
          <w:instrText xml:space="preserve"> PAGEREF _LarkToc00048 \h </w:instrText>
        </w:r>
        <w:r>
          <w:fldChar w:fldCharType="separate"/>
        </w:r>
        <w:r>
          <w:t>14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49" w:history="1">
        <w:r>
          <w:t>8.2 画布编辑</w:t>
        </w:r>
        <w:r>
          <w:tab/>
        </w:r>
        <w:r>
          <w:fldChar w:fldCharType="begin"/>
        </w:r>
        <w:r>
          <w:instrText xml:space="preserve"> PAGEREF _LarkToc00049 \h </w:instrText>
        </w:r>
        <w:r>
          <w:fldChar w:fldCharType="separate"/>
        </w:r>
        <w:r>
          <w:t>14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50" w:history="1">
        <w:r>
          <w:t>8.3 Rule Group 规则组</w:t>
        </w:r>
        <w:r>
          <w:tab/>
        </w:r>
        <w:r>
          <w:fldChar w:fldCharType="begin"/>
        </w:r>
        <w:r>
          <w:instrText xml:space="preserve"> PAGEREF _LarkToc00050 \h </w:instrText>
        </w:r>
        <w:r>
          <w:fldChar w:fldCharType="separate"/>
        </w:r>
        <w:r>
          <w:t>15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51" w:history="1">
        <w:r>
          <w:t>8.4 排他网关与字段映射</w:t>
        </w:r>
        <w:r>
          <w:tab/>
        </w:r>
        <w:r>
          <w:fldChar w:fldCharType="begin"/>
        </w:r>
        <w:r>
          <w:instrText xml:space="preserve"> PAGEREF _LarkToc00051 \h </w:instrText>
        </w:r>
        <w:r>
          <w:fldChar w:fldCharType="separate"/>
        </w:r>
        <w:r>
          <w:t>16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52" w:history="1">
        <w:r>
          <w:t>8.5 校验、发布与依赖管理</w:t>
        </w:r>
        <w:r>
          <w:tab/>
        </w:r>
        <w:r>
          <w:fldChar w:fldCharType="begin"/>
        </w:r>
        <w:r>
          <w:instrText xml:space="preserve"> PAGEREF _LarkToc00052 \h </w:instrText>
        </w:r>
        <w:r>
          <w:fldChar w:fldCharType="separate"/>
        </w:r>
        <w:r>
          <w:t>16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53" w:history="1">
        <w:r>
          <w:t>9 CEP 事件流管理</w:t>
        </w:r>
        <w:r>
          <w:tab/>
        </w:r>
        <w:r>
          <w:fldChar w:fldCharType="begin"/>
        </w:r>
        <w:r>
          <w:instrText xml:space="preserve"> PAGEREF _LarkToc00053 \h </w:instrText>
        </w:r>
        <w:r>
          <w:fldChar w:fldCharType="separate"/>
        </w:r>
        <w:r>
          <w:t>17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54" w:history="1">
        <w:r>
          <w:t>9.1 CEP 项目与事件流概述</w:t>
        </w:r>
        <w:r>
          <w:tab/>
        </w:r>
        <w:r>
          <w:fldChar w:fldCharType="begin"/>
        </w:r>
        <w:r>
          <w:instrText xml:space="preserve"> PAGEREF _LarkToc00054 \h </w:instrText>
        </w:r>
        <w:r>
          <w:fldChar w:fldCharType="separate"/>
        </w:r>
        <w:r>
          <w:t>17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55" w:history="1">
        <w:r>
          <w:t>9.2 新建 EventStream</w:t>
        </w:r>
        <w:r>
          <w:tab/>
        </w:r>
        <w:r>
          <w:fldChar w:fldCharType="begin"/>
        </w:r>
        <w:r>
          <w:instrText xml:space="preserve"> PAGEREF _LarkToc00055 \h </w:instrText>
        </w:r>
        <w:r>
          <w:fldChar w:fldCharType="separate"/>
        </w:r>
        <w:r>
          <w:t>17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56" w:history="1">
        <w:r>
          <w:t>9.3 检测语句创作</w:t>
        </w:r>
        <w:r>
          <w:tab/>
        </w:r>
        <w:r>
          <w:fldChar w:fldCharType="begin"/>
        </w:r>
        <w:r>
          <w:instrText xml:space="preserve"> PAGEREF _LarkToc00056 \h </w:instrText>
        </w:r>
        <w:r>
          <w:fldChar w:fldCharType="separate"/>
        </w:r>
        <w:r>
          <w:t>17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57" w:history="1">
        <w:r>
          <w:t>9.4 模板能力</w:t>
        </w:r>
        <w:r>
          <w:tab/>
        </w:r>
        <w:r>
          <w:fldChar w:fldCharType="begin"/>
        </w:r>
        <w:r>
          <w:instrText xml:space="preserve"> PAGEREF _LarkToc00057 \h </w:instrText>
        </w:r>
        <w:r>
          <w:fldChar w:fldCharType="separate"/>
        </w:r>
        <w:r>
          <w:t>18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58" w:history="1">
        <w:r>
          <w:t>9.5 保存、编译、测试与发布</w:t>
        </w:r>
        <w:r>
          <w:tab/>
        </w:r>
        <w:r>
          <w:fldChar w:fldCharType="begin"/>
        </w:r>
        <w:r>
          <w:instrText xml:space="preserve"> PAGEREF _LarkToc00058 \h </w:instrText>
        </w:r>
        <w:r>
          <w:fldChar w:fldCharType="separate"/>
        </w:r>
        <w:r>
          <w:t>18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59" w:history="1">
        <w:r>
          <w:t>9.6 删除语义</w:t>
        </w:r>
        <w:r>
          <w:tab/>
        </w:r>
        <w:r>
          <w:fldChar w:fldCharType="begin"/>
        </w:r>
        <w:r>
          <w:instrText xml:space="preserve"> PAGEREF _LarkToc00059 \h </w:instrText>
        </w:r>
        <w:r>
          <w:fldChar w:fldCharType="separate"/>
        </w:r>
        <w:r>
          <w:t>18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60" w:history="1">
        <w:r>
          <w:t>9.7 CEP 执行与业务对接</w:t>
        </w:r>
        <w:r>
          <w:tab/>
        </w:r>
        <w:r>
          <w:fldChar w:fldCharType="begin"/>
        </w:r>
        <w:r>
          <w:instrText xml:space="preserve"> PAGEREF _LarkToc00060 \h </w:instrText>
        </w:r>
        <w:r>
          <w:fldChar w:fldCharType="separate"/>
        </w:r>
        <w:r>
          <w:t>19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61" w:history="1">
        <w:r>
          <w:t>10 测试套件</w:t>
        </w:r>
        <w:r>
          <w:tab/>
        </w:r>
        <w:r>
          <w:fldChar w:fldCharType="begin"/>
        </w:r>
        <w:r>
          <w:instrText xml:space="preserve"> PAGEREF _LarkToc00061 \h </w:instrText>
        </w:r>
        <w:r>
          <w:fldChar w:fldCharType="separate"/>
        </w:r>
        <w:r>
          <w:t>19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62" w:history="1">
        <w:r>
          <w:t>10.1 新建测试套件</w:t>
        </w:r>
        <w:r>
          <w:tab/>
        </w:r>
        <w:r>
          <w:fldChar w:fldCharType="begin"/>
        </w:r>
        <w:r>
          <w:instrText xml:space="preserve"> PAGEREF _LarkToc00062 \h </w:instrText>
        </w:r>
        <w:r>
          <w:fldChar w:fldCharType="separate"/>
        </w:r>
        <w:r>
          <w:t>19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63" w:history="1">
        <w:r>
          <w:t>10.2 用例与参数化</w:t>
        </w:r>
        <w:r>
          <w:tab/>
        </w:r>
        <w:r>
          <w:fldChar w:fldCharType="begin"/>
        </w:r>
        <w:r>
          <w:instrText xml:space="preserve"> PAGEREF _LarkToc00063 \h </w:instrText>
        </w:r>
        <w:r>
          <w:fldChar w:fldCharType="separate"/>
        </w:r>
        <w:r>
          <w:t>19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64" w:history="1">
        <w:r>
          <w:t>10.3 断言类型</w:t>
        </w:r>
        <w:r>
          <w:tab/>
        </w:r>
        <w:r>
          <w:fldChar w:fldCharType="begin"/>
        </w:r>
        <w:r>
          <w:instrText xml:space="preserve"> PAGEREF _LarkToc00064 \h </w:instrText>
        </w:r>
        <w:r>
          <w:fldChar w:fldCharType="separate"/>
        </w:r>
        <w:r>
          <w:t>20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65" w:history="1">
        <w:r>
          <w:t>10.4 运行与覆盖率</w:t>
        </w:r>
        <w:r>
          <w:tab/>
        </w:r>
        <w:r>
          <w:fldChar w:fldCharType="begin"/>
        </w:r>
        <w:r>
          <w:instrText xml:space="preserve"> PAGEREF _LarkToc00065 \h </w:instrText>
        </w:r>
        <w:r>
          <w:fldChar w:fldCharType="separate"/>
        </w:r>
        <w:r>
          <w:t>20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66" w:history="1">
        <w:r>
          <w:t>10.5 版本对比</w:t>
        </w:r>
        <w:r>
          <w:tab/>
        </w:r>
        <w:r>
          <w:fldChar w:fldCharType="begin"/>
        </w:r>
        <w:r>
          <w:instrText xml:space="preserve"> PAGEREF _LarkToc00066 \h </w:instrText>
        </w:r>
        <w:r>
          <w:fldChar w:fldCharType="separate"/>
        </w:r>
        <w:r>
          <w:t>20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67" w:history="1">
        <w:r>
          <w:t>10.6 发布门禁</w:t>
        </w:r>
        <w:r>
          <w:tab/>
        </w:r>
        <w:r>
          <w:fldChar w:fldCharType="begin"/>
        </w:r>
        <w:r>
          <w:instrText xml:space="preserve"> PAGEREF _LarkToc00067 \h </w:instrText>
        </w:r>
        <w:r>
          <w:fldChar w:fldCharType="separate"/>
        </w:r>
        <w:r>
          <w:t>20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68" w:history="1">
        <w:r>
          <w:t>11 变更集与审核</w:t>
        </w:r>
        <w:r>
          <w:tab/>
        </w:r>
        <w:r>
          <w:fldChar w:fldCharType="begin"/>
        </w:r>
        <w:r>
          <w:instrText xml:space="preserve"> PAGEREF _LarkToc00068 \h </w:instrText>
        </w:r>
        <w:r>
          <w:fldChar w:fldCharType="separate"/>
        </w:r>
        <w:r>
          <w:t>21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69" w:history="1">
        <w:r>
          <w:t>11.1 变更集（Change Set）</w:t>
        </w:r>
        <w:r>
          <w:tab/>
        </w:r>
        <w:r>
          <w:fldChar w:fldCharType="begin"/>
        </w:r>
        <w:r>
          <w:instrText xml:space="preserve"> PAGEREF _LarkToc00069 \h </w:instrText>
        </w:r>
        <w:r>
          <w:fldChar w:fldCharType="separate"/>
        </w:r>
        <w:r>
          <w:t>21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70" w:history="1">
        <w:r>
          <w:t>11.2 提交、批准与驳回</w:t>
        </w:r>
        <w:r>
          <w:tab/>
        </w:r>
        <w:r>
          <w:fldChar w:fldCharType="begin"/>
        </w:r>
        <w:r>
          <w:instrText xml:space="preserve"> PAGEREF _LarkToc00070 \h </w:instrText>
        </w:r>
        <w:r>
          <w:fldChar w:fldCharType="separate"/>
        </w:r>
        <w:r>
          <w:t>21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71" w:history="1">
        <w:r>
          <w:t>11.3 审计日志</w:t>
        </w:r>
        <w:r>
          <w:tab/>
        </w:r>
        <w:r>
          <w:fldChar w:fldCharType="begin"/>
        </w:r>
        <w:r>
          <w:instrText xml:space="preserve"> PAGEREF _LarkToc00071 \h </w:instrText>
        </w:r>
        <w:r>
          <w:fldChar w:fldCharType="separate"/>
        </w:r>
        <w:r>
          <w:t>21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72" w:history="1">
        <w:r>
          <w:t>12 发布与部署</w:t>
        </w:r>
        <w:r>
          <w:tab/>
        </w:r>
        <w:r>
          <w:fldChar w:fldCharType="begin"/>
        </w:r>
        <w:r>
          <w:instrText xml:space="preserve"> PAGEREF _LarkToc00072 \h </w:instrText>
        </w:r>
        <w:r>
          <w:fldChar w:fldCharType="separate"/>
        </w:r>
        <w:r>
          <w:t>22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73" w:history="1">
        <w:r>
          <w:t>12.1 Release 概念</w:t>
        </w:r>
        <w:r>
          <w:tab/>
        </w:r>
        <w:r>
          <w:fldChar w:fldCharType="begin"/>
        </w:r>
        <w:r>
          <w:instrText xml:space="preserve"> PAGEREF _LarkToc00073 \h </w:instrText>
        </w:r>
        <w:r>
          <w:fldChar w:fldCharType="separate"/>
        </w:r>
        <w:r>
          <w:t>22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74" w:history="1">
        <w:r>
          <w:t>12.2 构建 Release</w:t>
        </w:r>
        <w:r>
          <w:tab/>
        </w:r>
        <w:r>
          <w:fldChar w:fldCharType="begin"/>
        </w:r>
        <w:r>
          <w:instrText xml:space="preserve"> PAGEREF _LarkToc00074 \h </w:instrText>
        </w:r>
        <w:r>
          <w:fldChar w:fldCharType="separate"/>
        </w:r>
        <w:r>
          <w:t>22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75" w:history="1">
        <w:r>
          <w:t>12.3 部署</w:t>
        </w:r>
        <w:r>
          <w:tab/>
        </w:r>
        <w:r>
          <w:fldChar w:fldCharType="begin"/>
        </w:r>
        <w:r>
          <w:instrText xml:space="preserve"> PAGEREF _LarkToc00075 \h </w:instrText>
        </w:r>
        <w:r>
          <w:fldChar w:fldCharType="separate"/>
        </w:r>
        <w:r>
          <w:t>22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76" w:history="1">
        <w:r>
          <w:t>12.4 执行</w:t>
        </w:r>
        <w:r>
          <w:tab/>
        </w:r>
        <w:r>
          <w:fldChar w:fldCharType="begin"/>
        </w:r>
        <w:r>
          <w:instrText xml:space="preserve"> PAGEREF _LarkToc00076 \h </w:instrText>
        </w:r>
        <w:r>
          <w:fldChar w:fldCharType="separate"/>
        </w:r>
        <w:r>
          <w:t>23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77" w:history="1">
        <w:r>
          <w:t>12.5 版本管理与回滚</w:t>
        </w:r>
        <w:r>
          <w:tab/>
        </w:r>
        <w:r>
          <w:fldChar w:fldCharType="begin"/>
        </w:r>
        <w:r>
          <w:instrText xml:space="preserve"> PAGEREF _LarkToc00077 \h </w:instrText>
        </w:r>
        <w:r>
          <w:fldChar w:fldCharType="separate"/>
        </w:r>
        <w:r>
          <w:t>23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78" w:history="1">
        <w:r>
          <w:t>13 项目报告</w:t>
        </w:r>
        <w:r>
          <w:tab/>
        </w:r>
        <w:r>
          <w:fldChar w:fldCharType="begin"/>
        </w:r>
        <w:r>
          <w:instrText xml:space="preserve"> PAGEREF _LarkToc00078 \h </w:instrText>
        </w:r>
        <w:r>
          <w:fldChar w:fldCharType="separate"/>
        </w:r>
        <w:r>
          <w:t>24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79" w:history="1">
        <w:r>
          <w:t>13.1 生成报告</w:t>
        </w:r>
        <w:r>
          <w:tab/>
        </w:r>
        <w:r>
          <w:fldChar w:fldCharType="begin"/>
        </w:r>
        <w:r>
          <w:instrText xml:space="preserve"> PAGEREF _LarkToc00079 \h </w:instrText>
        </w:r>
        <w:r>
          <w:fldChar w:fldCharType="separate"/>
        </w:r>
        <w:r>
          <w:t>24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80" w:history="1">
        <w:r>
          <w:t>13.2 报告章节</w:t>
        </w:r>
        <w:r>
          <w:tab/>
        </w:r>
        <w:r>
          <w:fldChar w:fldCharType="begin"/>
        </w:r>
        <w:r>
          <w:instrText xml:space="preserve"> PAGEREF _LarkToc00080 \h </w:instrText>
        </w:r>
        <w:r>
          <w:fldChar w:fldCharType="separate"/>
        </w:r>
        <w:r>
          <w:t>24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81" w:history="1">
        <w:r>
          <w:t>13.3 下载与打印</w:t>
        </w:r>
        <w:r>
          <w:tab/>
        </w:r>
        <w:r>
          <w:fldChar w:fldCharType="begin"/>
        </w:r>
        <w:r>
          <w:instrText xml:space="preserve"> PAGEREF _LarkToc00081 \h </w:instrText>
        </w:r>
        <w:r>
          <w:fldChar w:fldCharType="separate"/>
        </w:r>
        <w:r>
          <w:t>24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82" w:history="1">
        <w:r>
          <w:t>14 浏览与搜索</w:t>
        </w:r>
        <w:r>
          <w:tab/>
        </w:r>
        <w:r>
          <w:fldChar w:fldCharType="begin"/>
        </w:r>
        <w:r>
          <w:instrText xml:space="preserve"> PAGEREF _LarkToc00082 \h </w:instrText>
        </w:r>
        <w:r>
          <w:fldChar w:fldCharType="separate"/>
        </w:r>
        <w:r>
          <w:t>25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83" w:history="1">
        <w:r>
          <w:t>15 系统管理</w:t>
        </w:r>
        <w:r>
          <w:tab/>
        </w:r>
        <w:r>
          <w:fldChar w:fldCharType="begin"/>
        </w:r>
        <w:r>
          <w:instrText xml:space="preserve"> PAGEREF _LarkToc00083 \h </w:instrText>
        </w:r>
        <w:r>
          <w:fldChar w:fldCharType="separate"/>
        </w:r>
        <w:r>
          <w:t>25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84" w:history="1">
        <w:r>
          <w:t>15.1 管理页概览</w:t>
        </w:r>
        <w:r>
          <w:tab/>
        </w:r>
        <w:r>
          <w:fldChar w:fldCharType="begin"/>
        </w:r>
        <w:r>
          <w:instrText xml:space="preserve"> PAGEREF _LarkToc00084 \h </w:instrText>
        </w:r>
        <w:r>
          <w:fldChar w:fldCharType="separate"/>
        </w:r>
        <w:r>
          <w:t>25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85" w:history="1">
        <w:r>
          <w:t>15.2 用户与角色</w:t>
        </w:r>
        <w:r>
          <w:tab/>
        </w:r>
        <w:r>
          <w:fldChar w:fldCharType="begin"/>
        </w:r>
        <w:r>
          <w:instrText xml:space="preserve"> PAGEREF _LarkToc00085 \h </w:instrText>
        </w:r>
        <w:r>
          <w:fldChar w:fldCharType="separate"/>
        </w:r>
        <w:r>
          <w:t>25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86" w:history="1">
        <w:r>
          <w:t>15.3 环境注册</w:t>
        </w:r>
        <w:r>
          <w:tab/>
        </w:r>
        <w:r>
          <w:fldChar w:fldCharType="begin"/>
        </w:r>
        <w:r>
          <w:instrText xml:space="preserve"> PAGEREF _LarkToc00086 \h </w:instrText>
        </w:r>
        <w:r>
          <w:fldChar w:fldCharType="separate"/>
        </w:r>
        <w:r>
          <w:t>26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87" w:history="1">
        <w:r>
          <w:t>16 常见问题与故障排查</w:t>
        </w:r>
        <w:r>
          <w:tab/>
        </w:r>
        <w:r>
          <w:fldChar w:fldCharType="begin"/>
        </w:r>
        <w:r>
          <w:instrText xml:space="preserve"> PAGEREF _LarkToc00087 \h </w:instrText>
        </w:r>
        <w:r>
          <w:fldChar w:fldCharType="separate"/>
        </w:r>
        <w:r>
          <w:t>26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88" w:history="1">
        <w:r>
          <w:t>16.1 启动与部署类</w:t>
        </w:r>
        <w:r>
          <w:tab/>
        </w:r>
        <w:r>
          <w:fldChar w:fldCharType="begin"/>
        </w:r>
        <w:r>
          <w:instrText xml:space="preserve"> PAGEREF _LarkToc00088 \h </w:instrText>
        </w:r>
        <w:r>
          <w:fldChar w:fldCharType="separate"/>
        </w:r>
        <w:r>
          <w:t>26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89" w:history="1">
        <w:r>
          <w:t>16.2 操作与数据一致性类</w:t>
        </w:r>
        <w:r>
          <w:tab/>
        </w:r>
        <w:r>
          <w:fldChar w:fldCharType="begin"/>
        </w:r>
        <w:r>
          <w:instrText xml:space="preserve"> PAGEREF _LarkToc00089 \h </w:instrText>
        </w:r>
        <w:r>
          <w:fldChar w:fldCharType="separate"/>
        </w:r>
        <w:r>
          <w:t>26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90" w:history="1">
        <w:r>
          <w:t>16.3 边界与容量提示</w:t>
        </w:r>
        <w:r>
          <w:tab/>
        </w:r>
        <w:r>
          <w:fldChar w:fldCharType="begin"/>
        </w:r>
        <w:r>
          <w:instrText xml:space="preserve"> PAGEREF _LarkToc00090 \h </w:instrText>
        </w:r>
        <w:r>
          <w:fldChar w:fldCharType="separate"/>
        </w:r>
        <w:r>
          <w:t>27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91" w:history="1">
        <w:r>
          <w:t>附录 A 术语表</w:t>
        </w:r>
        <w:r>
          <w:tab/>
        </w:r>
        <w:r>
          <w:fldChar w:fldCharType="begin"/>
        </w:r>
        <w:r>
          <w:instrText xml:space="preserve"> PAGEREF _LarkToc00091 \h </w:instrText>
        </w:r>
        <w:r>
          <w:fldChar w:fldCharType="separate"/>
        </w:r>
        <w:r>
          <w:t>27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92" w:history="1">
        <w:r>
          <w:t>附录 B 服务与端口汇总</w:t>
        </w:r>
        <w:r>
          <w:tab/>
        </w:r>
        <w:r>
          <w:fldChar w:fldCharType="begin"/>
        </w:r>
        <w:r>
          <w:instrText xml:space="preserve"> PAGEREF _LarkToc00092 \h </w:instrText>
        </w:r>
        <w:r>
          <w:fldChar w:fldCharType="separate"/>
        </w:r>
        <w:r>
          <w:t>28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93" w:history="1">
        <w:r>
          <w:t>附录 C 当前版本边界与限制</w:t>
        </w:r>
        <w:r>
          <w:tab/>
        </w:r>
        <w:r>
          <w:fldChar w:fldCharType="begin"/>
        </w:r>
        <w:r>
          <w:instrText xml:space="preserve"> PAGEREF _LarkToc00093 \h </w:instrText>
        </w:r>
        <w:r>
          <w:fldChar w:fldCharType="separate"/>
        </w:r>
        <w:r>
          <w:t>28</w:t>
        </w:r>
        <w:r>
          <w:fldChar w:fldCharType="end"/>
        </w:r>
      </w:hyperlink>
      <w:r>
        <w:fldChar w:fldCharType="end"/>
      </w:r>
    </w:p>
    <w:p>
      <w:pPr>
        <w:sectPr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pPr>
        <w:pStyle w:val="Heading1"/>
        <w:keepNext/>
        <w:spacing w:before="280" w:after="120"/>
      </w:pPr>
      <w:bookmarkStart w:id="1" w:name="_LarkToc00001"/>
      <w:r>
        <w:rPr>
          <w:rFonts w:ascii="Times New Roman" w:hAnsi="Times New Roman" w:eastAsia="黑体"/>
          <w:b/>
          <w:color w:val="000000"/>
          <w:sz w:val="32"/>
        </w:rPr>
        <w:t>1 产品概述</w:t>
      </w:r>
      <w:bookmarkEnd w:id="1"/>
    </w:p>
    <w:p>
      <w:pPr>
        <w:pStyle w:val="Heading2"/>
        <w:keepNext/>
        <w:spacing w:before="220" w:after="100"/>
      </w:pPr>
      <w:bookmarkStart w:id="2" w:name="_LarkToc00002"/>
      <w:r>
        <w:rPr>
          <w:rFonts w:ascii="Times New Roman" w:hAnsi="Times New Roman" w:eastAsia="黑体"/>
          <w:b/>
          <w:color w:val="000000"/>
          <w:sz w:val="28"/>
        </w:rPr>
        <w:t>1.1 产品简介</w:t>
      </w:r>
      <w:bookmarkEnd w:id="2"/>
    </w:p>
    <w:p>
      <w:pPr>
        <w:spacing w:before="0" w:after="0" w:line="360" w:lineRule="auto"/>
        <w:jc w:val="both"/>
        <w:ind w:firstLineChars="200" w:firstLine="0"/>
      </w:pPr>
      <w:r>
        <w:rPr>
          <w:rFonts w:ascii="Times New Roman" w:hAnsi="Times New Roman" w:eastAsia="宋体"/>
          <w:color w:val="000000"/>
          <w:sz w:val="24"/>
        </w:rPr>
        <w:t>DWX（Decision Workbench X，决策工作台）是一个面向规则、决策流和复杂事件处理的双引擎决策工作台。平台统一管理业务对象模型（BOM）、规则、决策表、规则流、CEP 事件流（EventStream）、测试套件、变更集（Change Set）、发布包（Release）、部署和审计，并按项目将规则请求路由到 Drools 引擎、将 CEP 事件流请求路由到 Esper 引擎。</w:t>
      </w:r>
    </w:p>
    <w:p>
      <w:pPr>
        <w:spacing w:before="0" w:after="0" w:line="360" w:lineRule="auto"/>
        <w:jc w:val="both"/>
        <w:ind w:firstLineChars="200" w:firstLine="0"/>
      </w:pPr>
      <w:r>
        <w:rPr>
          <w:rFonts w:ascii="Times New Roman" w:hAnsi="Times New Roman" w:eastAsia="宋体"/>
          <w:color w:val="000000"/>
          <w:sz w:val="24"/>
        </w:rPr>
        <w:t>规则侧使用 Drools 10.2.0，CEP 侧使用 Esper 8.8.0。当前版本用于本地研发、产品验证和客户演示，不是面向公网的商用部署方案。</w:t>
      </w:r>
    </w:p>
    <w:p>
      <w:pPr>
        <w:pStyle w:val="Heading2"/>
        <w:keepNext/>
        <w:spacing w:before="220" w:after="100"/>
      </w:pPr>
      <w:bookmarkStart w:id="3" w:name="_LarkToc00003"/>
      <w:r>
        <w:rPr>
          <w:rFonts w:ascii="Times New Roman" w:hAnsi="Times New Roman" w:eastAsia="黑体"/>
          <w:b/>
          <w:color w:val="000000"/>
          <w:sz w:val="28"/>
        </w:rPr>
        <w:t>1.2 产品定位与边界</w:t>
      </w:r>
      <w:bookmarkEnd w:id="3"/>
    </w:p>
    <w:p>
      <w:pPr>
        <w:spacing w:before="0" w:after="0" w:line="360" w:lineRule="auto"/>
        <w:jc w:val="both"/>
        <w:ind w:firstLineChars="200" w:firstLine="0"/>
      </w:pPr>
      <w:r>
        <w:rPr>
          <w:rFonts w:ascii="Times New Roman" w:hAnsi="Times New Roman" w:eastAsia="宋体"/>
          <w:color w:val="000000"/>
          <w:sz w:val="24"/>
        </w:rPr>
        <w:t>平台借鉴 IBM ODM/JRules Rule Team Server 与 Rule Execution Server 的职责划分，不追求界面或私有实现的逐项复制，业务用户编辑的是中文业务语义，不直接编辑 Drools 内部概念。产品由三个逻辑上独立的部分组成：</w:t>
      </w:r>
    </w:p>
    <w:p>
      <w:pPr>
        <w:spacing w:before="0" w:after="0" w:line="360" w:lineRule="auto"/>
        <w:jc w:val="both"/>
        <w:ind w:firstLineChars="200" w:firstLine="0"/>
      </w:pPr>
      <w:r>
        <w:rPr>
          <w:rFonts w:ascii="Times New Roman" w:hAnsi="Times New Roman" w:eastAsia="宋体"/>
          <w:color w:val="000000"/>
          <w:sz w:val="24"/>
        </w:rPr>
        <w:t>（1）规则设计中心（Rule Designer）：提供结构化规则（BAL）、决策表、规则流、业务词汇（BOM）和测试用例的 Web 编辑体验；</w:t>
      </w:r>
    </w:p>
    <w:p>
      <w:pPr>
        <w:spacing w:before="0" w:after="0" w:line="360" w:lineRule="auto"/>
        <w:jc w:val="both"/>
        <w:ind w:firstLineChars="200" w:firstLine="0"/>
      </w:pPr>
      <w:r>
        <w:rPr>
          <w:rFonts w:ascii="Times New Roman" w:hAnsi="Times New Roman" w:eastAsia="宋体"/>
          <w:color w:val="000000"/>
          <w:sz w:val="24"/>
        </w:rPr>
        <w:t>（2）规则治理中心（Rule Team Server）：提供资产仓库、版本、变更集、评审、审批、发布包、权限和审计；</w:t>
      </w:r>
    </w:p>
    <w:p>
      <w:pPr>
        <w:spacing w:before="0" w:after="0" w:line="360" w:lineRule="auto"/>
        <w:jc w:val="both"/>
        <w:ind w:firstLineChars="200" w:firstLine="0"/>
      </w:pPr>
      <w:r>
        <w:rPr>
          <w:rFonts w:ascii="Times New Roman" w:hAnsi="Times New Roman" w:eastAsia="宋体"/>
          <w:color w:val="000000"/>
          <w:sz w:val="24"/>
        </w:rPr>
        <w:t>（3）规则执行中心（Rule Execution Server，简称 RES）：接收不可变发布包，完成部署、版本路由、执行、监控和回滚。</w:t>
      </w:r>
    </w:p>
    <w:p>
      <w:pPr>
        <w:spacing w:before="0" w:after="0" w:line="360" w:lineRule="auto"/>
        <w:jc w:val="both"/>
        <w:ind w:firstLineChars="200" w:firstLine="0"/>
      </w:pPr>
      <w:r>
        <w:rPr>
          <w:rFonts w:ascii="Times New Roman" w:hAnsi="Times New Roman" w:eastAsia="宋体"/>
          <w:color w:val="000000"/>
          <w:sz w:val="24"/>
        </w:rPr>
        <w:t>核心原则包括：草稿、已发布版本、已部署版本是三个不同状态；发布包不可变，任何内容变化都产生新版本和新校验和；已发布规则流固定引用资产版本，历史决策必须能够重放；生产执行不依赖设计中心或治理中心在线；规则结构化模型是事实来源，DRL 是 Drools 适配器生成的构建产物。</w:t>
      </w:r>
    </w:p>
    <w:p>
      <w:pPr>
        <w:spacing w:before="0" w:after="0" w:line="360" w:lineRule="auto"/>
        <w:jc w:val="both"/>
        <w:ind w:firstLineChars="200" w:firstLine="0"/>
      </w:pPr>
      <w:r>
        <w:rPr>
          <w:rFonts w:ascii="Times New Roman" w:hAnsi="Times New Roman" w:eastAsia="宋体"/>
          <w:color w:val="000000"/>
          <w:sz w:val="24"/>
        </w:rPr>
        <w:t>当前版本为单工作空间、多项目原型：管理 API 已支持 OIDC JWT 验签、浏览器 BFF 会话、角色门禁和策略式项目/资产授权；PostgreSQL 已覆盖项目、包、资产、草稿修订、发布版本、BOM、测试报告、Release、部署回执、变更集和审计事件；尚未实现工作空间级多租户隔离和备份恢复。</w:t>
      </w:r>
    </w:p>
    <w:p>
      <w:pPr>
        <w:pStyle w:val="Heading2"/>
        <w:keepNext/>
        <w:spacing w:before="220" w:after="100"/>
      </w:pPr>
      <w:bookmarkStart w:id="4" w:name="_LarkToc00004"/>
      <w:r>
        <w:rPr>
          <w:rFonts w:ascii="Times New Roman" w:hAnsi="Times New Roman" w:eastAsia="黑体"/>
          <w:b/>
          <w:color w:val="000000"/>
          <w:sz w:val="28"/>
        </w:rPr>
        <w:t>1.3 核心概念与术语</w:t>
      </w:r>
      <w:bookmarkEnd w:id="4"/>
    </w:p>
    <w:p>
      <w:pPr>
        <w:spacing w:before="0" w:after="0" w:line="360" w:lineRule="auto"/>
        <w:jc w:val="both"/>
        <w:ind w:firstLineChars="200" w:firstLine="0"/>
      </w:pPr>
      <w:r>
        <w:rPr>
          <w:rFonts w:ascii="Times New Roman" w:hAnsi="Times New Roman" w:eastAsia="宋体"/>
          <w:color w:val="000000"/>
          <w:sz w:val="24"/>
        </w:rPr>
        <w:t>平台的核心业务对象按以下层次组织：工作空间（Workspace）下包含项目（Project），项目下包含决策服务（Decision Service）以及业务对象模型（BOM）、规则集（Rule Set，含向导式规则、决策表、高级 DRL 规则）、规则流（Rule Flow）、测试套件（Test Suite）；变更集（Change Set）聚合资产修订（Asset Revision）；发布包（Release）包含可执行步骤、模型快照、引擎约束和校验和；部署（Deployment）包含环境、RES 集群、发布包、状态和流量策略。</w:t>
      </w:r>
    </w:p>
    <w:p>
      <w:pPr>
        <w:keepNext/>
        <w:spacing w:before="80" w:after="80" w:line="240" w:lineRule="auto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表 1-1 核心概念一览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/>
        </w:trPr>
        <w:tc>
          <w:tcPr>
            <w:tcW w:type="dxa" w:w="2117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概念</w:t>
            </w:r>
          </w:p>
        </w:tc>
        <w:tc>
          <w:tcPr>
            <w:tcW w:type="dxa" w:w="6954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含义</w:t>
            </w:r>
          </w:p>
        </w:tc>
      </w:tr>
      <w:tr>
        <w:trPr>
          <w:cantSplit/>
        </w:trPr>
        <w:tc>
          <w:tcPr>
            <w:tcW w:type="dxa" w:w="2117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BOM</w:t>
            </w:r>
          </w:p>
        </w:tc>
        <w:tc>
          <w:tcPr>
            <w:tcW w:type="dxa" w:w="6954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业务对象模型，字段字典。定义事实类型、字段、方向（输入/输出）、数据类型与枚举值，是规则、决策表、规则流和 CEP 事件流的元数据源头。</w:t>
            </w:r>
          </w:p>
        </w:tc>
      </w:tr>
      <w:tr>
        <w:trPr>
          <w:cantSplit/>
        </w:trPr>
        <w:tc>
          <w:tcPr>
            <w:tcW w:type="dxa" w:w="2117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规则包（Package）</w:t>
            </w:r>
          </w:p>
        </w:tc>
        <w:tc>
          <w:tcPr>
            <w:tcW w:type="dxa" w:w="6954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规则与决策表的逻辑分组，对应 DRL 的 package 语句，支持最多三层嵌套。</w:t>
            </w:r>
          </w:p>
        </w:tc>
      </w:tr>
      <w:tr>
        <w:trPr>
          <w:cantSplit/>
        </w:trPr>
        <w:tc>
          <w:tcPr>
            <w:tcW w:type="dxa" w:w="2117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BAL 规则</w:t>
            </w:r>
          </w:p>
        </w:tc>
        <w:tc>
          <w:tcPr>
            <w:tcW w:type="dxa" w:w="6954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业务动作语言规则，以中文自然语言表达“当…那么…”，业务人员无需了解 DRL。</w:t>
            </w:r>
          </w:p>
        </w:tc>
      </w:tr>
      <w:tr>
        <w:trPr>
          <w:cantSplit/>
        </w:trPr>
        <w:tc>
          <w:tcPr>
            <w:tcW w:type="dxa" w:w="2117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决策表</w:t>
            </w:r>
          </w:p>
        </w:tc>
        <w:tc>
          <w:tcPr>
            <w:tcW w:type="dxa" w:w="6954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用类似 Excel 网格的方式编写规则，每一行一条规则，适合多条件、多结果、枚举型业务。</w:t>
            </w:r>
          </w:p>
        </w:tc>
      </w:tr>
      <w:tr>
        <w:trPr>
          <w:cantSplit/>
        </w:trPr>
        <w:tc>
          <w:tcPr>
            <w:tcW w:type="dxa" w:w="2117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规则流（RuleFlow）</w:t>
            </w:r>
          </w:p>
        </w:tc>
        <w:tc>
          <w:tcPr>
            <w:tcW w:type="dxa" w:w="6954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对公共步骤、单个排他条件网关和分支步骤的编排，发布时冻结引用的资产版本。</w:t>
            </w:r>
          </w:p>
        </w:tc>
      </w:tr>
      <w:tr>
        <w:trPr>
          <w:cantSplit/>
        </w:trPr>
        <w:tc>
          <w:tcPr>
            <w:tcW w:type="dxa" w:w="2117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Rule Group</w:t>
            </w:r>
          </w:p>
        </w:tc>
        <w:tc>
          <w:tcPr>
            <w:tcW w:type="dxa" w:w="6954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规则流内部的步骤节点，引用一个规则包，发布时批量冻结包内已发布资产。</w:t>
            </w:r>
          </w:p>
        </w:tc>
      </w:tr>
      <w:tr>
        <w:trPr>
          <w:cantSplit/>
        </w:trPr>
        <w:tc>
          <w:tcPr>
            <w:tcW w:type="dxa" w:w="2117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EventStream</w:t>
            </w:r>
          </w:p>
        </w:tc>
        <w:tc>
          <w:tcPr>
            <w:tcW w:type="dxa" w:w="6954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CEP 项目中的事件流资产，由多条检测语句（EPL）组成，经真实 Esper 编译后发布执行。</w:t>
            </w:r>
          </w:p>
        </w:tc>
      </w:tr>
      <w:tr>
        <w:trPr>
          <w:cantSplit/>
        </w:trPr>
        <w:tc>
          <w:tcPr>
            <w:tcW w:type="dxa" w:w="2117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测试套件</w:t>
            </w:r>
          </w:p>
        </w:tc>
        <w:tc>
          <w:tcPr>
            <w:tcW w:type="dxa" w:w="6954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针对已发布规则、决策表或规则流的一组测试用例，支持参数化、断言、覆盖率和版本对比。</w:t>
            </w:r>
          </w:p>
        </w:tc>
      </w:tr>
      <w:tr>
        <w:trPr>
          <w:cantSplit/>
        </w:trPr>
        <w:tc>
          <w:tcPr>
            <w:tcW w:type="dxa" w:w="2117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变更集（Change Set）</w:t>
            </w:r>
          </w:p>
        </w:tc>
        <w:tc>
          <w:tcPr>
            <w:tcW w:type="dxa" w:w="6954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将多个资产修订聚合为评审与发布的最小单位，固定评审证据。</w:t>
            </w:r>
          </w:p>
        </w:tc>
      </w:tr>
      <w:tr>
        <w:trPr>
          <w:cantSplit/>
        </w:trPr>
        <w:tc>
          <w:tcPr>
            <w:tcW w:type="dxa" w:w="2117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发布包（Release）</w:t>
            </w:r>
          </w:p>
        </w:tc>
        <w:tc>
          <w:tcPr>
            <w:tcW w:type="dxa" w:w="6954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不可变发布制品，包含决策服务标识、语义版本、资产版本、步骤快照、DRL、模型版本、引擎版本和 SHA-256 校验和。</w:t>
            </w:r>
          </w:p>
        </w:tc>
      </w:tr>
      <w:tr>
        <w:trPr>
          <w:cantSplit/>
        </w:trPr>
        <w:tc>
          <w:tcPr>
            <w:tcW w:type="dxa" w:w="2117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部署（Deployment）</w:t>
            </w:r>
          </w:p>
        </w:tc>
        <w:tc>
          <w:tcPr>
            <w:tcW w:type="dxa" w:w="6954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把 Release 部署到指定环境（当前 MVP 支持 local）并记录部署回执的动作。</w:t>
            </w:r>
          </w:p>
        </w:tc>
      </w:tr>
      <w:tr>
        <w:trPr>
          <w:cantSplit/>
        </w:trPr>
        <w:tc>
          <w:tcPr>
            <w:tcW w:type="dxa" w:w="2117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RES</w:t>
            </w:r>
          </w:p>
        </w:tc>
        <w:tc>
          <w:tcPr>
            <w:tcW w:type="dxa" w:w="6954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规则执行中心，独立进程与镜像，只接受治理中心生成的、校验和有效的 Release。</w:t>
            </w:r>
          </w:p>
        </w:tc>
      </w:tr>
    </w:tbl>
    <w:p>
      <w:pPr>
        <w:spacing w:before="0" w:after="0" w:line="360" w:lineRule="auto"/>
        <w:jc w:val="both"/>
        <w:ind w:firstLineChars="200" w:firstLine="0"/>
      </w:pPr>
      <w:r>
        <w:rPr>
          <w:rFonts w:ascii="Times New Roman" w:hAnsi="Times New Roman" w:eastAsia="宋体"/>
          <w:color w:val="000000"/>
          <w:sz w:val="24"/>
        </w:rPr>
        <w:t>资产状态流转为：草稿（DRAFT）→ 待评审（SUBMITTED）→ 测试中 → 待批准 → 已批准 → 已发布 → 已归档。当前已交付的固定状态流为 DRAFT → SUBMITTED → APPROVED/REJECTED，驳回后可重新打开。</w:t>
      </w:r>
    </w:p>
    <w:p>
      <w:pPr>
        <w:pStyle w:val="Heading2"/>
        <w:keepNext/>
        <w:spacing w:before="220" w:after="100"/>
      </w:pPr>
      <w:bookmarkStart w:id="5" w:name="_LarkToc00005"/>
      <w:r>
        <w:rPr>
          <w:rFonts w:ascii="Times New Roman" w:hAnsi="Times New Roman" w:eastAsia="黑体"/>
          <w:b/>
          <w:color w:val="000000"/>
          <w:sz w:val="28"/>
        </w:rPr>
        <w:t>1.4 用户角色与职责</w:t>
      </w:r>
      <w:bookmarkEnd w:id="5"/>
    </w:p>
    <w:p>
      <w:pPr>
        <w:keepNext/>
        <w:spacing w:before="80" w:after="80" w:line="240" w:lineRule="auto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表 1-2 用户角色与职责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角色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主要职责</w:t>
            </w:r>
          </w:p>
        </w:tc>
        <w:tc>
          <w:tcPr>
            <w:tcW w:type="dxa" w:w="3855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关键权限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业务规则作者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编写规则和决策表，维护业务说明</w:t>
            </w:r>
          </w:p>
        </w:tc>
        <w:tc>
          <w:tcPr>
            <w:tcW w:type="dxa" w:w="3855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查看、编辑、提交评审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规则开发人员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维护业务对象模型、函数和高级规则</w:t>
            </w:r>
          </w:p>
        </w:tc>
        <w:tc>
          <w:tcPr>
            <w:tcW w:type="dxa" w:w="3855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编辑技术资产、编译、诊断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测试人员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建立测试集、回归验证、影响分析</w:t>
            </w:r>
          </w:p>
        </w:tc>
        <w:tc>
          <w:tcPr>
            <w:tcW w:type="dxa" w:w="3855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执行测试、确认测试门禁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审核人员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检查业务变化并批准变更集</w:t>
            </w:r>
          </w:p>
        </w:tc>
        <w:tc>
          <w:tcPr>
            <w:tcW w:type="dxa" w:w="3855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审核、驳回、批准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发布经理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创建发布包并部署到目标环境</w:t>
            </w:r>
          </w:p>
        </w:tc>
        <w:tc>
          <w:tcPr>
            <w:tcW w:type="dxa" w:w="3855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发布、部署、回滚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运维人员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管理 RES 集群、路由、容量和告警</w:t>
            </w:r>
          </w:p>
        </w:tc>
        <w:tc>
          <w:tcPr>
            <w:tcW w:type="dxa" w:w="3855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环境管理、灰度、监控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审计人员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查询变更与执行证据</w:t>
            </w:r>
          </w:p>
        </w:tc>
        <w:tc>
          <w:tcPr>
            <w:tcW w:type="dxa" w:w="3855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只读审计、报表导出</w:t>
            </w:r>
          </w:p>
        </w:tc>
      </w:tr>
    </w:tbl>
    <w:p>
      <w:pPr>
        <w:spacing w:before="0" w:after="0" w:line="360" w:lineRule="auto"/>
        <w:jc w:val="both"/>
        <w:ind w:firstLineChars="200" w:firstLine="0"/>
      </w:pPr>
      <w:r>
        <w:rPr>
          <w:rFonts w:ascii="Times New Roman" w:hAnsi="Times New Roman" w:eastAsia="宋体"/>
          <w:color w:val="000000"/>
          <w:sz w:val="24"/>
        </w:rPr>
        <w:t>平台内置角色为 viewer（查看者）、author（规则作者）、reviewer（评审人）、release-manager（发布管理员）和 admin（系统管理员），分别控制查看、资产编辑、变更评审、Release 创建/部署和全部操作。原则是作者不能自审自发，审核与部署职责分离。</w:t>
      </w:r>
    </w:p>
    <w:p>
      <w:pPr>
        <w:pStyle w:val="Heading1"/>
        <w:keepNext/>
        <w:spacing w:before="280" w:after="120"/>
      </w:pPr>
      <w:bookmarkStart w:id="6" w:name="_LarkToc00006"/>
      <w:r>
        <w:rPr>
          <w:rFonts w:ascii="Times New Roman" w:hAnsi="Times New Roman" w:eastAsia="黑体"/>
          <w:b/>
          <w:color w:val="000000"/>
          <w:sz w:val="32"/>
        </w:rPr>
        <w:t>2 部署与启动</w:t>
      </w:r>
      <w:bookmarkEnd w:id="6"/>
    </w:p>
    <w:p>
      <w:pPr>
        <w:pStyle w:val="Heading2"/>
        <w:keepNext/>
        <w:spacing w:before="220" w:after="100"/>
      </w:pPr>
      <w:bookmarkStart w:id="7" w:name="_LarkToc00007"/>
      <w:r>
        <w:rPr>
          <w:rFonts w:ascii="Times New Roman" w:hAnsi="Times New Roman" w:eastAsia="黑体"/>
          <w:b/>
          <w:color w:val="000000"/>
          <w:sz w:val="28"/>
        </w:rPr>
        <w:t>2.1 环境要求</w:t>
      </w:r>
      <w:bookmarkEnd w:id="7"/>
    </w:p>
    <w:p>
      <w:pPr>
        <w:keepNext/>
        <w:spacing w:before="80" w:after="80" w:line="240" w:lineRule="auto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表 2-1 环境要求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/>
        </w:trPr>
        <w:tc>
          <w:tcPr>
            <w:tcW w:type="dxa" w:w="1701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7370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要求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操作系统</w:t>
            </w:r>
          </w:p>
        </w:tc>
        <w:tc>
          <w:tcPr>
            <w:tcW w:type="dxa" w:w="7370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支持 Node.js 20+ 和 Docker 的 macOS / Linux / Windows 环境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Node.js</w:t>
            </w:r>
          </w:p>
        </w:tc>
        <w:tc>
          <w:tcPr>
            <w:tcW w:type="dxa" w:w="7370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 及以上版本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Docker</w:t>
            </w:r>
          </w:p>
        </w:tc>
        <w:tc>
          <w:tcPr>
            <w:tcW w:type="dxa" w:w="7370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用于启动规则引擎、CEP 容器与可选 PostgreSQL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PostgreSQL（可选）</w:t>
            </w:r>
          </w:p>
        </w:tc>
        <w:tc>
          <w:tcPr>
            <w:tcW w:type="dxa" w:w="7370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仅在使用数据库模式持久化时需要，默认 JSON 模式无需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浏览器</w:t>
            </w:r>
          </w:p>
        </w:tc>
        <w:tc>
          <w:tcPr>
            <w:tcW w:type="dxa" w:w="7370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支持现代浏览器的前端访问（前端开发服务器默认 5173 端口）</w:t>
            </w:r>
          </w:p>
        </w:tc>
      </w:tr>
    </w:tbl>
    <w:p>
      <w:pPr>
        <w:pStyle w:val="Heading2"/>
        <w:keepNext/>
        <w:spacing w:before="220" w:after="100"/>
      </w:pPr>
      <w:bookmarkStart w:id="8" w:name="_LarkToc00008"/>
      <w:r>
        <w:rPr>
          <w:rFonts w:ascii="Times New Roman" w:hAnsi="Times New Roman" w:eastAsia="黑体"/>
          <w:b/>
          <w:color w:val="000000"/>
          <w:sz w:val="28"/>
        </w:rPr>
        <w:t>2.2 安装依赖</w:t>
      </w:r>
      <w:bookmarkEnd w:id="8"/>
    </w:p>
    <w:p>
      <w:pPr>
        <w:spacing w:before="0" w:after="0" w:line="360" w:lineRule="auto"/>
        <w:jc w:val="both"/>
        <w:ind w:firstLineChars="200" w:firstLine="0"/>
      </w:pPr>
      <w:r>
        <w:rPr>
          <w:rFonts w:ascii="Times New Roman" w:hAnsi="Times New Roman" w:eastAsia="宋体"/>
          <w:color w:val="000000"/>
          <w:sz w:val="24"/>
        </w:rPr>
        <w:t>在项目根目录安装后端依赖，并在 frontend 目录安装前端依赖。根目录的 dev/build/lint 命令均通过 --prefix frontend 调用，不会自动安装 frontend 目录的依赖，因此两步安装都需执行：</w:t>
      </w:r>
    </w:p>
    <w:p>
      <w:pPr>
        <w:spacing w:before="0" w:after="0" w:line="360" w:lineRule="auto"/>
        <w:jc w:val="both"/>
        <w:ind w:firstLineChars="200" w:firstLine="0"/>
      </w:pPr>
      <w:r>
        <w:rPr>
          <w:rFonts w:ascii="Times New Roman" w:hAnsi="Times New Roman" w:eastAsia="宋体"/>
          <w:color w:val="000000"/>
          <w:sz w:val="24"/>
        </w:rPr>
        <w:t>（1）</w:t>
      </w:r>
      <w:r>
        <w:rPr>
          <w:rFonts w:ascii="Times New Roman" w:hAnsi="Times New Roman" w:eastAsia="宋体"/>
          <w:color w:val="000000"/>
          <w:sz w:val="24"/>
        </w:rPr>
        <w:t>在项目根目录执行 npm install，安装后端依赖；</w:t>
      </w:r>
    </w:p>
    <w:p>
      <w:pPr>
        <w:spacing w:before="0" w:after="0" w:line="360" w:lineRule="auto"/>
        <w:jc w:val="both"/>
        <w:ind w:firstLineChars="200" w:firstLine="0"/>
      </w:pPr>
      <w:r>
        <w:rPr>
          <w:rFonts w:ascii="Times New Roman" w:hAnsi="Times New Roman" w:eastAsia="宋体"/>
          <w:color w:val="000000"/>
          <w:sz w:val="24"/>
        </w:rPr>
        <w:t>（2）</w:t>
      </w:r>
      <w:r>
        <w:rPr>
          <w:rFonts w:ascii="Times New Roman" w:hAnsi="Times New Roman" w:eastAsia="宋体"/>
          <w:color w:val="000000"/>
          <w:sz w:val="24"/>
        </w:rPr>
        <w:t>进入 frontend 目录执行 npm install，安装前端依赖；</w:t>
      </w:r>
    </w:p>
    <w:p>
      <w:pPr>
        <w:spacing w:before="0" w:after="0" w:line="360" w:lineRule="auto"/>
        <w:jc w:val="both"/>
        <w:ind w:firstLineChars="200" w:firstLine="0"/>
      </w:pPr>
      <w:r>
        <w:rPr>
          <w:rFonts w:ascii="Times New Roman" w:hAnsi="Times New Roman" w:eastAsia="宋体"/>
          <w:color w:val="000000"/>
          <w:sz w:val="24"/>
        </w:rPr>
        <w:t>（3）</w:t>
      </w:r>
      <w:r>
        <w:rPr>
          <w:rFonts w:ascii="Times New Roman" w:hAnsi="Times New Roman" w:eastAsia="宋体"/>
          <w:color w:val="000000"/>
          <w:sz w:val="24"/>
        </w:rPr>
        <w:t>返回项目根目录，准备下一步启动。</w:t>
      </w:r>
    </w:p>
    <w:p>
      <w:pPr>
        <w:pStyle w:val="Heading2"/>
        <w:keepNext/>
        <w:spacing w:before="220" w:after="100"/>
      </w:pPr>
      <w:bookmarkStart w:id="9" w:name="_LarkToc00009"/>
      <w:r>
        <w:rPr>
          <w:rFonts w:ascii="Times New Roman" w:hAnsi="Times New Roman" w:eastAsia="黑体"/>
          <w:b/>
          <w:color w:val="000000"/>
          <w:sz w:val="28"/>
        </w:rPr>
        <w:t>2.3 启动引擎容器</w:t>
      </w:r>
      <w:bookmarkEnd w:id="9"/>
    </w:p>
    <w:p>
      <w:pPr>
        <w:spacing w:before="0" w:after="0" w:line="360" w:lineRule="auto"/>
        <w:jc w:val="both"/>
        <w:ind w:firstLineChars="200" w:firstLine="0"/>
      </w:pPr>
      <w:r>
        <w:rPr>
          <w:rFonts w:ascii="Times New Roman" w:hAnsi="Times New Roman" w:eastAsia="宋体"/>
          <w:color w:val="000000"/>
          <w:sz w:val="24"/>
        </w:rPr>
        <w:t>使用 Docker Compose 启动规则引擎和 CEP 容器：</w:t>
      </w:r>
    </w:p>
    <w:p>
      <w:pPr>
        <w:spacing w:before="0" w:after="0" w:line="360" w:lineRule="auto"/>
        <w:jc w:val="both"/>
        <w:ind w:firstLineChars="200" w:firstLine="0"/>
      </w:pPr>
      <w:r>
        <w:rPr>
          <w:rFonts w:ascii="Times New Roman" w:hAnsi="Times New Roman" w:eastAsia="宋体"/>
          <w:color w:val="000000"/>
          <w:sz w:val="24"/>
        </w:rPr>
        <w:t>docker compose up --build -d engine res cep-build cep-res</w:t>
      </w:r>
    </w:p>
    <w:p>
      <w:pPr>
        <w:spacing w:before="0" w:after="0" w:line="360" w:lineRule="auto"/>
        <w:jc w:val="both"/>
        <w:ind w:firstLineChars="200" w:firstLine="0"/>
      </w:pPr>
      <w:r>
        <w:rPr>
          <w:rFonts w:ascii="Times New Roman" w:hAnsi="Times New Roman" w:eastAsia="宋体"/>
          <w:color w:val="000000"/>
          <w:sz w:val="24"/>
        </w:rPr>
        <w:t>如使用 PostgreSQL 模式，还需额外启动 postgres 容器（见 2.5 节）。容器基础镜像默认从 docker.1ms.run 拉取，构建阶段通过 engine/settings.xml 使用阿里云 Maven 公共仓库，不修改 Docker daemon 或全局 Maven 配置；镜像站不可用时，可用 Docker 构建参数 BUILD_IMAGE 和 RUNTIME_IMAGE 指定其他可访问的镜像地址。</w:t>
      </w:r>
    </w:p>
    <w:p>
      <w:pPr>
        <w:pStyle w:val="Heading2"/>
        <w:keepNext/>
        <w:spacing w:before="220" w:after="100"/>
      </w:pPr>
      <w:bookmarkStart w:id="10" w:name="_LarkToc00010"/>
      <w:r>
        <w:rPr>
          <w:rFonts w:ascii="Times New Roman" w:hAnsi="Times New Roman" w:eastAsia="黑体"/>
          <w:b/>
          <w:color w:val="000000"/>
          <w:sz w:val="28"/>
        </w:rPr>
        <w:t>2.4 启动 Team Server 与前端</w:t>
      </w:r>
      <w:bookmarkEnd w:id="10"/>
    </w:p>
    <w:p>
      <w:pPr>
        <w:spacing w:before="0" w:after="0" w:line="360" w:lineRule="auto"/>
        <w:jc w:val="both"/>
        <w:ind w:firstLineChars="200" w:firstLine="0"/>
      </w:pPr>
      <w:r>
        <w:rPr>
          <w:rFonts w:ascii="Times New Roman" w:hAnsi="Times New Roman" w:eastAsia="宋体"/>
          <w:color w:val="000000"/>
          <w:sz w:val="24"/>
        </w:rPr>
        <w:t>启动治理中心（Team Server）与前端开发服务器：</w:t>
      </w:r>
    </w:p>
    <w:p>
      <w:pPr>
        <w:spacing w:before="0" w:after="0" w:line="360" w:lineRule="auto"/>
        <w:jc w:val="both"/>
        <w:ind w:firstLineChars="200" w:firstLine="0"/>
      </w:pPr>
      <w:r>
        <w:rPr>
          <w:rFonts w:ascii="Times New Roman" w:hAnsi="Times New Roman" w:eastAsia="宋体"/>
          <w:color w:val="000000"/>
          <w:sz w:val="24"/>
        </w:rPr>
        <w:t>npm run api     # Team Server，默认监听 127.0.0.1:8787</w:t>
      </w:r>
    </w:p>
    <w:p>
      <w:pPr>
        <w:spacing w:before="0" w:after="0" w:line="360" w:lineRule="auto"/>
        <w:jc w:val="both"/>
        <w:ind w:firstLineChars="200" w:firstLine="0"/>
      </w:pPr>
      <w:r>
        <w:rPr>
          <w:rFonts w:ascii="Times New Roman" w:hAnsi="Times New Roman" w:eastAsia="宋体"/>
          <w:color w:val="000000"/>
          <w:sz w:val="24"/>
        </w:rPr>
        <w:t>npm run dev     # frontend 前端开发服务器，默认 http://127.0.0.1:5173</w:t>
      </w:r>
    </w:p>
    <w:p>
      <w:pPr>
        <w:spacing w:before="0" w:after="0" w:line="360" w:lineRule="auto"/>
        <w:jc w:val="both"/>
        <w:ind w:firstLineChars="200" w:firstLine="0"/>
      </w:pPr>
      <w:r>
        <w:rPr>
          <w:rFonts w:ascii="Times New Roman" w:hAnsi="Times New Roman" w:eastAsia="宋体"/>
          <w:color w:val="000000"/>
          <w:sz w:val="24"/>
        </w:rPr>
        <w:t>浏览器打开 http://127.0.0.1:5173 即可访问工作台。未设置 DATABASE_URL 时，系统使用 data/*.json 文件存储。</w:t>
      </w:r>
    </w:p>
    <w:p>
      <w:pPr>
        <w:spacing w:before="0" w:after="0" w:line="360" w:lineRule="auto"/>
        <w:jc w:val="both"/>
        <w:ind w:firstLineChars="200" w:firstLine="0"/>
      </w:pPr>
      <w:r>
        <w:rPr>
          <w:rFonts w:ascii="Times New Roman" w:hAnsi="Times New Roman" w:eastAsia="宋体"/>
          <w:color w:val="000000"/>
          <w:sz w:val="24"/>
        </w:rPr>
        <w:t>注意：后端默认端口是 8787（可用 API_PORT 覆盖），而 frontend/vite.config.ts 的 /api 代理固定指向 127.0.0.1:8789。本地联调需让两者一致，例如使用 API_PORT=8789 npm run api 启动。前端默认端口 5173，如需改端口请使用 cd frontend &amp;&amp; npm run dev -- --port 5175。</w:t>
      </w:r>
    </w:p>
    <w:p>
      <w:pPr>
        <w:pStyle w:val="Heading2"/>
        <w:keepNext/>
        <w:spacing w:before="220" w:after="100"/>
      </w:pPr>
      <w:bookmarkStart w:id="11" w:name="_LarkToc00011"/>
      <w:r>
        <w:rPr>
          <w:rFonts w:ascii="Times New Roman" w:hAnsi="Times New Roman" w:eastAsia="黑体"/>
          <w:b/>
          <w:color w:val="000000"/>
          <w:sz w:val="28"/>
        </w:rPr>
        <w:t>2.5 PostgreSQL 模式</w:t>
      </w:r>
      <w:bookmarkEnd w:id="11"/>
    </w:p>
    <w:p>
      <w:pPr>
        <w:spacing w:before="0" w:after="0" w:line="360" w:lineRule="auto"/>
        <w:jc w:val="both"/>
        <w:ind w:firstLineChars="200" w:firstLine="0"/>
      </w:pPr>
      <w:r>
        <w:rPr>
          <w:rFonts w:ascii="Times New Roman" w:hAnsi="Times New Roman" w:eastAsia="宋体"/>
          <w:color w:val="000000"/>
          <w:sz w:val="24"/>
        </w:rPr>
        <w:t>平台支持 JSON 文件与 PostgreSQL 两种存储模式。需要多人协作与数据库级乐观锁时使用 PostgreSQL：</w:t>
      </w:r>
    </w:p>
    <w:p>
      <w:pPr>
        <w:spacing w:before="0" w:after="0" w:line="360" w:lineRule="auto"/>
        <w:jc w:val="both"/>
        <w:ind w:firstLineChars="200" w:firstLine="0"/>
      </w:pPr>
      <w:r>
        <w:rPr>
          <w:rFonts w:ascii="Times New Roman" w:hAnsi="Times New Roman" w:eastAsia="宋体"/>
          <w:color w:val="000000"/>
          <w:sz w:val="24"/>
        </w:rPr>
        <w:t>（1）</w:t>
      </w:r>
      <w:r>
        <w:rPr>
          <w:rFonts w:ascii="Times New Roman" w:hAnsi="Times New Roman" w:eastAsia="宋体"/>
          <w:color w:val="000000"/>
          <w:sz w:val="24"/>
        </w:rPr>
        <w:t>启动数据库容器：docker compose up -d postgres；</w:t>
      </w:r>
    </w:p>
    <w:p>
      <w:pPr>
        <w:spacing w:before="0" w:after="0" w:line="360" w:lineRule="auto"/>
        <w:jc w:val="both"/>
        <w:ind w:firstLineChars="200" w:firstLine="0"/>
      </w:pPr>
      <w:r>
        <w:rPr>
          <w:rFonts w:ascii="Times New Roman" w:hAnsi="Times New Roman" w:eastAsia="宋体"/>
          <w:color w:val="000000"/>
          <w:sz w:val="24"/>
        </w:rPr>
        <w:t>（2）</w:t>
      </w:r>
      <w:r>
        <w:rPr>
          <w:rFonts w:ascii="Times New Roman" w:hAnsi="Times New Roman" w:eastAsia="宋体"/>
          <w:color w:val="000000"/>
          <w:sz w:val="24"/>
        </w:rPr>
        <w:t>设置环境变量：export DATABASE_URL=postgresql://rules:rules-local@127.0.0.1:54329/rules；</w:t>
      </w:r>
    </w:p>
    <w:p>
      <w:pPr>
        <w:spacing w:before="0" w:after="0" w:line="360" w:lineRule="auto"/>
        <w:jc w:val="both"/>
        <w:ind w:firstLineChars="200" w:firstLine="0"/>
      </w:pPr>
      <w:r>
        <w:rPr>
          <w:rFonts w:ascii="Times New Roman" w:hAnsi="Times New Roman" w:eastAsia="宋体"/>
          <w:color w:val="000000"/>
          <w:sz w:val="24"/>
        </w:rPr>
        <w:t>（3）</w:t>
      </w:r>
      <w:r>
        <w:rPr>
          <w:rFonts w:ascii="Times New Roman" w:hAnsi="Times New Roman" w:eastAsia="宋体"/>
          <w:color w:val="000000"/>
          <w:sz w:val="24"/>
        </w:rPr>
        <w:t>执行数据库迁移：npm run db:migrate；</w:t>
      </w:r>
    </w:p>
    <w:p>
      <w:pPr>
        <w:spacing w:before="0" w:after="0" w:line="360" w:lineRule="auto"/>
        <w:jc w:val="both"/>
        <w:ind w:firstLineChars="200" w:firstLine="0"/>
      </w:pPr>
      <w:r>
        <w:rPr>
          <w:rFonts w:ascii="Times New Roman" w:hAnsi="Times New Roman" w:eastAsia="宋体"/>
          <w:color w:val="000000"/>
          <w:sz w:val="24"/>
        </w:rPr>
        <w:t>（4）</w:t>
      </w:r>
      <w:r>
        <w:rPr>
          <w:rFonts w:ascii="Times New Roman" w:hAnsi="Times New Roman" w:eastAsia="宋体"/>
          <w:color w:val="000000"/>
          <w:sz w:val="24"/>
        </w:rPr>
        <w:t>首次迁移 JSON 数据：npm run db:import-json（目标库非空时会拒绝执行，防止覆盖）；</w:t>
      </w:r>
    </w:p>
    <w:p>
      <w:pPr>
        <w:spacing w:before="0" w:after="0" w:line="360" w:lineRule="auto"/>
        <w:jc w:val="both"/>
        <w:ind w:firstLineChars="200" w:firstLine="0"/>
      </w:pPr>
      <w:r>
        <w:rPr>
          <w:rFonts w:ascii="Times New Roman" w:hAnsi="Times New Roman" w:eastAsia="宋体"/>
          <w:color w:val="000000"/>
          <w:sz w:val="24"/>
        </w:rPr>
        <w:t>（5）</w:t>
      </w:r>
      <w:r>
        <w:rPr>
          <w:rFonts w:ascii="Times New Roman" w:hAnsi="Times New Roman" w:eastAsia="宋体"/>
          <w:color w:val="000000"/>
          <w:sz w:val="24"/>
        </w:rPr>
        <w:t>启动服务：npm run api。</w:t>
      </w:r>
    </w:p>
    <w:p>
      <w:pPr>
        <w:spacing w:before="0" w:after="0" w:line="360" w:lineRule="auto"/>
        <w:jc w:val="both"/>
        <w:ind w:firstLineChars="200" w:firstLine="0"/>
      </w:pPr>
      <w:r>
        <w:rPr>
          <w:rFonts w:ascii="Times New Roman" w:hAnsi="Times New Roman" w:eastAsia="宋体"/>
          <w:color w:val="000000"/>
          <w:sz w:val="24"/>
        </w:rPr>
        <w:t>可通过 GET /api/system/storage 接口确认当前存储模式。PostgreSQL 模式下，资产、资产修订、资产版本、BOM 版本、测试套件、测试报告、Release、部署回执、变更集和审计事件均按项目（project_id）隔离；JSON 数据可在数据库事务内一次性原子导入，任一对象失败则全部回滚。</w:t>
      </w:r>
    </w:p>
    <w:p>
      <w:pPr>
        <w:pStyle w:val="Heading2"/>
        <w:keepNext/>
        <w:spacing w:before="220" w:after="100"/>
      </w:pPr>
      <w:bookmarkStart w:id="12" w:name="_LarkToc00012"/>
      <w:r>
        <w:rPr>
          <w:rFonts w:ascii="Times New Roman" w:hAnsi="Times New Roman" w:eastAsia="黑体"/>
          <w:b/>
          <w:color w:val="000000"/>
          <w:sz w:val="28"/>
        </w:rPr>
        <w:t>2.6 认证模式配置</w:t>
      </w:r>
      <w:bookmarkEnd w:id="12"/>
    </w:p>
    <w:p>
      <w:pPr>
        <w:spacing w:before="0" w:after="0" w:line="360" w:lineRule="auto"/>
        <w:jc w:val="both"/>
        <w:ind w:firstLineChars="200" w:firstLine="0"/>
      </w:pPr>
      <w:r>
        <w:rPr>
          <w:rFonts w:ascii="Times New Roman" w:hAnsi="Times New Roman" w:eastAsia="宋体"/>
          <w:color w:val="000000"/>
          <w:sz w:val="24"/>
        </w:rPr>
        <w:t>默认 AUTH_MODE=local，仅用于本机开发，主体拥有 admin 权限。管理 API 可切换到 AUTH_MODE=oidc，此时必须配置 OIDC_ISSUER 和 OIDC_AUDIENCE，服务会通过 OIDC discovery 获取 JWKS 并验证 Bearer JWT；也可用 OIDC_JWKS_URI 显式覆盖。</w:t>
      </w:r>
    </w:p>
    <w:p>
      <w:pPr>
        <w:spacing w:before="0" w:after="0" w:line="360" w:lineRule="auto"/>
        <w:jc w:val="both"/>
        <w:ind w:firstLineChars="200" w:firstLine="0"/>
      </w:pPr>
      <w:r>
        <w:rPr>
          <w:rFonts w:ascii="Times New Roman" w:hAnsi="Times New Roman" w:eastAsia="宋体"/>
          <w:color w:val="000000"/>
          <w:sz w:val="24"/>
        </w:rPr>
        <w:t>OIDC 模式下，每个 /api/* 请求须携带 Bearer JWT，服务校验 RS256/PS256/ES256 签名、iss、aud、有效期和非空 sub，并从顶层 roles、Keycloak realm roles 和指定 OIDC_CLIENT_ID 的 client roles 提取角色。浏览器端使用 Authorization Code + PKCE 建立 HttpOnly BFF 会话，GET /api/session 返回当前已验证主体和权限。生产部署不能使用 local 模式。</w:t>
      </w:r>
    </w:p>
    <w:p>
      <w:pPr>
        <w:pStyle w:val="Heading2"/>
        <w:keepNext/>
        <w:spacing w:before="220" w:after="100"/>
      </w:pPr>
      <w:bookmarkStart w:id="13" w:name="_LarkToc00013"/>
      <w:r>
        <w:rPr>
          <w:rFonts w:ascii="Times New Roman" w:hAnsi="Times New Roman" w:eastAsia="黑体"/>
          <w:b/>
          <w:color w:val="000000"/>
          <w:sz w:val="28"/>
        </w:rPr>
        <w:t>2.7 服务端口与健康检查</w:t>
      </w:r>
      <w:bookmarkEnd w:id="13"/>
    </w:p>
    <w:p>
      <w:pPr>
        <w:keepNext/>
        <w:spacing w:before="80" w:after="80" w:line="240" w:lineRule="auto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表 2-2 服务端口与健康检查汇总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  <w:tblHeader/>
        </w:trPr>
        <w:tc>
          <w:tcPr>
            <w:tcW w:type="dxa" w:w="1944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服务</w:t>
            </w:r>
          </w:p>
        </w:tc>
        <w:tc>
          <w:tcPr>
            <w:tcW w:type="dxa" w:w="972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默认端口</w:t>
            </w:r>
          </w:p>
        </w:tc>
        <w:tc>
          <w:tcPr>
            <w:tcW w:type="dxa" w:w="2333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健康检查地址</w:t>
            </w:r>
          </w:p>
        </w:tc>
        <w:tc>
          <w:tcPr>
            <w:tcW w:type="dxa" w:w="3823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用途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Team Server（API）</w:t>
            </w:r>
          </w:p>
        </w:tc>
        <w:tc>
          <w:tcPr>
            <w:tcW w:type="dxa" w:w="972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8787 / 8789</w:t>
            </w:r>
          </w:p>
        </w:tc>
        <w:tc>
          <w:tcPr>
            <w:tcW w:type="dxa" w:w="2333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3823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治理中心管理 API，默认 8787，前端代理指向 8789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前端开发服务器</w:t>
            </w:r>
          </w:p>
        </w:tc>
        <w:tc>
          <w:tcPr>
            <w:tcW w:type="dxa" w:w="972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5173</w:t>
            </w:r>
          </w:p>
        </w:tc>
        <w:tc>
          <w:tcPr>
            <w:tcW w:type="dxa" w:w="2333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3823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Web 工作台界面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Drools Build Service</w:t>
            </w:r>
          </w:p>
        </w:tc>
        <w:tc>
          <w:tcPr>
            <w:tcW w:type="dxa" w:w="972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8788</w:t>
            </w:r>
          </w:p>
        </w:tc>
        <w:tc>
          <w:tcPr>
            <w:tcW w:type="dxa" w:w="2333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http://127.0.0.1:8788/health</w:t>
            </w:r>
          </w:p>
        </w:tc>
        <w:tc>
          <w:tcPr>
            <w:tcW w:type="dxa" w:w="3823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设计时编译临时 DRL，不承载生产流量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独立 RES</w:t>
            </w:r>
          </w:p>
        </w:tc>
        <w:tc>
          <w:tcPr>
            <w:tcW w:type="dxa" w:w="972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8790</w:t>
            </w:r>
          </w:p>
        </w:tc>
        <w:tc>
          <w:tcPr>
            <w:tcW w:type="dxa" w:w="2333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http://127.0.0.1:8790/health</w:t>
            </w:r>
          </w:p>
        </w:tc>
        <w:tc>
          <w:tcPr>
            <w:tcW w:type="dxa" w:w="3823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规则执行中心，执行已部署 Release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CEP Build/Test</w:t>
            </w:r>
          </w:p>
        </w:tc>
        <w:tc>
          <w:tcPr>
            <w:tcW w:type="dxa" w:w="972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8791</w:t>
            </w:r>
          </w:p>
        </w:tc>
        <w:tc>
          <w:tcPr>
            <w:tcW w:type="dxa" w:w="2333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http://127.0.0.1:8791/health</w:t>
            </w:r>
          </w:p>
        </w:tc>
        <w:tc>
          <w:tcPr>
            <w:tcW w:type="dxa" w:w="3823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CEP 设计时编译与测试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CEP Runtime</w:t>
            </w:r>
          </w:p>
        </w:tc>
        <w:tc>
          <w:tcPr>
            <w:tcW w:type="dxa" w:w="972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8792</w:t>
            </w:r>
          </w:p>
        </w:tc>
        <w:tc>
          <w:tcPr>
            <w:tcW w:type="dxa" w:w="2333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http://127.0.0.1:8792/health</w:t>
            </w:r>
          </w:p>
        </w:tc>
        <w:tc>
          <w:tcPr>
            <w:tcW w:type="dxa" w:w="3823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CEP 运行时，执行已部署事件流 Release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PostgreSQL</w:t>
            </w:r>
          </w:p>
        </w:tc>
        <w:tc>
          <w:tcPr>
            <w:tcW w:type="dxa" w:w="972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54329</w:t>
            </w:r>
          </w:p>
        </w:tc>
        <w:tc>
          <w:tcPr>
            <w:tcW w:type="dxa" w:w="2333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3823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数据库模式存储（可选）</w:t>
            </w:r>
          </w:p>
        </w:tc>
      </w:tr>
    </w:tbl>
    <w:p>
      <w:pPr>
        <w:pStyle w:val="Heading2"/>
        <w:keepNext/>
        <w:spacing w:before="220" w:after="100"/>
      </w:pPr>
      <w:bookmarkStart w:id="14" w:name="_LarkToc00014"/>
      <w:r>
        <w:rPr>
          <w:rFonts w:ascii="Times New Roman" w:hAnsi="Times New Roman" w:eastAsia="黑体"/>
          <w:b/>
          <w:color w:val="000000"/>
          <w:sz w:val="28"/>
        </w:rPr>
        <w:t>2.8 使用边界提示</w:t>
      </w:r>
      <w:bookmarkEnd w:id="14"/>
    </w:p>
    <w:p>
      <w:pPr>
        <w:spacing w:before="0" w:after="0" w:line="360" w:lineRule="auto"/>
        <w:jc w:val="both"/>
        <w:ind w:firstLineChars="200" w:firstLine="0"/>
      </w:pPr>
      <w:r>
        <w:rPr>
          <w:rFonts w:ascii="Times New Roman" w:hAnsi="Times New Roman" w:eastAsia="宋体"/>
          <w:color w:val="000000"/>
          <w:sz w:val="24"/>
        </w:rPr>
        <w:t>engine 与 res 服务均为本机原型调用而设计，尚未实现鉴权、签名、隔离与执行配额，不应暴露到公网。MVP 的本机端口仅绑定 127.0.0.1；生产部署前必须完成 Team Server 到 RES 的双向 TLS 或工作负载身份认证、Release 签名、RES 管理端口与执行端口隔离等安全改造。</w:t>
      </w:r>
    </w:p>
    <w:p>
      <w:pPr>
        <w:pStyle w:val="Heading1"/>
        <w:keepNext/>
        <w:spacing w:before="280" w:after="120"/>
      </w:pPr>
      <w:bookmarkStart w:id="15" w:name="_LarkToc00015"/>
      <w:r>
        <w:rPr>
          <w:rFonts w:ascii="Times New Roman" w:hAnsi="Times New Roman" w:eastAsia="黑体"/>
          <w:b/>
          <w:color w:val="000000"/>
          <w:sz w:val="32"/>
        </w:rPr>
        <w:t>3 登录与界面导航</w:t>
      </w:r>
      <w:bookmarkEnd w:id="15"/>
    </w:p>
    <w:p>
      <w:pPr>
        <w:pStyle w:val="Heading2"/>
        <w:keepNext/>
        <w:spacing w:before="220" w:after="100"/>
      </w:pPr>
      <w:bookmarkStart w:id="16" w:name="_LarkToc00016"/>
      <w:r>
        <w:rPr>
          <w:rFonts w:ascii="Times New Roman" w:hAnsi="Times New Roman" w:eastAsia="黑体"/>
          <w:b/>
          <w:color w:val="000000"/>
          <w:sz w:val="28"/>
        </w:rPr>
        <w:t>3.1 登录与退出</w:t>
      </w:r>
      <w:bookmarkEnd w:id="16"/>
    </w:p>
    <w:p>
      <w:pPr>
        <w:spacing w:before="0" w:after="0" w:line="360" w:lineRule="auto"/>
        <w:jc w:val="both"/>
        <w:ind w:firstLineChars="200" w:firstLine="0"/>
      </w:pPr>
      <w:r>
        <w:rPr>
          <w:rFonts w:ascii="Times New Roman" w:hAnsi="Times New Roman" w:eastAsia="宋体"/>
          <w:color w:val="000000"/>
          <w:sz w:val="24"/>
        </w:rPr>
        <w:t>打开 http://127.0.0.1:5173 后进入登录页。local 模式下本机直接以管理员身份工作；OIDC 模式下按浏览器 Authorization Code + PKCE 流程完成登录，服务端建立 HttpOnly BFF 会话。登录后点击顶栏右上角用户头像，可查看当前用户名、角色与邮箱，点击“退出登录”结束会话。</w:t>
      </w:r>
    </w:p>
    <w:p>
      <w:pPr>
        <w:pStyle w:val="Heading2"/>
        <w:keepNext/>
        <w:spacing w:before="220" w:after="100"/>
      </w:pPr>
      <w:bookmarkStart w:id="17" w:name="_LarkToc00017"/>
      <w:r>
        <w:rPr>
          <w:rFonts w:ascii="Times New Roman" w:hAnsi="Times New Roman" w:eastAsia="黑体"/>
          <w:b/>
          <w:color w:val="000000"/>
          <w:sz w:val="28"/>
        </w:rPr>
        <w:t>3.2 全局导航</w:t>
      </w:r>
      <w:bookmarkEnd w:id="17"/>
    </w:p>
    <w:p>
      <w:pPr>
        <w:spacing w:before="0" w:after="0" w:line="360" w:lineRule="auto"/>
        <w:jc w:val="both"/>
        <w:ind w:firstLineChars="200" w:firstLine="0"/>
      </w:pPr>
      <w:r>
        <w:rPr>
          <w:rFonts w:ascii="Times New Roman" w:hAnsi="Times New Roman" w:eastAsia="宋体"/>
          <w:color w:val="000000"/>
          <w:sz w:val="24"/>
        </w:rPr>
        <w:t>顶栏左侧为产品标识 DW + Decision Workbench，中部为四个全局导航入口：</w:t>
      </w:r>
    </w:p>
    <w:p>
      <w:pPr>
        <w:keepNext/>
        <w:spacing w:before="80" w:after="80" w:line="240" w:lineRule="auto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表 3-1 全局导航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/>
        </w:trPr>
        <w:tc>
          <w:tcPr>
            <w:tcW w:type="dxa" w:w="1361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导航</w:t>
            </w:r>
          </w:p>
        </w:tc>
        <w:tc>
          <w:tcPr>
            <w:tcW w:type="dxa" w:w="7710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用途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主页</w:t>
            </w:r>
          </w:p>
        </w:tc>
        <w:tc>
          <w:tcPr>
            <w:tcW w:type="dxa" w:w="7710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工作台首页入口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库</w:t>
            </w:r>
          </w:p>
        </w:tc>
        <w:tc>
          <w:tcPr>
            <w:tcW w:type="dxa" w:w="7710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决策服务（项目）卡片列表，点入进入项目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浏览</w:t>
            </w:r>
          </w:p>
        </w:tc>
        <w:tc>
          <w:tcPr>
            <w:tcW w:type="dxa" w:w="7710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跨项目资产目录，搜索与定位规则、决策表、规则流、BOM 字段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管理</w:t>
            </w:r>
          </w:p>
        </w:tc>
        <w:tc>
          <w:tcPr>
            <w:tcW w:type="dxa" w:w="7710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用户目录、角色权限矩阵、环境注册等系统管理</w:t>
            </w:r>
          </w:p>
        </w:tc>
      </w:tr>
    </w:tbl>
    <w:p>
      <w:pPr>
        <w:pStyle w:val="Heading2"/>
        <w:keepNext/>
        <w:spacing w:before="220" w:after="100"/>
      </w:pPr>
      <w:bookmarkStart w:id="18" w:name="_LarkToc00018"/>
      <w:r>
        <w:rPr>
          <w:rFonts w:ascii="Times New Roman" w:hAnsi="Times New Roman" w:eastAsia="黑体"/>
          <w:b/>
          <w:color w:val="000000"/>
          <w:sz w:val="28"/>
        </w:rPr>
        <w:t>3.3 项目内页签</w:t>
      </w:r>
      <w:bookmarkEnd w:id="18"/>
    </w:p>
    <w:p>
      <w:pPr>
        <w:spacing w:before="0" w:after="0" w:line="360" w:lineRule="auto"/>
        <w:jc w:val="both"/>
        <w:ind w:firstLineChars="200" w:firstLine="0"/>
      </w:pPr>
      <w:r>
        <w:rPr>
          <w:rFonts w:ascii="Times New Roman" w:hAnsi="Times New Roman" w:eastAsia="宋体"/>
          <w:color w:val="000000"/>
          <w:sz w:val="24"/>
        </w:rPr>
        <w:t>进入项目后，根据项目引擎类型显示不同页签组：</w:t>
      </w:r>
    </w:p>
    <w:p>
      <w:pPr>
        <w:keepNext/>
        <w:spacing w:before="80" w:after="80" w:line="240" w:lineRule="auto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表 3-2 项目内页签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/>
        </w:trPr>
        <w:tc>
          <w:tcPr>
            <w:tcW w:type="dxa" w:w="2494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引擎类型</w:t>
            </w:r>
          </w:p>
        </w:tc>
        <w:tc>
          <w:tcPr>
            <w:tcW w:type="dxa" w:w="6576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页签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rules（规则项目）</w:t>
            </w:r>
          </w:p>
        </w:tc>
        <w:tc>
          <w:tcPr>
            <w:tcW w:type="dxa" w:w="6576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资产 / 规则流 / BOM / 词汇 / 测试套件 / 审核 / 发布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cep（事件项目）</w:t>
            </w:r>
          </w:p>
        </w:tc>
        <w:tc>
          <w:tcPr>
            <w:tcW w:type="dxa" w:w="6576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事件流 / BOM / 词汇 / 测试套件 / 发布</w:t>
            </w:r>
          </w:p>
        </w:tc>
      </w:tr>
    </w:tbl>
    <w:p>
      <w:pPr>
        <w:spacing w:before="0" w:after="0" w:line="360" w:lineRule="auto"/>
        <w:jc w:val="both"/>
        <w:ind w:firstLineChars="200" w:firstLine="0"/>
      </w:pPr>
      <w:r>
        <w:rPr>
          <w:rFonts w:ascii="Times New Roman" w:hAnsi="Times New Roman" w:eastAsia="宋体"/>
          <w:color w:val="000000"/>
          <w:sz w:val="24"/>
        </w:rPr>
        <w:t>项目页顶栏右侧提供“报告”操作按钮，点击进入项目知识资产报告视图（见第 13 章）。</w:t>
      </w:r>
    </w:p>
    <w:p>
      <w:pPr>
        <w:pStyle w:val="Heading2"/>
        <w:keepNext/>
        <w:spacing w:before="220" w:after="100"/>
      </w:pPr>
      <w:bookmarkStart w:id="19" w:name="_LarkToc00019"/>
      <w:r>
        <w:rPr>
          <w:rFonts w:ascii="Times New Roman" w:hAnsi="Times New Roman" w:eastAsia="黑体"/>
          <w:b/>
          <w:color w:val="000000"/>
          <w:sz w:val="28"/>
        </w:rPr>
        <w:t>3.4 通用界面约定</w:t>
      </w:r>
      <w:bookmarkEnd w:id="19"/>
    </w:p>
    <w:p>
      <w:pPr>
        <w:spacing w:before="0" w:after="0" w:line="360" w:lineRule="auto"/>
        <w:jc w:val="both"/>
        <w:ind w:firstLineChars="200" w:firstLine="0"/>
      </w:pPr>
      <w:r>
        <w:rPr>
          <w:rFonts w:ascii="Times New Roman" w:hAnsi="Times New Roman" w:eastAsia="宋体"/>
          <w:color w:val="000000"/>
          <w:sz w:val="24"/>
        </w:rPr>
        <w:t>资产列表按状态显示彩色标签：草稿为橙色，审核中为蓝色，已发布为绿色，已废弃为灰色。资产类型以不同图标和颜色区分：BAL 规则为蓝色文书图标，决策表为紫色表格图标，规则流为红色流程图标。业务术语在编辑器中以蓝色虚线下划线显示，值以灰底等宽显示，操作符为黑色加粗，连接词为灰色。</w:t>
      </w:r>
    </w:p>
    <w:p>
      <w:pPr>
        <w:pStyle w:val="Heading1"/>
        <w:keepNext/>
        <w:spacing w:before="280" w:after="120"/>
      </w:pPr>
      <w:bookmarkStart w:id="20" w:name="_LarkToc00020"/>
      <w:r>
        <w:rPr>
          <w:rFonts w:ascii="Times New Roman" w:hAnsi="Times New Roman" w:eastAsia="黑体"/>
          <w:b/>
          <w:color w:val="000000"/>
          <w:sz w:val="32"/>
        </w:rPr>
        <w:t>4 项目管理</w:t>
      </w:r>
      <w:bookmarkEnd w:id="20"/>
    </w:p>
    <w:p>
      <w:pPr>
        <w:pStyle w:val="Heading2"/>
        <w:keepNext/>
        <w:spacing w:before="220" w:after="100"/>
      </w:pPr>
      <w:bookmarkStart w:id="21" w:name="_LarkToc00021"/>
      <w:r>
        <w:rPr>
          <w:rFonts w:ascii="Times New Roman" w:hAnsi="Times New Roman" w:eastAsia="黑体"/>
          <w:b/>
          <w:color w:val="000000"/>
          <w:sz w:val="28"/>
        </w:rPr>
        <w:t>4.1 新建项目</w:t>
      </w:r>
      <w:bookmarkEnd w:id="21"/>
    </w:p>
    <w:p>
      <w:pPr>
        <w:spacing w:before="0" w:after="0" w:line="360" w:lineRule="auto"/>
        <w:jc w:val="both"/>
        <w:ind w:firstLineChars="200" w:firstLine="0"/>
      </w:pPr>
      <w:r>
        <w:rPr>
          <w:rFonts w:ascii="Times New Roman" w:hAnsi="Times New Roman" w:eastAsia="宋体"/>
          <w:color w:val="000000"/>
          <w:sz w:val="24"/>
        </w:rPr>
        <w:t>在库页右上角点击“+ 新建决策服务”按钮，弹出创建对话框：</w:t>
      </w:r>
    </w:p>
    <w:p>
      <w:pPr>
        <w:spacing w:before="0" w:after="0" w:line="360" w:lineRule="auto"/>
        <w:jc w:val="both"/>
        <w:ind w:firstLineChars="200" w:firstLine="0"/>
      </w:pPr>
      <w:r>
        <w:rPr>
          <w:rFonts w:ascii="Times New Roman" w:hAnsi="Times New Roman" w:eastAsia="宋体"/>
          <w:color w:val="000000"/>
          <w:sz w:val="24"/>
        </w:rPr>
        <w:t>（1）填写项目名称（必填）与项目描述（选填）；</w:t>
      </w:r>
    </w:p>
    <w:p>
      <w:pPr>
        <w:spacing w:before="0" w:after="0" w:line="360" w:lineRule="auto"/>
        <w:jc w:val="both"/>
        <w:ind w:firstLineChars="200" w:firstLine="0"/>
      </w:pPr>
      <w:r>
        <w:rPr>
          <w:rFonts w:ascii="Times New Roman" w:hAnsi="Times New Roman" w:eastAsia="宋体"/>
          <w:color w:val="000000"/>
          <w:sz w:val="24"/>
        </w:rPr>
        <w:t>（2）选择图标（如 loan / warehouse / shield 等）；</w:t>
      </w:r>
    </w:p>
    <w:p>
      <w:pPr>
        <w:spacing w:before="0" w:after="0" w:line="360" w:lineRule="auto"/>
        <w:jc w:val="both"/>
        <w:ind w:firstLineChars="200" w:firstLine="0"/>
      </w:pPr>
      <w:r>
        <w:rPr>
          <w:rFonts w:ascii="Times New Roman" w:hAnsi="Times New Roman" w:eastAsia="宋体"/>
          <w:color w:val="000000"/>
          <w:sz w:val="24"/>
        </w:rPr>
        <w:t>（3）选择引擎类型：rules（规则引擎）或 cep（事件引擎）；</w:t>
      </w:r>
    </w:p>
    <w:p>
      <w:pPr>
        <w:spacing w:before="0" w:after="0" w:line="360" w:lineRule="auto"/>
        <w:jc w:val="both"/>
        <w:ind w:firstLineChars="200" w:firstLine="0"/>
      </w:pPr>
      <w:r>
        <w:rPr>
          <w:rFonts w:ascii="Times New Roman" w:hAnsi="Times New Roman" w:eastAsia="宋体"/>
          <w:color w:val="000000"/>
          <w:sz w:val="24"/>
        </w:rPr>
        <w:t>（4）选择基线 BOM：空白起步、从模板选（如贷款审批模板、风控模板、粮库温控模板），或从现有项目复制 BOM 和包结构；</w:t>
      </w:r>
    </w:p>
    <w:p>
      <w:pPr>
        <w:spacing w:before="0" w:after="0" w:line="360" w:lineRule="auto"/>
        <w:jc w:val="both"/>
        <w:ind w:firstLineChars="200" w:firstLine="0"/>
      </w:pPr>
      <w:r>
        <w:rPr>
          <w:rFonts w:ascii="Times New Roman" w:hAnsi="Times New Roman" w:eastAsia="宋体"/>
          <w:color w:val="000000"/>
          <w:sz w:val="24"/>
        </w:rPr>
        <w:t>（5）确认创建。后端创建空项目，版本为 1.0.0，分支为 main，创建后自动进入新项目。</w:t>
      </w:r>
    </w:p>
    <w:p>
      <w:pPr>
        <w:pStyle w:val="Heading2"/>
        <w:keepNext/>
        <w:spacing w:before="220" w:after="100"/>
      </w:pPr>
      <w:bookmarkStart w:id="22" w:name="_LarkToc00022"/>
      <w:r>
        <w:rPr>
          <w:rFonts w:ascii="Times New Roman" w:hAnsi="Times New Roman" w:eastAsia="黑体"/>
          <w:b/>
          <w:color w:val="000000"/>
          <w:sz w:val="28"/>
        </w:rPr>
        <w:t>4.2 编辑项目</w:t>
      </w:r>
      <w:bookmarkEnd w:id="22"/>
    </w:p>
    <w:p>
      <w:pPr>
        <w:spacing w:before="0" w:after="0" w:line="360" w:lineRule="auto"/>
        <w:jc w:val="both"/>
        <w:ind w:firstLineChars="200" w:firstLine="0"/>
      </w:pPr>
      <w:r>
        <w:rPr>
          <w:rFonts w:ascii="Times New Roman" w:hAnsi="Times New Roman" w:eastAsia="宋体"/>
          <w:color w:val="000000"/>
          <w:sz w:val="24"/>
        </w:rPr>
        <w:t>点击项目头右上角设置图标，可修改项目名称、描述、图标和默认环境。项目 ID（URL 用）、创建时间和创建者不可修改。</w:t>
      </w:r>
    </w:p>
    <w:p>
      <w:pPr>
        <w:pStyle w:val="Heading2"/>
        <w:keepNext/>
        <w:spacing w:before="220" w:after="100"/>
      </w:pPr>
      <w:bookmarkStart w:id="23" w:name="_LarkToc00023"/>
      <w:r>
        <w:rPr>
          <w:rFonts w:ascii="Times New Roman" w:hAnsi="Times New Roman" w:eastAsia="黑体"/>
          <w:b/>
          <w:color w:val="000000"/>
          <w:sz w:val="28"/>
        </w:rPr>
        <w:t>4.3 归档与删除项目</w:t>
      </w:r>
      <w:bookmarkEnd w:id="23"/>
    </w:p>
    <w:p>
      <w:pPr>
        <w:spacing w:before="0" w:after="0" w:line="360" w:lineRule="auto"/>
        <w:jc w:val="both"/>
        <w:ind w:firstLineChars="200" w:firstLine="0"/>
      </w:pPr>
      <w:r>
        <w:rPr>
          <w:rFonts w:ascii="Times New Roman" w:hAnsi="Times New Roman" w:eastAsia="宋体"/>
          <w:color w:val="000000"/>
          <w:sz w:val="24"/>
        </w:rPr>
        <w:t>归档项目后项目卡片置灰，从库页默认列表隐藏，可通过“显示已归档”开关查看。删除为硬删除，需两次确认并列出项目内规则数与 Release 数；已发布到生产环境的项目不能删除，只能归档。</w:t>
      </w:r>
    </w:p>
    <w:p>
      <w:pPr>
        <w:pStyle w:val="Heading2"/>
        <w:keepNext/>
        <w:spacing w:before="220" w:after="100"/>
      </w:pPr>
      <w:bookmarkStart w:id="24" w:name="_LarkToc00024"/>
      <w:r>
        <w:rPr>
          <w:rFonts w:ascii="Times New Roman" w:hAnsi="Times New Roman" w:eastAsia="黑体"/>
          <w:b/>
          <w:color w:val="000000"/>
          <w:sz w:val="28"/>
        </w:rPr>
        <w:t>4.4 规则包管理</w:t>
      </w:r>
      <w:bookmarkEnd w:id="24"/>
    </w:p>
    <w:p>
      <w:pPr>
        <w:spacing w:before="0" w:after="0" w:line="360" w:lineRule="auto"/>
        <w:jc w:val="both"/>
        <w:ind w:firstLineChars="200" w:firstLine="0"/>
      </w:pPr>
      <w:r>
        <w:rPr>
          <w:rFonts w:ascii="Times New Roman" w:hAnsi="Times New Roman" w:eastAsia="宋体"/>
          <w:color w:val="000000"/>
          <w:sz w:val="24"/>
        </w:rPr>
        <w:t>规则包是规则与决策表的逻辑分组。在资产页左侧包树顶部点击“+ 新建包”，或右键包节点选择“新建子包”，填写英文包名（唯一，不可用中文）、中文显示名和父包（可选），最多嵌套三层。</w:t>
      </w:r>
    </w:p>
    <w:p>
      <w:pPr>
        <w:spacing w:before="0" w:after="0" w:line="360" w:lineRule="auto"/>
        <w:jc w:val="both"/>
        <w:ind w:firstLineChars="200" w:firstLine="0"/>
      </w:pPr>
      <w:r>
        <w:rPr>
          <w:rFonts w:ascii="Times New Roman" w:hAnsi="Times New Roman" w:eastAsia="宋体"/>
          <w:color w:val="000000"/>
          <w:sz w:val="24"/>
        </w:rPr>
        <w:t>重命名包时，包下所有规则的归属会随之更新；若包被规则流（Rule Group）引用，重命名会在同一事务内更新引用并推进规则流修订，审核中的规则流引用该包时重命名会被审核锁阻止。</w:t>
      </w:r>
    </w:p>
    <w:p>
      <w:pPr>
        <w:spacing w:before="0" w:after="0" w:line="360" w:lineRule="auto"/>
        <w:jc w:val="both"/>
        <w:ind w:firstLineChars="200" w:firstLine="0"/>
      </w:pPr>
      <w:r>
        <w:rPr>
          <w:rFonts w:ascii="Times New Roman" w:hAnsi="Times New Roman" w:eastAsia="宋体"/>
          <w:color w:val="000000"/>
          <w:sz w:val="24"/>
        </w:rPr>
        <w:t>删除包时，若包内有规则会弹出警告，可选择将规则移到其他包、一并删除或取消；空包可直接删除。若规则流草稿仍引用该包，删除会被拒绝。</w:t>
      </w:r>
    </w:p>
    <w:p>
      <w:pPr>
        <w:pStyle w:val="Heading2"/>
        <w:keepNext/>
        <w:spacing w:before="220" w:after="100"/>
      </w:pPr>
      <w:bookmarkStart w:id="25" w:name="_LarkToc00025"/>
      <w:r>
        <w:rPr>
          <w:rFonts w:ascii="Times New Roman" w:hAnsi="Times New Roman" w:eastAsia="黑体"/>
          <w:b/>
          <w:color w:val="000000"/>
          <w:sz w:val="28"/>
        </w:rPr>
        <w:t>4.5 资产状态与生命周期</w:t>
      </w:r>
      <w:bookmarkEnd w:id="25"/>
    </w:p>
    <w:p>
      <w:pPr>
        <w:spacing w:before="0" w:after="0" w:line="360" w:lineRule="auto"/>
        <w:jc w:val="both"/>
        <w:ind w:firstLineChars="200" w:firstLine="0"/>
      </w:pPr>
      <w:r>
        <w:rPr>
          <w:rFonts w:ascii="Times New Roman" w:hAnsi="Times New Roman" w:eastAsia="宋体"/>
          <w:color w:val="000000"/>
          <w:sz w:val="24"/>
        </w:rPr>
        <w:t>规则、决策表和测试套件使用 revision 做乐观锁，BOM 使用 version 做乐观锁。每次创建、保存和恢复草稿生成单调递增修订并保留快照；发布与归档也推进修订号，避免旧客户端继续写入。并发更新时返回 409，并返回服务器当前修订号和快照，前端保留本地编辑，由用户决定是否载入服务器版本。</w:t>
      </w:r>
    </w:p>
    <w:p>
      <w:pPr>
        <w:pStyle w:val="Heading1"/>
        <w:keepNext/>
        <w:spacing w:before="280" w:after="120"/>
      </w:pPr>
      <w:bookmarkStart w:id="26" w:name="_LarkToc00026"/>
      <w:r>
        <w:rPr>
          <w:rFonts w:ascii="Times New Roman" w:hAnsi="Times New Roman" w:eastAsia="黑体"/>
          <w:b/>
          <w:color w:val="000000"/>
          <w:sz w:val="32"/>
        </w:rPr>
        <w:t>5 字段模型（BOM）管理</w:t>
      </w:r>
      <w:bookmarkEnd w:id="26"/>
    </w:p>
    <w:p>
      <w:pPr>
        <w:pStyle w:val="Heading2"/>
        <w:keepNext/>
        <w:spacing w:before="220" w:after="100"/>
      </w:pPr>
      <w:bookmarkStart w:id="27" w:name="_LarkToc00027"/>
      <w:r>
        <w:rPr>
          <w:rFonts w:ascii="Times New Roman" w:hAnsi="Times New Roman" w:eastAsia="黑体"/>
          <w:b/>
          <w:color w:val="000000"/>
          <w:sz w:val="28"/>
        </w:rPr>
        <w:t>5.1 BOM 概述</w:t>
      </w:r>
      <w:bookmarkEnd w:id="27"/>
    </w:p>
    <w:p>
      <w:pPr>
        <w:spacing w:before="0" w:after="0" w:line="360" w:lineRule="auto"/>
        <w:jc w:val="both"/>
        <w:ind w:firstLineChars="200" w:firstLine="0"/>
      </w:pPr>
      <w:r>
        <w:rPr>
          <w:rFonts w:ascii="Times New Roman" w:hAnsi="Times New Roman" w:eastAsia="宋体"/>
          <w:color w:val="000000"/>
          <w:sz w:val="24"/>
        </w:rPr>
        <w:t>BOM（业务对象模型）是整个规则平台的元数据源头：BAL 编辑器的事实类型、字段和枚举值全部从 BOM 拉取；决策表的列全部从 BOM 生成；DRL 的 declare 块根据 BOM 自动生成；CEP 事件流的事件类型与字段也来自 BOM 的 Event Profile 视图。BOM 发生变化时，所有引用它的规则、决策表、规则流和测试会被影响分析覆盖。</w:t>
      </w:r>
    </w:p>
    <w:p>
      <w:pPr>
        <w:spacing w:before="0" w:after="0" w:line="360" w:lineRule="auto"/>
        <w:jc w:val="both"/>
        <w:ind w:firstLineChars="200" w:firstLine="0"/>
      </w:pPr>
      <w:r>
        <w:rPr>
          <w:rFonts w:ascii="Times New Roman" w:hAnsi="Times New Roman" w:eastAsia="宋体"/>
          <w:color w:val="000000"/>
          <w:sz w:val="24"/>
        </w:rPr>
        <w:t>BOM 字段的 key 是项目内全局唯一的技术标识。API 层持久化使用扁平 fields 结构，项目 API 与前端编辑器使用 factTypes[].fields[] 分组视图，两者自动转换。BOM 保存后版本号加一，已发布的 Release 内 BOM 是冻结快照，后续修改 BOM 不影响线上。</w:t>
      </w:r>
    </w:p>
    <w:p>
      <w:pPr>
        <w:pStyle w:val="Heading2"/>
        <w:keepNext/>
        <w:spacing w:before="220" w:after="100"/>
      </w:pPr>
      <w:bookmarkStart w:id="28" w:name="_LarkToc00028"/>
      <w:r>
        <w:rPr>
          <w:rFonts w:ascii="Times New Roman" w:hAnsi="Times New Roman" w:eastAsia="黑体"/>
          <w:b/>
          <w:color w:val="000000"/>
          <w:sz w:val="28"/>
        </w:rPr>
        <w:t>5.2 进入编辑模式</w:t>
      </w:r>
      <w:bookmarkEnd w:id="28"/>
    </w:p>
    <w:p>
      <w:pPr>
        <w:spacing w:before="0" w:after="0" w:line="360" w:lineRule="auto"/>
        <w:jc w:val="both"/>
        <w:ind w:firstLineChars="200" w:firstLine="0"/>
      </w:pPr>
      <w:r>
        <w:rPr>
          <w:rFonts w:ascii="Times New Roman" w:hAnsi="Times New Roman" w:eastAsia="宋体"/>
          <w:color w:val="000000"/>
          <w:sz w:val="24"/>
        </w:rPr>
        <w:t>在项目“BOM / 词汇”页，默认是只读视图。点击右上角“编辑模型”按钮进入编辑模式，可编辑字段出现悬停高亮；编辑模式下顶部出现黄色警告条“正在编辑 BOM，保存后影响所有规则”。点击“保存”生效，点击“取消”不保存任何修改。</w:t>
      </w:r>
    </w:p>
    <w:p>
      <w:pPr>
        <w:pStyle w:val="Heading2"/>
        <w:keepNext/>
        <w:spacing w:before="220" w:after="100"/>
      </w:pPr>
      <w:bookmarkStart w:id="29" w:name="_LarkToc00029"/>
      <w:r>
        <w:rPr>
          <w:rFonts w:ascii="Times New Roman" w:hAnsi="Times New Roman" w:eastAsia="黑体"/>
          <w:b/>
          <w:color w:val="000000"/>
          <w:sz w:val="28"/>
        </w:rPr>
        <w:t>5.3 新增事实类型与字段</w:t>
      </w:r>
      <w:bookmarkEnd w:id="29"/>
    </w:p>
    <w:p>
      <w:pPr>
        <w:spacing w:before="0" w:after="0" w:line="360" w:lineRule="auto"/>
        <w:jc w:val="both"/>
        <w:ind w:firstLineChars="200" w:firstLine="0"/>
      </w:pPr>
      <w:r>
        <w:rPr>
          <w:rFonts w:ascii="Times New Roman" w:hAnsi="Times New Roman" w:eastAsia="宋体"/>
          <w:color w:val="000000"/>
          <w:sz w:val="24"/>
        </w:rPr>
        <w:t>新增事实类型：点击左栏底部“+ 新增事实类型”按钮，填写类名（英文标识符，自动校验唯一）、业务名称（中文）和方向（输入事实 / 输出事实），确认后加入列表底部并自动展开。</w:t>
      </w:r>
    </w:p>
    <w:p>
      <w:pPr>
        <w:spacing w:before="0" w:after="0" w:line="360" w:lineRule="auto"/>
        <w:jc w:val="both"/>
        <w:ind w:firstLineChars="200" w:firstLine="0"/>
      </w:pPr>
      <w:r>
        <w:rPr>
          <w:rFonts w:ascii="Times New Roman" w:hAnsi="Times New Roman" w:eastAsia="宋体"/>
          <w:color w:val="000000"/>
          <w:sz w:val="24"/>
        </w:rPr>
        <w:t>新增字段：点击事实类型卡片底部“+ 新增字段”按钮，填写字段名（英文，自动转驼峰）、业务说法（中文）和数据类型；若选择枚举类型，会多出“枚举值”输入框（逗号分隔）；若选择数字类型，可填单位、最小值、最大值；若选择字符串类型，可填最大长度和正则。确认后加入字段列表末尾。</w:t>
      </w:r>
    </w:p>
    <w:p>
      <w:pPr>
        <w:pStyle w:val="Heading2"/>
        <w:keepNext/>
        <w:spacing w:before="220" w:after="100"/>
      </w:pPr>
      <w:bookmarkStart w:id="30" w:name="_LarkToc00030"/>
      <w:r>
        <w:rPr>
          <w:rFonts w:ascii="Times New Roman" w:hAnsi="Times New Roman" w:eastAsia="黑体"/>
          <w:b/>
          <w:color w:val="000000"/>
          <w:sz w:val="28"/>
        </w:rPr>
        <w:t>5.4 编辑字段</w:t>
      </w:r>
      <w:bookmarkEnd w:id="30"/>
    </w:p>
    <w:p>
      <w:pPr>
        <w:spacing w:before="0" w:after="0" w:line="360" w:lineRule="auto"/>
        <w:jc w:val="both"/>
        <w:ind w:firstLineChars="200" w:firstLine="0"/>
      </w:pPr>
      <w:r>
        <w:rPr>
          <w:rFonts w:ascii="Times New Roman" w:hAnsi="Times New Roman" w:eastAsia="宋体"/>
          <w:color w:val="000000"/>
          <w:sz w:val="24"/>
        </w:rPr>
        <w:t>字段行悬停后出现编辑与删除图标。编辑对话框预填当前值：中文业务说法可随时修改（BAL 显示名自动跟随）；数据类型变更会提示影响，例如数字转字符串后已有规则中的数字值需重填，枚举值删除后引用被删值的规则标红。</w:t>
      </w:r>
    </w:p>
    <w:p>
      <w:pPr>
        <w:pStyle w:val="Heading2"/>
        <w:keepNext/>
        <w:spacing w:before="220" w:after="100"/>
      </w:pPr>
      <w:bookmarkStart w:id="31" w:name="_LarkToc00031"/>
      <w:r>
        <w:rPr>
          <w:rFonts w:ascii="Times New Roman" w:hAnsi="Times New Roman" w:eastAsia="黑体"/>
          <w:b/>
          <w:color w:val="000000"/>
          <w:sz w:val="28"/>
        </w:rPr>
        <w:t>5.5 删除字段与事实类型</w:t>
      </w:r>
      <w:bookmarkEnd w:id="31"/>
    </w:p>
    <w:p>
      <w:pPr>
        <w:spacing w:before="0" w:after="0" w:line="360" w:lineRule="auto"/>
        <w:jc w:val="both"/>
        <w:ind w:firstLineChars="200" w:firstLine="0"/>
      </w:pPr>
      <w:r>
        <w:rPr>
          <w:rFonts w:ascii="Times New Roman" w:hAnsi="Times New Roman" w:eastAsia="宋体"/>
          <w:color w:val="000000"/>
          <w:sz w:val="24"/>
        </w:rPr>
        <w:t>删除字段或事实类型前，系统列出引用它的全部规则并弹确认对话框，例如“该字段被以下 2 个规则引用……删除后这些规则将标红，直到你修改或删除它们”。被引用的字段不能直接删除，必须确认；删除后引用它的规则在资产列表标红警告，直到修改或删除这些规则。</w:t>
      </w:r>
    </w:p>
    <w:p>
      <w:pPr>
        <w:pStyle w:val="Heading2"/>
        <w:keepNext/>
        <w:spacing w:before="220" w:after="100"/>
      </w:pPr>
      <w:bookmarkStart w:id="32" w:name="_LarkToc00032"/>
      <w:r>
        <w:rPr>
          <w:rFonts w:ascii="Times New Roman" w:hAnsi="Times New Roman" w:eastAsia="黑体"/>
          <w:b/>
          <w:color w:val="000000"/>
          <w:sz w:val="28"/>
        </w:rPr>
        <w:t>5.6 BOM 变更影响分析</w:t>
      </w:r>
      <w:bookmarkEnd w:id="32"/>
    </w:p>
    <w:p>
      <w:pPr>
        <w:keepNext/>
        <w:spacing w:before="80" w:after="80" w:line="240" w:lineRule="auto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表 5-1 BOM 变更影响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2721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变更类型</w:t>
            </w:r>
          </w:p>
        </w:tc>
        <w:tc>
          <w:tcPr>
            <w:tcW w:type="dxa" w:w="2721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影响</w:t>
            </w:r>
          </w:p>
        </w:tc>
        <w:tc>
          <w:tcPr>
            <w:tcW w:type="dxa" w:w="3628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处理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新增事实类型 / 新增字段</w:t>
            </w:r>
          </w:p>
        </w:tc>
        <w:tc>
          <w:tcPr>
            <w:tcW w:type="dxa" w:w="2721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无</w:t>
            </w:r>
          </w:p>
        </w:tc>
        <w:tc>
          <w:tcPr>
            <w:tcW w:type="dxa" w:w="3628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直接保存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修改中文 label</w:t>
            </w:r>
          </w:p>
        </w:tc>
        <w:tc>
          <w:tcPr>
            <w:tcW w:type="dxa" w:w="2721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BAL 显示名自动更新</w:t>
            </w:r>
          </w:p>
        </w:tc>
        <w:tc>
          <w:tcPr>
            <w:tcW w:type="dxa" w:w="3628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直接保存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删除字段</w:t>
            </w:r>
          </w:p>
        </w:tc>
        <w:tc>
          <w:tcPr>
            <w:tcW w:type="dxa" w:w="2721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引用该字段的规则</w:t>
            </w:r>
          </w:p>
        </w:tc>
        <w:tc>
          <w:tcPr>
            <w:tcW w:type="dxa" w:w="3628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弹警告列表，确认后保存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修改字段类型（如 number→string）</w:t>
            </w:r>
          </w:p>
        </w:tc>
        <w:tc>
          <w:tcPr>
            <w:tcW w:type="dxa" w:w="2721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引用该字段的规则值可能不合法</w:t>
            </w:r>
          </w:p>
        </w:tc>
        <w:tc>
          <w:tcPr>
            <w:tcW w:type="dxa" w:w="3628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弹警告，确认后保存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删除枚举值</w:t>
            </w:r>
          </w:p>
        </w:tc>
        <w:tc>
          <w:tcPr>
            <w:tcW w:type="dxa" w:w="2721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使用被删枚举值的规则</w:t>
            </w:r>
          </w:p>
        </w:tc>
        <w:tc>
          <w:tcPr>
            <w:tcW w:type="dxa" w:w="3628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弹警告，确认后保存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删除事实类型</w:t>
            </w:r>
          </w:p>
        </w:tc>
        <w:tc>
          <w:tcPr>
            <w:tcW w:type="dxa" w:w="2721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所有引用它的规则</w:t>
            </w:r>
          </w:p>
        </w:tc>
        <w:tc>
          <w:tcPr>
            <w:tcW w:type="dxa" w:w="3628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弹警告，确认后保存</w:t>
            </w:r>
          </w:p>
        </w:tc>
      </w:tr>
    </w:tbl>
    <w:p>
      <w:pPr>
        <w:spacing w:before="0" w:after="0" w:line="360" w:lineRule="auto"/>
        <w:jc w:val="both"/>
        <w:ind w:firstLineChars="200" w:firstLine="0"/>
      </w:pPr>
      <w:r>
        <w:rPr>
          <w:rFonts w:ascii="Times New Roman" w:hAnsi="Times New Roman" w:eastAsia="宋体"/>
          <w:color w:val="000000"/>
          <w:sz w:val="24"/>
        </w:rPr>
        <w:t>保存 BOM 时，后端自动重新生成 DRL 的 declare 块，右下角 DRL 预览实时更新。input 字段可标记执行时必填（required），缺失必填字段时测试与 Release 执行均返回 400，不会隐式补 0 或 false；required 不允许用于 output 字段。</w:t>
      </w:r>
    </w:p>
    <w:p>
      <w:pPr>
        <w:pStyle w:val="Heading2"/>
        <w:keepNext/>
        <w:spacing w:before="220" w:after="100"/>
      </w:pPr>
      <w:bookmarkStart w:id="33" w:name="_LarkToc00033"/>
      <w:r>
        <w:rPr>
          <w:rFonts w:ascii="Times New Roman" w:hAnsi="Times New Roman" w:eastAsia="黑体"/>
          <w:b/>
          <w:color w:val="000000"/>
          <w:sz w:val="28"/>
        </w:rPr>
        <w:t>5.7 数据类型与操作符</w:t>
      </w:r>
      <w:bookmarkEnd w:id="33"/>
    </w:p>
    <w:p>
      <w:pPr>
        <w:keepNext/>
        <w:spacing w:before="80" w:after="80" w:line="240" w:lineRule="auto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表 5-2 数据类型与可用操作符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1361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3175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用途</w:t>
            </w:r>
          </w:p>
        </w:tc>
        <w:tc>
          <w:tcPr>
            <w:tcW w:type="dxa" w:w="4535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可用操作符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Integer</w:t>
            </w:r>
          </w:p>
        </w:tc>
        <w:tc>
          <w:tcPr>
            <w:tcW w:type="dxa" w:w="3175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计数、年龄、期数</w:t>
            </w:r>
          </w:p>
        </w:tc>
        <w:tc>
          <w:tcPr>
            <w:tcW w:type="dxa" w:w="4535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等于 / 不等于 / 大于 / 小于 / 大于等于 / 小于等于 / 介于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Decimal</w:t>
            </w:r>
          </w:p>
        </w:tc>
        <w:tc>
          <w:tcPr>
            <w:tcW w:type="dxa" w:w="3175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金额、利率、温湿度（精度敏感）</w:t>
            </w:r>
          </w:p>
        </w:tc>
        <w:tc>
          <w:tcPr>
            <w:tcW w:type="dxa" w:w="4535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等于 / 不等于 / 大于 / 小于 / 大于等于 / 小于等于 / 介于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Boolean</w:t>
            </w:r>
          </w:p>
        </w:tc>
        <w:tc>
          <w:tcPr>
            <w:tcW w:type="dxa" w:w="3175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是否、开关</w:t>
            </w:r>
          </w:p>
        </w:tc>
        <w:tc>
          <w:tcPr>
            <w:tcW w:type="dxa" w:w="4535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等于 / 不等于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3175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文本、姓名、城市</w:t>
            </w:r>
          </w:p>
        </w:tc>
        <w:tc>
          <w:tcPr>
            <w:tcW w:type="dxa" w:w="4535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等于 / 不等于 / 包含 / 不包含 / 开头是 / 结尾是 / 匹配正则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Enum</w:t>
            </w:r>
          </w:p>
        </w:tc>
        <w:tc>
          <w:tcPr>
            <w:tcW w:type="dxa" w:w="3175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枚举值（如低/中/高）</w:t>
            </w:r>
          </w:p>
        </w:tc>
        <w:tc>
          <w:tcPr>
            <w:tcW w:type="dxa" w:w="4535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是 / 不是 / 属于 / 不属于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Date</w:t>
            </w:r>
          </w:p>
        </w:tc>
        <w:tc>
          <w:tcPr>
            <w:tcW w:type="dxa" w:w="3175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日期（生日、到期日）</w:t>
            </w:r>
          </w:p>
        </w:tc>
        <w:tc>
          <w:tcPr>
            <w:tcW w:type="dxa" w:w="4535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等于 / 不等于 / 早于 / 晚于 / 介于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List&lt;String&gt;</w:t>
            </w:r>
          </w:p>
        </w:tc>
        <w:tc>
          <w:tcPr>
            <w:tcW w:type="dxa" w:w="3175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多值（理由列表、标签）</w:t>
            </w:r>
          </w:p>
        </w:tc>
        <w:tc>
          <w:tcPr>
            <w:tcW w:type="dxa" w:w="4535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包含 / 不包含 / 长度大于 / 长度小于</w:t>
            </w:r>
          </w:p>
        </w:tc>
      </w:tr>
    </w:tbl>
    <w:p>
      <w:pPr>
        <w:spacing w:before="0" w:after="0" w:line="360" w:lineRule="auto"/>
        <w:jc w:val="both"/>
        <w:ind w:firstLineChars="200" w:firstLine="0"/>
      </w:pPr>
      <w:r>
        <w:rPr>
          <w:rFonts w:ascii="Times New Roman" w:hAnsi="Times New Roman" w:eastAsia="宋体"/>
          <w:color w:val="000000"/>
          <w:sz w:val="24"/>
        </w:rPr>
        <w:t>金额类字段统一使用 Decimal 业务类型（避免 Double 精度问题）。当前兼容实现将业务类型与运行时类型分离：Decimal 暂映射为 Double，Date 和 List&lt;String&gt; 暂映射为 String，前端只展示业务类型。</w:t>
      </w:r>
    </w:p>
    <w:p>
      <w:pPr>
        <w:pStyle w:val="Heading1"/>
        <w:keepNext/>
        <w:spacing w:before="280" w:after="120"/>
      </w:pPr>
      <w:bookmarkStart w:id="34" w:name="_LarkToc00034"/>
      <w:r>
        <w:rPr>
          <w:rFonts w:ascii="Times New Roman" w:hAnsi="Times New Roman" w:eastAsia="黑体"/>
          <w:b/>
          <w:color w:val="000000"/>
          <w:sz w:val="32"/>
        </w:rPr>
        <w:t>6 规则管理</w:t>
      </w:r>
      <w:bookmarkEnd w:id="34"/>
    </w:p>
    <w:p>
      <w:pPr>
        <w:pStyle w:val="Heading2"/>
        <w:keepNext/>
        <w:spacing w:before="220" w:after="100"/>
      </w:pPr>
      <w:bookmarkStart w:id="35" w:name="_LarkToc00035"/>
      <w:r>
        <w:rPr>
          <w:rFonts w:ascii="Times New Roman" w:hAnsi="Times New Roman" w:eastAsia="黑体"/>
          <w:b/>
          <w:color w:val="000000"/>
          <w:sz w:val="28"/>
        </w:rPr>
        <w:t>6.1 新建规则</w:t>
      </w:r>
      <w:bookmarkEnd w:id="35"/>
    </w:p>
    <w:p>
      <w:pPr>
        <w:spacing w:before="0" w:after="0" w:line="360" w:lineRule="auto"/>
        <w:jc w:val="both"/>
        <w:ind w:firstLineChars="200" w:firstLine="0"/>
      </w:pPr>
      <w:r>
        <w:rPr>
          <w:rFonts w:ascii="Times New Roman" w:hAnsi="Times New Roman" w:eastAsia="宋体"/>
          <w:color w:val="000000"/>
          <w:sz w:val="24"/>
        </w:rPr>
        <w:t>在资产页选中规则包后，点击中栏资产列表顶部“+ 新建规则”按钮（或选中包后右键选择“新建规则”），弹出对话框：填写规则名称（必填），选择所属包（默认当前选中包），选择规则类型为 BAL 规则（默认）或决策表，可从模板创建（空规则或复制现有规则）。创建后自动打开右栏编辑器，状态为草稿。</w:t>
      </w:r>
    </w:p>
    <w:p>
      <w:pPr>
        <w:pStyle w:val="Heading2"/>
        <w:keepNext/>
        <w:spacing w:before="220" w:after="100"/>
      </w:pPr>
      <w:bookmarkStart w:id="36" w:name="_LarkToc00036"/>
      <w:r>
        <w:rPr>
          <w:rFonts w:ascii="Times New Roman" w:hAnsi="Times New Roman" w:eastAsia="黑体"/>
          <w:b/>
          <w:color w:val="000000"/>
          <w:sz w:val="28"/>
        </w:rPr>
        <w:t>6.2 BAL 编辑器</w:t>
      </w:r>
      <w:bookmarkEnd w:id="36"/>
    </w:p>
    <w:p>
      <w:pPr>
        <w:spacing w:before="0" w:after="0" w:line="360" w:lineRule="auto"/>
        <w:jc w:val="both"/>
        <w:ind w:firstLineChars="200" w:firstLine="0"/>
      </w:pPr>
      <w:r>
        <w:rPr>
          <w:rFonts w:ascii="Times New Roman" w:hAnsi="Times New Roman" w:eastAsia="宋体"/>
          <w:color w:val="000000"/>
          <w:sz w:val="24"/>
        </w:rPr>
        <w:t>BAL（Business Action Language）是业务人员写规则的语言，不是 DRL。主视图永远是 BAL 自然语言，DRL 是编译产物，藏在“高级”折叠面板中只读查看。规则结构为：</w:t>
      </w:r>
    </w:p>
    <w:p>
      <w:pPr>
        <w:spacing w:before="0" w:after="0" w:line="360" w:lineRule="auto"/>
        <w:jc w:val="both"/>
        <w:ind w:firstLineChars="200" w:firstLine="0"/>
      </w:pPr>
      <w:r>
        <w:rPr>
          <w:rFonts w:ascii="Times New Roman" w:hAnsi="Times New Roman" w:eastAsia="宋体"/>
          <w:color w:val="000000"/>
          <w:sz w:val="24"/>
        </w:rPr>
        <w:t>规则“规则名”，当……（条件行），那么……（动作行）。</w:t>
      </w:r>
    </w:p>
    <w:p>
      <w:pPr>
        <w:spacing w:before="0" w:after="0" w:line="360" w:lineRule="auto"/>
        <w:jc w:val="both"/>
        <w:ind w:firstLineChars="200" w:firstLine="0"/>
      </w:pPr>
      <w:r>
        <w:rPr>
          <w:rFonts w:ascii="Times New Roman" w:hAnsi="Times New Roman" w:eastAsia="宋体"/>
          <w:color w:val="000000"/>
          <w:sz w:val="24"/>
        </w:rPr>
        <w:t>条件行语法为：量词 + 事实类型 + 的 + 字段 + 比较符 + 固定值/业务字段。量词支持“存在 / 所有 / 没有”（默认“一个”）；比较符根据字段类型联动（数字有大于/小于，字符串有包含，枚举有属于）；值区域可在“固定值 / 业务字段”之间切换，选择业务字段时下拉只列出同类型、input 方向且不是左字段自身的字段，没有兼容字段时禁用业务字段模式。多条件用“并且 / 或者”连接。</w:t>
      </w:r>
    </w:p>
    <w:p>
      <w:pPr>
        <w:spacing w:before="0" w:after="0" w:line="360" w:lineRule="auto"/>
        <w:jc w:val="both"/>
        <w:ind w:firstLineChars="200" w:firstLine="0"/>
      </w:pPr>
      <w:r>
        <w:rPr>
          <w:rFonts w:ascii="Times New Roman" w:hAnsi="Times New Roman" w:eastAsia="宋体"/>
          <w:color w:val="000000"/>
          <w:sz w:val="24"/>
        </w:rPr>
        <w:t>动作行语法为：设置 事实的字段 为 值；添加 理由 文本；移除 事实；插入 新事实类型。示例规则：规则“申请人未成年拒绝”：当一个借款申请人的年龄小于 18，那么设置贷款决定.批准 为 false，添加理由“申请人未成年”，设置贷款决定.风险等级 为“拒绝”。</w:t>
      </w:r>
    </w:p>
    <w:p>
      <w:pPr>
        <w:spacing w:before="0" w:after="0" w:line="360" w:lineRule="auto"/>
        <w:jc w:val="both"/>
        <w:ind w:firstLineChars="200" w:firstLine="0"/>
      </w:pPr>
      <w:r>
        <w:rPr>
          <w:rFonts w:ascii="Times New Roman" w:hAnsi="Times New Roman" w:eastAsia="宋体"/>
          <w:color w:val="000000"/>
          <w:sz w:val="24"/>
        </w:rPr>
        <w:t>每个条件与动作是一行卡片，所有下拉选择器都从 BOM 拉数据：事实类型下拉取 BOM 的事实类型，字段下拉取选中事实类型的字段，比较符和值输入控件根据字段类型自动切换（数字用数字输入框、枚举用下拉、日期用日期选择器、布尔用 true/false）。条件行支持添加、删除和上下箭头调整顺序。</w:t>
      </w:r>
    </w:p>
    <w:p>
      <w:pPr>
        <w:pStyle w:val="Heading2"/>
        <w:keepNext/>
        <w:spacing w:before="220" w:after="100"/>
      </w:pPr>
      <w:bookmarkStart w:id="37" w:name="_LarkToc00037"/>
      <w:r>
        <w:rPr>
          <w:rFonts w:ascii="Times New Roman" w:hAnsi="Times New Roman" w:eastAsia="黑体"/>
          <w:b/>
          <w:color w:val="000000"/>
          <w:sz w:val="28"/>
        </w:rPr>
        <w:t>6.3 保存、编译与提交</w:t>
      </w:r>
      <w:bookmarkEnd w:id="37"/>
    </w:p>
    <w:p>
      <w:pPr>
        <w:spacing w:before="0" w:after="0" w:line="360" w:lineRule="auto"/>
        <w:jc w:val="both"/>
        <w:ind w:firstLineChars="200" w:firstLine="0"/>
      </w:pPr>
      <w:r>
        <w:rPr>
          <w:rFonts w:ascii="Times New Roman" w:hAnsi="Times New Roman" w:eastAsia="宋体"/>
          <w:color w:val="000000"/>
          <w:sz w:val="24"/>
        </w:rPr>
        <w:t>编辑器底部提供“保存草稿”“编译”“提交发布”操作：</w:t>
      </w:r>
    </w:p>
    <w:p>
      <w:pPr>
        <w:spacing w:before="0" w:after="0" w:line="360" w:lineRule="auto"/>
        <w:jc w:val="both"/>
        <w:ind w:firstLineChars="200" w:firstLine="0"/>
      </w:pPr>
      <w:r>
        <w:rPr>
          <w:rFonts w:ascii="Times New Roman" w:hAnsi="Times New Roman" w:eastAsia="宋体"/>
          <w:color w:val="000000"/>
          <w:sz w:val="24"/>
        </w:rPr>
        <w:t>（1）</w:t>
      </w:r>
      <w:r>
        <w:rPr>
          <w:rFonts w:ascii="Times New Roman" w:hAnsi="Times New Roman" w:eastAsia="宋体"/>
          <w:color w:val="000000"/>
          <w:sz w:val="24"/>
        </w:rPr>
        <w:t>保存草稿：将结构化 BAL JSON 保存为草稿，草稿修订号加一；</w:t>
      </w:r>
    </w:p>
    <w:p>
      <w:pPr>
        <w:spacing w:before="0" w:after="0" w:line="360" w:lineRule="auto"/>
        <w:jc w:val="both"/>
        <w:ind w:firstLineChars="200" w:firstLine="0"/>
      </w:pPr>
      <w:r>
        <w:rPr>
          <w:rFonts w:ascii="Times New Roman" w:hAnsi="Times New Roman" w:eastAsia="宋体"/>
          <w:color w:val="000000"/>
          <w:sz w:val="24"/>
        </w:rPr>
        <w:t>（2）</w:t>
      </w:r>
      <w:r>
        <w:rPr>
          <w:rFonts w:ascii="Times New Roman" w:hAnsi="Times New Roman" w:eastAsia="宋体"/>
          <w:color w:val="000000"/>
          <w:sz w:val="24"/>
        </w:rPr>
        <w:t>编译：后端生成 DRL 并调用 Drools 编译校验，校验不通过时返回错误；</w:t>
      </w:r>
    </w:p>
    <w:p>
      <w:pPr>
        <w:spacing w:before="0" w:after="0" w:line="360" w:lineRule="auto"/>
        <w:jc w:val="both"/>
        <w:ind w:firstLineChars="200" w:firstLine="0"/>
      </w:pPr>
      <w:r>
        <w:rPr>
          <w:rFonts w:ascii="Times New Roman" w:hAnsi="Times New Roman" w:eastAsia="宋体"/>
          <w:color w:val="000000"/>
          <w:sz w:val="24"/>
        </w:rPr>
        <w:t>（3）</w:t>
      </w:r>
      <w:r>
        <w:rPr>
          <w:rFonts w:ascii="Times New Roman" w:hAnsi="Times New Roman" w:eastAsia="宋体"/>
          <w:color w:val="000000"/>
          <w:sz w:val="24"/>
        </w:rPr>
        <w:t>提交发布：进入审批流，作者不能自审自发（OIDC 模式禁止提交人审批自己的变更）。</w:t>
      </w:r>
    </w:p>
    <w:p>
      <w:pPr>
        <w:spacing w:before="0" w:after="0" w:line="360" w:lineRule="auto"/>
        <w:jc w:val="both"/>
        <w:ind w:firstLineChars="200" w:firstLine="0"/>
      </w:pPr>
      <w:r>
        <w:rPr>
          <w:rFonts w:ascii="Times New Roman" w:hAnsi="Times New Roman" w:eastAsia="宋体"/>
          <w:color w:val="000000"/>
          <w:sz w:val="24"/>
        </w:rPr>
        <w:t>规则以结构化 JSON 保存（不是字符串），BAL 文本只是 JSON 的渲染形式，这样 BOM 变更时可以程序化分析影响。规则属性面板支持优先级、命中策略和有效日期配置。</w:t>
      </w:r>
    </w:p>
    <w:p>
      <w:pPr>
        <w:pStyle w:val="Heading2"/>
        <w:keepNext/>
        <w:spacing w:before="220" w:after="100"/>
      </w:pPr>
      <w:bookmarkStart w:id="38" w:name="_LarkToc00038"/>
      <w:r>
        <w:rPr>
          <w:rFonts w:ascii="Times New Roman" w:hAnsi="Times New Roman" w:eastAsia="黑体"/>
          <w:b/>
          <w:color w:val="000000"/>
          <w:sz w:val="28"/>
        </w:rPr>
        <w:t>6.4 复制、重命名、移动与删除</w:t>
      </w:r>
      <w:bookmarkEnd w:id="38"/>
    </w:p>
    <w:p>
      <w:pPr>
        <w:spacing w:before="0" w:after="0" w:line="360" w:lineRule="auto"/>
        <w:jc w:val="both"/>
        <w:ind w:firstLineChars="200" w:firstLine="0"/>
      </w:pPr>
      <w:r>
        <w:rPr>
          <w:rFonts w:ascii="Times New Roman" w:hAnsi="Times New Roman" w:eastAsia="宋体"/>
          <w:color w:val="000000"/>
          <w:sz w:val="24"/>
        </w:rPr>
        <w:t>在资产列表右键规则行可执行复制（复制 BAL JSON、属性和描述，状态为草稿，用于基于现有规则生成变体）、重命名（右栏编辑器顶部直接编辑，列表同步更新）、移动到其他包（规则的归属随包更新）和删除。删除已发布规则时会警告“该规则已在某版本发布，删除后需要构建新 Release 才能生效”，确认后软删除（归档），可恢复。</w:t>
      </w:r>
    </w:p>
    <w:p>
      <w:pPr>
        <w:pStyle w:val="Heading2"/>
        <w:keepNext/>
        <w:spacing w:before="220" w:after="100"/>
      </w:pPr>
      <w:bookmarkStart w:id="39" w:name="_LarkToc00039"/>
      <w:r>
        <w:rPr>
          <w:rFonts w:ascii="Times New Roman" w:hAnsi="Times New Roman" w:eastAsia="黑体"/>
          <w:b/>
          <w:color w:val="000000"/>
          <w:sz w:val="28"/>
        </w:rPr>
        <w:t>6.5 与 BOM 的联动</w:t>
      </w:r>
      <w:bookmarkEnd w:id="39"/>
    </w:p>
    <w:p>
      <w:pPr>
        <w:keepNext/>
        <w:spacing w:before="80" w:after="80" w:line="240" w:lineRule="auto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表 6-1 BOM 变化对规则的影响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/>
        </w:trPr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BOM 变化</w:t>
            </w:r>
          </w:p>
        </w:tc>
        <w:tc>
          <w:tcPr>
            <w:tcW w:type="dxa" w:w="6047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编辑器反应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新增事实类型</w:t>
            </w:r>
          </w:p>
        </w:tc>
        <w:tc>
          <w:tcPr>
            <w:tcW w:type="dxa" w:w="6047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事实类型下拉自动出现新选项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新增字段</w:t>
            </w:r>
          </w:p>
        </w:tc>
        <w:tc>
          <w:tcPr>
            <w:tcW w:type="dxa" w:w="6047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选中该事实类型后，字段下拉出现新字段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删除字段</w:t>
            </w:r>
          </w:p>
        </w:tc>
        <w:tc>
          <w:tcPr>
            <w:tcW w:type="dxa" w:w="6047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所有引用该字段的规则标红警告，不允许保存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字段类型变更</w:t>
            </w:r>
          </w:p>
        </w:tc>
        <w:tc>
          <w:tcPr>
            <w:tcW w:type="dxa" w:w="6047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引用该字段的规则值输入框类型变化，不匹配的值标红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修改字段中文名</w:t>
            </w:r>
          </w:p>
        </w:tc>
        <w:tc>
          <w:tcPr>
            <w:tcW w:type="dxa" w:w="6047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BAL 显示名自动更新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枚举值增减</w:t>
            </w:r>
          </w:p>
        </w:tc>
        <w:tc>
          <w:tcPr>
            <w:tcW w:type="dxa" w:w="6047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枚举字段的值下拉自动更新，被删枚举值在规则中标红</w:t>
            </w:r>
          </w:p>
        </w:tc>
      </w:tr>
    </w:tbl>
    <w:p>
      <w:pPr>
        <w:pStyle w:val="Heading1"/>
        <w:keepNext/>
        <w:spacing w:before="280" w:after="120"/>
      </w:pPr>
      <w:bookmarkStart w:id="40" w:name="_LarkToc00040"/>
      <w:r>
        <w:rPr>
          <w:rFonts w:ascii="Times New Roman" w:hAnsi="Times New Roman" w:eastAsia="黑体"/>
          <w:b/>
          <w:color w:val="000000"/>
          <w:sz w:val="32"/>
        </w:rPr>
        <w:t>7 决策表管理</w:t>
      </w:r>
      <w:bookmarkEnd w:id="40"/>
    </w:p>
    <w:p>
      <w:pPr>
        <w:pStyle w:val="Heading2"/>
        <w:keepNext/>
        <w:spacing w:before="220" w:after="100"/>
      </w:pPr>
      <w:bookmarkStart w:id="41" w:name="_LarkToc00041"/>
      <w:r>
        <w:rPr>
          <w:rFonts w:ascii="Times New Roman" w:hAnsi="Times New Roman" w:eastAsia="黑体"/>
          <w:b/>
          <w:color w:val="000000"/>
          <w:sz w:val="28"/>
        </w:rPr>
        <w:t>7.1 新建决策表</w:t>
      </w:r>
      <w:bookmarkEnd w:id="41"/>
    </w:p>
    <w:p>
      <w:pPr>
        <w:spacing w:before="0" w:after="0" w:line="360" w:lineRule="auto"/>
        <w:jc w:val="both"/>
        <w:ind w:firstLineChars="200" w:firstLine="0"/>
      </w:pPr>
      <w:r>
        <w:rPr>
          <w:rFonts w:ascii="Times New Roman" w:hAnsi="Times New Roman" w:eastAsia="宋体"/>
          <w:color w:val="000000"/>
          <w:sz w:val="24"/>
        </w:rPr>
        <w:t>决策表适合多条件、多结果、枚举型业务（如风险等级、利率定价）。在“+ 新建规则”下拉中选择“决策表”，填写名称、所属包，从 BOM 选择初始列（自动区分条件列与动作列），并选择命中策略（默认 COLLECT）。创建后打开类 Excel 网格编辑器，默认一行空行。</w:t>
      </w:r>
    </w:p>
    <w:p>
      <w:pPr>
        <w:pStyle w:val="Heading2"/>
        <w:keepNext/>
        <w:spacing w:before="220" w:after="100"/>
      </w:pPr>
      <w:bookmarkStart w:id="42" w:name="_LarkToc00042"/>
      <w:r>
        <w:rPr>
          <w:rFonts w:ascii="Times New Roman" w:hAnsi="Times New Roman" w:eastAsia="黑体"/>
          <w:b/>
          <w:color w:val="000000"/>
          <w:sz w:val="28"/>
        </w:rPr>
        <w:t>7.2 网格编辑操作</w:t>
      </w:r>
      <w:bookmarkEnd w:id="42"/>
    </w:p>
    <w:p>
      <w:pPr>
        <w:spacing w:before="0" w:after="0" w:line="360" w:lineRule="auto"/>
        <w:jc w:val="both"/>
        <w:ind w:firstLineChars="200" w:firstLine="0"/>
      </w:pPr>
      <w:r>
        <w:rPr>
          <w:rFonts w:ascii="Times New Roman" w:hAnsi="Times New Roman" w:eastAsia="宋体"/>
          <w:color w:val="000000"/>
          <w:sz w:val="24"/>
        </w:rPr>
        <w:t>决策表是中文结构化表格编辑器：每一行是一条规则，每一列是 BOM 的一个字段，空单元格表示通配（任意值都命中）。点击单元格直接编辑，Tab 跳下一单元格，Enter 跳下一行。</w:t>
      </w:r>
    </w:p>
    <w:p>
      <w:pPr>
        <w:spacing w:before="0" w:after="0" w:line="360" w:lineRule="auto"/>
        <w:jc w:val="both"/>
        <w:ind w:firstLineChars="200" w:firstLine="0"/>
      </w:pPr>
      <w:r>
        <w:rPr>
          <w:rFonts w:ascii="Times New Roman" w:hAnsi="Times New Roman" w:eastAsia="宋体"/>
          <w:color w:val="000000"/>
          <w:sz w:val="24"/>
        </w:rPr>
        <w:t>列头为两级结构（事实类型分组 / 字段名），业务术语以蓝色虚线下划线显示。通过“+ 添加条件列”和“+ 添加动作列”从 BOM 选择字段新增列（条件列只列 input 字段，动作列只列 output 字段）；列头右键可删除列、改列类型（条件与动作互换）或冻结列。行号列固定在最左，右键可插入、删除、复制行。</w:t>
      </w:r>
    </w:p>
    <w:p>
      <w:pPr>
        <w:spacing w:before="0" w:after="0" w:line="360" w:lineRule="auto"/>
        <w:jc w:val="both"/>
        <w:ind w:firstLineChars="200" w:firstLine="0"/>
      </w:pPr>
      <w:r>
        <w:rPr>
          <w:rFonts w:ascii="Times New Roman" w:hAnsi="Times New Roman" w:eastAsia="宋体"/>
          <w:color w:val="000000"/>
          <w:sz w:val="24"/>
        </w:rPr>
        <w:t>空单元格以浅灰底显示，悬停提示“留空 = 通配”。类型不匹配时单元格红底，非法表达式（如 600..abc）红框提示；枚举值点击单元格弹出下拉，只能选 BOM 定义的枚举值。</w:t>
      </w:r>
    </w:p>
    <w:p>
      <w:pPr>
        <w:pStyle w:val="Heading2"/>
        <w:keepNext/>
        <w:spacing w:before="220" w:after="100"/>
      </w:pPr>
      <w:bookmarkStart w:id="43" w:name="_LarkToc00043"/>
      <w:r>
        <w:rPr>
          <w:rFonts w:ascii="Times New Roman" w:hAnsi="Times New Roman" w:eastAsia="黑体"/>
          <w:b/>
          <w:color w:val="000000"/>
          <w:sz w:val="28"/>
        </w:rPr>
        <w:t>7.3 单元格语法</w:t>
      </w:r>
      <w:bookmarkEnd w:id="43"/>
    </w:p>
    <w:p>
      <w:pPr>
        <w:keepNext/>
        <w:spacing w:before="80" w:after="80" w:line="240" w:lineRule="auto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表 7-1 决策表单元格语法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1633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字段类型</w:t>
            </w:r>
          </w:p>
        </w:tc>
        <w:tc>
          <w:tcPr>
            <w:tcW w:type="dxa" w:w="2540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写法</w:t>
            </w:r>
          </w:p>
        </w:tc>
        <w:tc>
          <w:tcPr>
            <w:tcW w:type="dxa" w:w="4898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含义</w:t>
            </w:r>
          </w:p>
        </w:tc>
      </w:tr>
      <w:tr>
        <w:trPr>
          <w:cantSplit/>
        </w:trPr>
        <w:tc>
          <w:tcPr>
            <w:tcW w:type="dxa" w:w="1633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number</w:t>
            </w:r>
          </w:p>
        </w:tc>
        <w:tc>
          <w:tcPr>
            <w:tcW w:type="dxa" w:w="2540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600..700</w:t>
            </w:r>
          </w:p>
        </w:tc>
        <w:tc>
          <w:tcPr>
            <w:tcW w:type="dxa" w:w="4898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区间（含两端）</w:t>
            </w:r>
          </w:p>
        </w:tc>
      </w:tr>
      <w:tr>
        <w:trPr>
          <w:cantSplit/>
        </w:trPr>
        <w:tc>
          <w:tcPr>
            <w:tcW w:type="dxa" w:w="1633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number</w:t>
            </w:r>
          </w:p>
        </w:tc>
        <w:tc>
          <w:tcPr>
            <w:tcW w:type="dxa" w:w="2540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[600,700) / (600,700]</w:t>
            </w:r>
          </w:p>
        </w:tc>
        <w:tc>
          <w:tcPr>
            <w:tcW w:type="dxa" w:w="4898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可配置开闭边界（半开区间）</w:t>
            </w:r>
          </w:p>
        </w:tc>
      </w:tr>
      <w:tr>
        <w:trPr>
          <w:cantSplit/>
        </w:trPr>
        <w:tc>
          <w:tcPr>
            <w:tcW w:type="dxa" w:w="1633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number</w:t>
            </w:r>
          </w:p>
        </w:tc>
        <w:tc>
          <w:tcPr>
            <w:tcW w:type="dxa" w:w="2540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&gt;=700 / &lt;50</w:t>
            </w:r>
          </w:p>
        </w:tc>
        <w:tc>
          <w:tcPr>
            <w:tcW w:type="dxa" w:w="4898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比较符 + 值</w:t>
            </w:r>
          </w:p>
        </w:tc>
      </w:tr>
      <w:tr>
        <w:trPr>
          <w:cantSplit/>
        </w:trPr>
        <w:tc>
          <w:tcPr>
            <w:tcW w:type="dxa" w:w="1633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number</w:t>
            </w:r>
          </w:p>
        </w:tc>
        <w:tc>
          <w:tcPr>
            <w:tcW w:type="dxa" w:w="2540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600</w:t>
            </w:r>
          </w:p>
        </w:tc>
        <w:tc>
          <w:tcPr>
            <w:tcW w:type="dxa" w:w="4898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等于 600</w:t>
            </w:r>
          </w:p>
        </w:tc>
      </w:tr>
      <w:tr>
        <w:trPr>
          <w:cantSplit/>
        </w:trPr>
        <w:tc>
          <w:tcPr>
            <w:tcW w:type="dxa" w:w="1633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enum</w:t>
            </w:r>
          </w:p>
        </w:tc>
        <w:tc>
          <w:tcPr>
            <w:tcW w:type="dxa" w:w="2540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低,中</w:t>
            </w:r>
          </w:p>
        </w:tc>
        <w:tc>
          <w:tcPr>
            <w:tcW w:type="dxa" w:w="4898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枚举值任意一个命中</w:t>
            </w:r>
          </w:p>
        </w:tc>
      </w:tr>
      <w:tr>
        <w:trPr>
          <w:cantSplit/>
        </w:trPr>
        <w:tc>
          <w:tcPr>
            <w:tcW w:type="dxa" w:w="1633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2540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包含“逾期”</w:t>
            </w:r>
          </w:p>
        </w:tc>
        <w:tc>
          <w:tcPr>
            <w:tcW w:type="dxa" w:w="4898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字符串操作</w:t>
            </w:r>
          </w:p>
        </w:tc>
      </w:tr>
      <w:tr>
        <w:trPr>
          <w:cantSplit/>
        </w:trPr>
        <w:tc>
          <w:tcPr>
            <w:tcW w:type="dxa" w:w="1633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boolean</w:t>
            </w:r>
          </w:p>
        </w:tc>
        <w:tc>
          <w:tcPr>
            <w:tcW w:type="dxa" w:w="2540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true / false</w:t>
            </w:r>
          </w:p>
        </w:tc>
        <w:tc>
          <w:tcPr>
            <w:tcW w:type="dxa" w:w="4898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布尔值</w:t>
            </w:r>
          </w:p>
        </w:tc>
      </w:tr>
      <w:tr>
        <w:trPr>
          <w:cantSplit/>
        </w:trPr>
        <w:tc>
          <w:tcPr>
            <w:tcW w:type="dxa" w:w="1633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空单元格</w:t>
            </w:r>
          </w:p>
        </w:tc>
        <w:tc>
          <w:tcPr>
            <w:tcW w:type="dxa" w:w="2540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（留空）</w:t>
            </w:r>
          </w:p>
        </w:tc>
        <w:tc>
          <w:tcPr>
            <w:tcW w:type="dxa" w:w="4898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通配，任意值都命中</w:t>
            </w:r>
          </w:p>
        </w:tc>
      </w:tr>
    </w:tbl>
    <w:p>
      <w:pPr>
        <w:spacing w:before="0" w:after="0" w:line="360" w:lineRule="auto"/>
        <w:jc w:val="both"/>
        <w:ind w:firstLineChars="200" w:firstLine="0"/>
      </w:pPr>
      <w:r>
        <w:rPr>
          <w:rFonts w:ascii="Times New Roman" w:hAnsi="Times New Roman" w:eastAsia="宋体"/>
          <w:color w:val="000000"/>
          <w:sz w:val="24"/>
        </w:rPr>
        <w:t>注意：区间写法 a..b 是闭区间，..b 等价于小于等于；表达严格小于请使用内联比较符（如 &lt;0.8）。这是决策表使用中最容易踩的边界陷阱。</w:t>
      </w:r>
    </w:p>
    <w:p>
      <w:pPr>
        <w:pStyle w:val="Heading2"/>
        <w:keepNext/>
        <w:spacing w:before="220" w:after="100"/>
      </w:pPr>
      <w:bookmarkStart w:id="44" w:name="_LarkToc00044"/>
      <w:r>
        <w:rPr>
          <w:rFonts w:ascii="Times New Roman" w:hAnsi="Times New Roman" w:eastAsia="黑体"/>
          <w:b/>
          <w:color w:val="000000"/>
          <w:sz w:val="28"/>
        </w:rPr>
        <w:t>7.4 命中策略</w:t>
      </w:r>
      <w:bookmarkEnd w:id="44"/>
    </w:p>
    <w:p>
      <w:pPr>
        <w:keepNext/>
        <w:spacing w:before="80" w:after="80" w:line="240" w:lineRule="auto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表 7-2 决策表命中策略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/>
        </w:trPr>
        <w:tc>
          <w:tcPr>
            <w:tcW w:type="dxa" w:w="1451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策略</w:t>
            </w:r>
          </w:p>
        </w:tc>
        <w:tc>
          <w:tcPr>
            <w:tcW w:type="dxa" w:w="7620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行为</w:t>
            </w:r>
          </w:p>
        </w:tc>
      </w:tr>
      <w:tr>
        <w:trPr>
          <w:cantSplit/>
        </w:trPr>
        <w:tc>
          <w:tcPr>
            <w:tcW w:type="dxa" w:w="1451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COLLECT</w:t>
            </w:r>
          </w:p>
        </w:tc>
        <w:tc>
          <w:tcPr>
            <w:tcW w:type="dxa" w:w="7620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所有命中行都执行，动作累加（推荐）</w:t>
            </w:r>
          </w:p>
        </w:tc>
      </w:tr>
      <w:tr>
        <w:trPr>
          <w:cantSplit/>
        </w:trPr>
        <w:tc>
          <w:tcPr>
            <w:tcW w:type="dxa" w:w="1451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ALL</w:t>
            </w:r>
          </w:p>
        </w:tc>
        <w:tc>
          <w:tcPr>
            <w:tcW w:type="dxa" w:w="7620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所有匹配行按显示顺序执行，后执行行可覆盖前一行写入的同一结果字段</w:t>
            </w:r>
          </w:p>
        </w:tc>
      </w:tr>
      <w:tr>
        <w:trPr>
          <w:cantSplit/>
        </w:trPr>
        <w:tc>
          <w:tcPr>
            <w:tcW w:type="dxa" w:w="1451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FIRST</w:t>
            </w:r>
          </w:p>
        </w:tc>
        <w:tc>
          <w:tcPr>
            <w:tcW w:type="dxa" w:w="7620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第一行命中就停，下面不跑（通过 activation-group 保证只执行一行）</w:t>
            </w:r>
          </w:p>
        </w:tc>
      </w:tr>
      <w:tr>
        <w:trPr>
          <w:cantSplit/>
        </w:trPr>
        <w:tc>
          <w:tcPr>
            <w:tcW w:type="dxa" w:w="1451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PRIORITY</w:t>
            </w:r>
          </w:p>
        </w:tc>
        <w:tc>
          <w:tcPr>
            <w:tcW w:type="dxa" w:w="7620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按行优先级排序，高优先级先执行（同优先级按显示顺序）</w:t>
            </w:r>
          </w:p>
        </w:tc>
      </w:tr>
    </w:tbl>
    <w:p>
      <w:pPr>
        <w:spacing w:before="0" w:after="0" w:line="360" w:lineRule="auto"/>
        <w:jc w:val="both"/>
        <w:ind w:firstLineChars="200" w:firstLine="0"/>
      </w:pPr>
      <w:r>
        <w:rPr>
          <w:rFonts w:ascii="Times New Roman" w:hAnsi="Times New Roman" w:eastAsia="宋体"/>
          <w:color w:val="000000"/>
          <w:sz w:val="24"/>
        </w:rPr>
        <w:t>命中策略在规则集配置中全局设置，决策表本身不重复。旧版本决策表未包含 hitPolicy 时按 ALL 解释，不修改已发布快照。</w:t>
      </w:r>
    </w:p>
    <w:p>
      <w:pPr>
        <w:pStyle w:val="Heading2"/>
        <w:keepNext/>
        <w:spacing w:before="220" w:after="100"/>
      </w:pPr>
      <w:bookmarkStart w:id="45" w:name="_LarkToc00045"/>
      <w:r>
        <w:rPr>
          <w:rFonts w:ascii="Times New Roman" w:hAnsi="Times New Roman" w:eastAsia="黑体"/>
          <w:b/>
          <w:color w:val="000000"/>
          <w:sz w:val="28"/>
        </w:rPr>
        <w:t>7.5 冲突与覆盖检测</w:t>
      </w:r>
      <w:bookmarkEnd w:id="45"/>
    </w:p>
    <w:p>
      <w:pPr>
        <w:spacing w:before="0" w:after="0" w:line="360" w:lineRule="auto"/>
        <w:jc w:val="both"/>
        <w:ind w:firstLineChars="200" w:firstLine="0"/>
      </w:pPr>
      <w:r>
        <w:rPr>
          <w:rFonts w:ascii="Times New Roman" w:hAnsi="Times New Roman" w:eastAsia="宋体"/>
          <w:color w:val="000000"/>
          <w:sz w:val="24"/>
        </w:rPr>
        <w:t>编辑器实时做静态分析并在试运行时返回实际命中轨迹，诊断分为错误、警告和提示三级，覆盖重复行、动作冲突、不可达行、条件域为空、全空通配、普通重叠、缺口与分析能力限制。例如某行被上方全通配行覆盖时提示“该行被通配行覆盖，FIRST 策略下不会执行”。</w:t>
      </w:r>
    </w:p>
    <w:p>
      <w:pPr>
        <w:spacing w:before="0" w:after="0" w:line="360" w:lineRule="auto"/>
        <w:jc w:val="both"/>
        <w:ind w:firstLineChars="200" w:firstLine="0"/>
      </w:pPr>
      <w:r>
        <w:rPr>
          <w:rFonts w:ascii="Times New Roman" w:hAnsi="Times New Roman" w:eastAsia="宋体"/>
          <w:color w:val="000000"/>
          <w:sz w:val="24"/>
        </w:rPr>
        <w:t>多个规则或行写入同一输出字段时采用确定性“后写覆盖”语义（COLLECT/ALL 下后执行行覆盖前行），平台文档明确该语义，业务优先级须靠步骤顺序或引擎外归并保证；可配置的归并策略（取最大/最后/聚合）为后续待办。</w:t>
      </w:r>
    </w:p>
    <w:p>
      <w:pPr>
        <w:pStyle w:val="Heading2"/>
        <w:keepNext/>
        <w:spacing w:before="220" w:after="100"/>
      </w:pPr>
      <w:bookmarkStart w:id="46" w:name="_LarkToc00046"/>
      <w:r>
        <w:rPr>
          <w:rFonts w:ascii="Times New Roman" w:hAnsi="Times New Roman" w:eastAsia="黑体"/>
          <w:b/>
          <w:color w:val="000000"/>
          <w:sz w:val="28"/>
        </w:rPr>
        <w:t>7.6 导入与导出</w:t>
      </w:r>
      <w:bookmarkEnd w:id="46"/>
    </w:p>
    <w:p>
      <w:pPr>
        <w:spacing w:before="0" w:after="0" w:line="360" w:lineRule="auto"/>
        <w:jc w:val="both"/>
        <w:ind w:firstLineChars="200" w:firstLine="0"/>
      </w:pPr>
      <w:r>
        <w:rPr>
          <w:rFonts w:ascii="Times New Roman" w:hAnsi="Times New Roman" w:eastAsia="宋体"/>
          <w:color w:val="000000"/>
          <w:sz w:val="24"/>
        </w:rPr>
        <w:t>决策表支持 XLSX/CSV 导入导出、列匹配校验和应用前行级差异预览。导入应用后仍通过正常保存与乐观锁流程持久化。</w:t>
      </w:r>
    </w:p>
    <w:p>
      <w:pPr>
        <w:pStyle w:val="Heading1"/>
        <w:keepNext/>
        <w:spacing w:before="280" w:after="120"/>
      </w:pPr>
      <w:bookmarkStart w:id="47" w:name="_LarkToc00047"/>
      <w:r>
        <w:rPr>
          <w:rFonts w:ascii="Times New Roman" w:hAnsi="Times New Roman" w:eastAsia="黑体"/>
          <w:b/>
          <w:color w:val="000000"/>
          <w:sz w:val="32"/>
        </w:rPr>
        <w:t>8 规则流管理</w:t>
      </w:r>
      <w:bookmarkEnd w:id="47"/>
    </w:p>
    <w:p>
      <w:pPr>
        <w:pStyle w:val="Heading2"/>
        <w:keepNext/>
        <w:spacing w:before="220" w:after="100"/>
      </w:pPr>
      <w:bookmarkStart w:id="48" w:name="_LarkToc00048"/>
      <w:r>
        <w:rPr>
          <w:rFonts w:ascii="Times New Roman" w:hAnsi="Times New Roman" w:eastAsia="黑体"/>
          <w:b/>
          <w:color w:val="000000"/>
          <w:sz w:val="28"/>
        </w:rPr>
        <w:t>8.1 规则流概念与拓扑约束</w:t>
      </w:r>
      <w:bookmarkEnd w:id="48"/>
    </w:p>
    <w:p>
      <w:pPr>
        <w:spacing w:before="0" w:after="0" w:line="360" w:lineRule="auto"/>
        <w:jc w:val="both"/>
        <w:ind w:firstLineChars="200" w:firstLine="0"/>
      </w:pPr>
      <w:r>
        <w:rPr>
          <w:rFonts w:ascii="Times New Roman" w:hAnsi="Times New Roman" w:eastAsia="宋体"/>
          <w:color w:val="000000"/>
          <w:sz w:val="24"/>
        </w:rPr>
        <w:t>规则流是对规则与决策表执行顺序的编排，支持公共线性步骤、单个排他条件网关、默认分支和节点输入输出映射。它不是 BPMN/jBPM 流程，不包含多级/并行网关、人工任务、审批或定时器。</w:t>
      </w:r>
    </w:p>
    <w:p>
      <w:pPr>
        <w:spacing w:before="0" w:after="0" w:line="360" w:lineRule="auto"/>
        <w:jc w:val="both"/>
        <w:ind w:firstLineChars="200" w:firstLine="0"/>
      </w:pPr>
      <w:r>
        <w:rPr>
          <w:rFonts w:ascii="Times New Roman" w:hAnsi="Times New Roman" w:eastAsia="宋体"/>
          <w:color w:val="000000"/>
          <w:sz w:val="24"/>
        </w:rPr>
        <w:t>合法拓扑为：开始 → 公共步骤（0..N）→ 可选排他网关 → 分支步骤（1..N）→ 结束。约束包括：开始节点无入边且只有一条出边；结束节点无出边；普通任务节点最多一条入边和一条出边；整个流程最多一个排他网关，网关最多 8 条出边且最多一条默认分支；禁止回边、跨分支连接、网关到网关、分支重新汇入公共步骤；全部公共与分支步骤合计最多 20 个；每个分支至少一个步骤。</w:t>
      </w:r>
    </w:p>
    <w:p>
      <w:pPr>
        <w:pStyle w:val="Heading2"/>
        <w:keepNext/>
        <w:spacing w:before="220" w:after="100"/>
      </w:pPr>
      <w:bookmarkStart w:id="49" w:name="_LarkToc00049"/>
      <w:r>
        <w:rPr>
          <w:rFonts w:ascii="Times New Roman" w:hAnsi="Times New Roman" w:eastAsia="黑体"/>
          <w:b/>
          <w:color w:val="000000"/>
          <w:sz w:val="28"/>
        </w:rPr>
        <w:t>8.2 画布编辑</w:t>
      </w:r>
      <w:bookmarkEnd w:id="49"/>
    </w:p>
    <w:p>
      <w:pPr>
        <w:spacing w:before="0" w:after="0" w:line="360" w:lineRule="auto"/>
        <w:jc w:val="both"/>
        <w:ind w:firstLineChars="200" w:firstLine="0"/>
      </w:pPr>
      <w:r>
        <w:rPr>
          <w:rFonts w:ascii="Times New Roman" w:hAnsi="Times New Roman" w:eastAsia="宋体"/>
          <w:color w:val="000000"/>
          <w:sz w:val="24"/>
        </w:rPr>
        <w:t>规则流以画布作为主要编辑界面（参考 Dify Workflow 交互），支持节点拖拽、选中、连接、缩放（0.5–1.5 倍）、小地图、自动布局和撤销/重做（最多 30 步）。节点位置存入草稿元数据，刷新后恢复。</w:t>
      </w:r>
    </w:p>
    <w:p>
      <w:pPr>
        <w:keepNext/>
        <w:spacing w:before="80" w:after="80" w:line="240" w:lineRule="auto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表 8-1 规则流节点类型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1979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节点</w:t>
            </w:r>
          </w:p>
        </w:tc>
        <w:tc>
          <w:tcPr>
            <w:tcW w:type="dxa" w:w="1649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视觉</w:t>
            </w:r>
          </w:p>
        </w:tc>
        <w:tc>
          <w:tcPr>
            <w:tcW w:type="dxa" w:w="5443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可编辑内容</w:t>
            </w:r>
          </w:p>
        </w:tc>
      </w:tr>
      <w:tr>
        <w:trPr>
          <w:cantSplit/>
        </w:trPr>
        <w:tc>
          <w:tcPr>
            <w:tcW w:type="dxa" w:w="1979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开始</w:t>
            </w:r>
          </w:p>
        </w:tc>
        <w:tc>
          <w:tcPr>
            <w:tcW w:type="dxa" w:w="1649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绿色圆形</w:t>
            </w:r>
          </w:p>
        </w:tc>
        <w:tc>
          <w:tcPr>
            <w:tcW w:type="dxa" w:w="5443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系统节点，不可删除，只能拖动位置</w:t>
            </w:r>
          </w:p>
        </w:tc>
      </w:tr>
      <w:tr>
        <w:trPr>
          <w:cantSplit/>
        </w:trPr>
        <w:tc>
          <w:tcPr>
            <w:tcW w:type="dxa" w:w="1979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结束</w:t>
            </w:r>
          </w:p>
        </w:tc>
        <w:tc>
          <w:tcPr>
            <w:tcW w:type="dxa" w:w="1649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红色圆形</w:t>
            </w:r>
          </w:p>
        </w:tc>
        <w:tc>
          <w:tcPr>
            <w:tcW w:type="dxa" w:w="5443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系统节点，不可删除，只能拖动位置</w:t>
            </w:r>
          </w:p>
        </w:tc>
      </w:tr>
      <w:tr>
        <w:trPr>
          <w:cantSplit/>
        </w:trPr>
        <w:tc>
          <w:tcPr>
            <w:tcW w:type="dxa" w:w="1979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Rule Group（规则组）</w:t>
            </w:r>
          </w:p>
        </w:tc>
        <w:tc>
          <w:tcPr>
            <w:tcW w:type="dxa" w:w="1649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品牌蓝矩形</w:t>
            </w:r>
          </w:p>
        </w:tc>
        <w:tc>
          <w:tcPr>
            <w:tcW w:type="dxa" w:w="5443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包选择、包含子包、成员预览、字段映射</w:t>
            </w:r>
          </w:p>
        </w:tc>
      </w:tr>
      <w:tr>
        <w:trPr>
          <w:cantSplit/>
        </w:trPr>
        <w:tc>
          <w:tcPr>
            <w:tcW w:type="dxa" w:w="1979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决策表</w:t>
            </w:r>
          </w:p>
        </w:tc>
        <w:tc>
          <w:tcPr>
            <w:tcW w:type="dxa" w:w="1649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紫色矩形</w:t>
            </w:r>
          </w:p>
        </w:tc>
        <w:tc>
          <w:tcPr>
            <w:tcW w:type="dxa" w:w="5443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资产选择、只读摘要、字段映射、打开编辑器</w:t>
            </w:r>
          </w:p>
        </w:tc>
      </w:tr>
      <w:tr>
        <w:trPr>
          <w:cantSplit/>
        </w:trPr>
        <w:tc>
          <w:tcPr>
            <w:tcW w:type="dxa" w:w="1979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单条规则</w:t>
            </w:r>
          </w:p>
        </w:tc>
        <w:tc>
          <w:tcPr>
            <w:tcW w:type="dxa" w:w="1649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蓝灰矩形</w:t>
            </w:r>
          </w:p>
        </w:tc>
        <w:tc>
          <w:tcPr>
            <w:tcW w:type="dxa" w:w="5443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资产选择、只读摘要、字段映射、打开编辑器</w:t>
            </w:r>
          </w:p>
        </w:tc>
      </w:tr>
      <w:tr>
        <w:trPr>
          <w:cantSplit/>
        </w:trPr>
        <w:tc>
          <w:tcPr>
            <w:tcW w:type="dxa" w:w="1979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排他网关</w:t>
            </w:r>
          </w:p>
        </w:tc>
        <w:tc>
          <w:tcPr>
            <w:tcW w:type="dxa" w:w="1649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琥珀色菱形</w:t>
            </w:r>
          </w:p>
        </w:tc>
        <w:tc>
          <w:tcPr>
            <w:tcW w:type="dxa" w:w="5443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名称、条件分支和默认分支</w:t>
            </w:r>
          </w:p>
        </w:tc>
      </w:tr>
    </w:tbl>
    <w:p>
      <w:pPr>
        <w:spacing w:before="0" w:after="0" w:line="360" w:lineRule="auto"/>
        <w:jc w:val="both"/>
        <w:ind w:firstLineChars="200" w:firstLine="0"/>
      </w:pPr>
      <w:r>
        <w:rPr>
          <w:rFonts w:ascii="Times New Roman" w:hAnsi="Times New Roman" w:eastAsia="宋体"/>
          <w:color w:val="000000"/>
          <w:sz w:val="24"/>
        </w:rPr>
        <w:t>左侧节点面板显示规则包（含中文名、技术名、规则数和决策表数，可搜索并拖入画布）、单个已发布决策表、单条已发布规则和流程控制（仅排他网关）。拖入规则包创建 Rule Group 节点；拖入单个规则或决策表创建对应步骤。分支标签显示条件摘要，默认分支显示“默认”；分支纵向顺序即判断优先级，调整优先级必须通过抽屉中的排序控件，避免视觉位置意外改变业务语义。</w:t>
      </w:r>
    </w:p>
    <w:p>
      <w:pPr>
        <w:pStyle w:val="Heading2"/>
        <w:keepNext/>
        <w:spacing w:before="220" w:after="100"/>
      </w:pPr>
      <w:bookmarkStart w:id="50" w:name="_LarkToc00050"/>
      <w:r>
        <w:rPr>
          <w:rFonts w:ascii="Times New Roman" w:hAnsi="Times New Roman" w:eastAsia="黑体"/>
          <w:b/>
          <w:color w:val="000000"/>
          <w:sz w:val="28"/>
        </w:rPr>
        <w:t>8.3 Rule Group 规则组</w:t>
      </w:r>
      <w:bookmarkEnd w:id="50"/>
    </w:p>
    <w:p>
      <w:pPr>
        <w:spacing w:before="0" w:after="0" w:line="360" w:lineRule="auto"/>
        <w:jc w:val="both"/>
        <w:ind w:firstLineChars="200" w:firstLine="0"/>
      </w:pPr>
      <w:r>
        <w:rPr>
          <w:rFonts w:ascii="Times New Roman" w:hAnsi="Times New Roman" w:eastAsia="宋体"/>
          <w:color w:val="000000"/>
          <w:sz w:val="24"/>
        </w:rPr>
        <w:t>Rule Group 是规则流内部的一种步骤节点，不是一等资产，没有独立 CRUD、版本、变更集或发布流程。节点引用一个规则包（selector），可勾选“包含子包”（默认关闭，开启后同时选择所有 packageName.* 子包）。</w:t>
      </w:r>
    </w:p>
    <w:p>
      <w:pPr>
        <w:spacing w:before="0" w:after="0" w:line="360" w:lineRule="auto"/>
        <w:jc w:val="both"/>
        <w:ind w:firstLineChars="200" w:firstLine="0"/>
      </w:pPr>
      <w:r>
        <w:rPr>
          <w:rFonts w:ascii="Times New Roman" w:hAnsi="Times New Roman" w:eastAsia="宋体"/>
          <w:color w:val="000000"/>
          <w:sz w:val="24"/>
        </w:rPr>
        <w:t>第一版解析的成员为已发布 BAL 规则和已发布决策表，不包含草稿、已归档资产和规则流。节点抽屉显示已发布规则数、已发布决策表数、因未发布而排除的资产数，以及实际成员名称、类型和最新已发布版本。包内没有任何已发布可执行资产时允许保存草稿，但编译和发布必须失败。</w:t>
      </w:r>
    </w:p>
    <w:p>
      <w:pPr>
        <w:spacing w:before="0" w:after="0" w:line="360" w:lineRule="auto"/>
        <w:jc w:val="both"/>
        <w:ind w:firstLineChars="200" w:firstLine="0"/>
      </w:pPr>
      <w:r>
        <w:rPr>
          <w:rFonts w:ascii="Times New Roman" w:hAnsi="Times New Roman" w:eastAsia="宋体"/>
          <w:color w:val="000000"/>
          <w:sz w:val="24"/>
        </w:rPr>
        <w:t>规则流发布时，每个 Rule Group 冻结为成员清单（类型、ID、名称、版本、BOM 版本）、成员指纹（memberFingerprint，对稳定排序的 type/id/version 计算 SHA-256）、组合 DRL 和字段映射。以下变化会让已发布规则流标记为需要重新发布（needsRepublish）：包内新增或移除已发布资产；资产发布新版本、归档或移动到其他包；子包发生上述变化；Rule Group 使用的 BOM 版本与当前项目 BOM 不一致。已经发布的规则流版本和 Release 继续使用原冻结成员，不受这些变化影响。</w:t>
      </w:r>
    </w:p>
    <w:p>
      <w:pPr>
        <w:spacing w:before="0" w:after="0" w:line="360" w:lineRule="auto"/>
        <w:jc w:val="both"/>
        <w:ind w:firstLineChars="200" w:firstLine="0"/>
      </w:pPr>
      <w:r>
        <w:rPr>
          <w:rFonts w:ascii="Times New Roman" w:hAnsi="Times New Roman" w:eastAsia="宋体"/>
          <w:color w:val="000000"/>
          <w:sz w:val="24"/>
        </w:rPr>
        <w:t>同一路径重复执行同一资产属于错误，阻止编译和发布；不同排他分支上的重复资产不冲突（单次请求只执行一条分支）。多个不同资产写同一输出字段属于警告，保持后写覆盖语义，编辑器以折叠横幅和节点抽屉显示写者链。</w:t>
      </w:r>
    </w:p>
    <w:p>
      <w:pPr>
        <w:pStyle w:val="Heading2"/>
        <w:keepNext/>
        <w:spacing w:before="220" w:after="100"/>
      </w:pPr>
      <w:bookmarkStart w:id="51" w:name="_LarkToc00051"/>
      <w:r>
        <w:rPr>
          <w:rFonts w:ascii="Times New Roman" w:hAnsi="Times New Roman" w:eastAsia="黑体"/>
          <w:b/>
          <w:color w:val="000000"/>
          <w:sz w:val="28"/>
        </w:rPr>
        <w:t>8.4 排他网关与字段映射</w:t>
      </w:r>
      <w:bookmarkEnd w:id="51"/>
    </w:p>
    <w:p>
      <w:pPr>
        <w:spacing w:before="0" w:after="0" w:line="360" w:lineRule="auto"/>
        <w:jc w:val="both"/>
        <w:ind w:firstLineChars="200" w:firstLine="0"/>
      </w:pPr>
      <w:r>
        <w:rPr>
          <w:rFonts w:ascii="Times New Roman" w:hAnsi="Times New Roman" w:eastAsia="宋体"/>
          <w:color w:val="000000"/>
          <w:sz w:val="24"/>
        </w:rPr>
        <w:t>排他网关配置条件分支列表及顺序，每个分支使用 BOM 类型驱动的字段、运算符和值控件；整个网关最多一个默认分支。条件分支按显示顺序判断，选择第一条匹配路径；全部条件不满足时选择唯一默认分支；没有默认分支时允许不执行任何分支步骤。</w:t>
      </w:r>
    </w:p>
    <w:p>
      <w:pPr>
        <w:spacing w:before="0" w:after="0" w:line="360" w:lineRule="auto"/>
        <w:jc w:val="both"/>
        <w:ind w:firstLineChars="200" w:firstLine="0"/>
      </w:pPr>
      <w:r>
        <w:rPr>
          <w:rFonts w:ascii="Times New Roman" w:hAnsi="Times New Roman" w:eastAsia="宋体"/>
          <w:color w:val="000000"/>
          <w:sz w:val="24"/>
        </w:rPr>
        <w:t>每个步骤支持输入/输出字段映射：输入映射在节点执行前赋值（目标必须是 input 字段），输出映射在节点执行后赋值（源必须是 output 字段）；源和目标必须属于同一冻结 BOM 且类型一致；源和目标不能相同，目标不能重复，每个方向最多 20 项；未配置映射时保持同名字段自动传递。</w:t>
      </w:r>
    </w:p>
    <w:p>
      <w:pPr>
        <w:pStyle w:val="Heading2"/>
        <w:keepNext/>
        <w:spacing w:before="220" w:after="100"/>
      </w:pPr>
      <w:bookmarkStart w:id="52" w:name="_LarkToc00052"/>
      <w:r>
        <w:rPr>
          <w:rFonts w:ascii="Times New Roman" w:hAnsi="Times New Roman" w:eastAsia="黑体"/>
          <w:b/>
          <w:color w:val="000000"/>
          <w:sz w:val="28"/>
        </w:rPr>
        <w:t>8.5 校验、发布与依赖管理</w:t>
      </w:r>
      <w:bookmarkEnd w:id="52"/>
    </w:p>
    <w:p>
      <w:pPr>
        <w:spacing w:before="0" w:after="0" w:line="360" w:lineRule="auto"/>
        <w:jc w:val="both"/>
        <w:ind w:firstLineChars="200" w:firstLine="0"/>
      </w:pPr>
      <w:r>
        <w:rPr>
          <w:rFonts w:ascii="Times New Roman" w:hAnsi="Times New Roman" w:eastAsia="宋体"/>
          <w:color w:val="000000"/>
          <w:sz w:val="24"/>
        </w:rPr>
        <w:t>编辑器头显示规则流名称、草稿修订、已发布版本、依赖状态（当前 / 需要重新发布）和校验状态（未校验 / 校验通过 / 草稿已变更）。任意本地编辑后校验状态立即变为“草稿已变更”。操作区提供撤销、重做、自动布局、保存、校验和发布；发布前必须先保存，服务端发布仍会重新执行完整校验。</w:t>
      </w:r>
    </w:p>
    <w:p>
      <w:pPr>
        <w:spacing w:before="0" w:after="0" w:line="360" w:lineRule="auto"/>
        <w:jc w:val="both"/>
        <w:ind w:firstLineChars="200" w:firstLine="0"/>
      </w:pPr>
      <w:r>
        <w:rPr>
          <w:rFonts w:ascii="Times New Roman" w:hAnsi="Times New Roman" w:eastAsia="宋体"/>
          <w:color w:val="000000"/>
          <w:sz w:val="24"/>
        </w:rPr>
        <w:t>可折叠诊断横幅默认显示一行摘要（如“多个步骤会写入同一输出字段（3 个字段）”），展开后按严重性显示：错误（空 Rule Group、同一路径重复执行资产、引用不存在、BOM 不一致、非法拓扑）阻止校验通过和发布；警告（输出字段覆盖、依赖变化需重新发布、草稿资产被排除）和提示（成员数量、包含子包范围、最大 firing 限制）供参考。</w:t>
      </w:r>
    </w:p>
    <w:p>
      <w:pPr>
        <w:spacing w:before="0" w:after="0" w:line="360" w:lineRule="auto"/>
        <w:jc w:val="both"/>
        <w:ind w:firstLineChars="200" w:firstLine="0"/>
      </w:pPr>
      <w:r>
        <w:rPr>
          <w:rFonts w:ascii="Times New Roman" w:hAnsi="Times New Roman" w:eastAsia="宋体"/>
          <w:color w:val="000000"/>
          <w:sz w:val="24"/>
        </w:rPr>
        <w:t>保存携带修订号（If-Match），发生 409 并发冲突时保留本地画布、节点和撤销栈，显示服务器最新修订号，允许查看服务器版本或显式载入，不自动覆盖本地草稿。</w:t>
      </w:r>
    </w:p>
    <w:p>
      <w:pPr>
        <w:spacing w:before="0" w:after="0" w:line="360" w:lineRule="auto"/>
        <w:jc w:val="both"/>
        <w:ind w:firstLineChars="200" w:firstLine="0"/>
      </w:pPr>
      <w:r>
        <w:rPr>
          <w:rFonts w:ascii="Times New Roman" w:hAnsi="Times New Roman" w:eastAsia="宋体"/>
          <w:color w:val="000000"/>
          <w:sz w:val="24"/>
        </w:rPr>
        <w:t>规则流发布时冻结步骤资产版本、DRL、BOM、分支条件和映射，每次发布都会生成不可变版本。设计期调试支持运行到指定节点（stopAfter）、路径断言（expectedPath）和失败节点定位，调试参数不会写入草稿或 Release，也不会发送给生产 RES。</w:t>
      </w:r>
    </w:p>
    <w:p>
      <w:pPr>
        <w:pStyle w:val="Heading1"/>
        <w:keepNext/>
        <w:spacing w:before="280" w:after="120"/>
      </w:pPr>
      <w:bookmarkStart w:id="53" w:name="_LarkToc00053"/>
      <w:r>
        <w:rPr>
          <w:rFonts w:ascii="Times New Roman" w:hAnsi="Times New Roman" w:eastAsia="黑体"/>
          <w:b/>
          <w:color w:val="000000"/>
          <w:sz w:val="32"/>
        </w:rPr>
        <w:t>9 CEP 事件流管理</w:t>
      </w:r>
      <w:bookmarkEnd w:id="53"/>
    </w:p>
    <w:p>
      <w:pPr>
        <w:pStyle w:val="Heading2"/>
        <w:keepNext/>
        <w:spacing w:before="220" w:after="100"/>
      </w:pPr>
      <w:bookmarkStart w:id="54" w:name="_LarkToc00054"/>
      <w:r>
        <w:rPr>
          <w:rFonts w:ascii="Times New Roman" w:hAnsi="Times New Roman" w:eastAsia="黑体"/>
          <w:b/>
          <w:color w:val="000000"/>
          <w:sz w:val="28"/>
        </w:rPr>
        <w:t>9.1 CEP 项目与事件流概述</w:t>
      </w:r>
      <w:bookmarkEnd w:id="54"/>
    </w:p>
    <w:p>
      <w:pPr>
        <w:spacing w:before="0" w:after="0" w:line="360" w:lineRule="auto"/>
        <w:jc w:val="both"/>
        <w:ind w:firstLineChars="200" w:firstLine="0"/>
      </w:pPr>
      <w:r>
        <w:rPr>
          <w:rFonts w:ascii="Times New Roman" w:hAnsi="Times New Roman" w:eastAsia="宋体"/>
          <w:color w:val="000000"/>
          <w:sz w:val="24"/>
        </w:rPr>
        <w:t>CEP（复杂事件处理）是平台的第二引擎（Esper 8.8.0），与 Drools 规则引擎并行。CEP 项目（engine=cep）的资产链路为：BOM（eventTypes）→ EventStream（EPL 语句）→ 编译验证 → 测试套件 → Release → 部署（CEP Runtime）→ 执行。</w:t>
      </w:r>
    </w:p>
    <w:p>
      <w:pPr>
        <w:spacing w:before="0" w:after="0" w:line="360" w:lineRule="auto"/>
        <w:jc w:val="both"/>
        <w:ind w:firstLineChars="200" w:firstLine="0"/>
      </w:pPr>
      <w:r>
        <w:rPr>
          <w:rFonts w:ascii="Times New Roman" w:hAnsi="Times New Roman" w:eastAsia="宋体"/>
          <w:color w:val="000000"/>
          <w:sz w:val="24"/>
        </w:rPr>
        <w:t>EventStream 资产包含多条检测语句。平台目标是让业务人员使用 BOM 词汇配置事件检测规则，由平台生成和校验 EPL，而不是把 SQL 文本框搬到浏览器。向导式编辑是默认主视图，高级 EPL 是次级能力（仅供熟悉 Esper 的规则开发人员处理模板暂不覆盖的场景）。</w:t>
      </w:r>
    </w:p>
    <w:p>
      <w:pPr>
        <w:pStyle w:val="Heading2"/>
        <w:keepNext/>
        <w:spacing w:before="220" w:after="100"/>
      </w:pPr>
      <w:bookmarkStart w:id="55" w:name="_LarkToc00055"/>
      <w:r>
        <w:rPr>
          <w:rFonts w:ascii="Times New Roman" w:hAnsi="Times New Roman" w:eastAsia="黑体"/>
          <w:b/>
          <w:color w:val="000000"/>
          <w:sz w:val="28"/>
        </w:rPr>
        <w:t>9.2 新建 EventStream</w:t>
      </w:r>
      <w:bookmarkEnd w:id="55"/>
    </w:p>
    <w:p>
      <w:pPr>
        <w:spacing w:before="0" w:after="0" w:line="360" w:lineRule="auto"/>
        <w:jc w:val="both"/>
        <w:ind w:firstLineChars="200" w:firstLine="0"/>
      </w:pPr>
      <w:r>
        <w:rPr>
          <w:rFonts w:ascii="Times New Roman" w:hAnsi="Times New Roman" w:eastAsia="宋体"/>
          <w:color w:val="000000"/>
          <w:sz w:val="24"/>
        </w:rPr>
        <w:t>在事件流页点击“新建”，系统基于 BOM 的第一个输入事件类型创建一条“单点阈值”向导语句，自动选择第一个数值字段（没有数值字段时选择第一个可检测字段）。中栏直接显示向导表单（事件源、检测字段、操作符、阈值），右栏实时显示生成的 EPL（只读，不可直接编辑）。BOM 尚未加载完成时“新建”按钮不可用；CEP 项目没有有效事件类型时，应先完成 BOM 建模。</w:t>
      </w:r>
    </w:p>
    <w:p>
      <w:pPr>
        <w:pStyle w:val="Heading2"/>
        <w:keepNext/>
        <w:spacing w:before="220" w:after="100"/>
      </w:pPr>
      <w:bookmarkStart w:id="56" w:name="_LarkToc00056"/>
      <w:r>
        <w:rPr>
          <w:rFonts w:ascii="Times New Roman" w:hAnsi="Times New Roman" w:eastAsia="黑体"/>
          <w:b/>
          <w:color w:val="000000"/>
          <w:sz w:val="28"/>
        </w:rPr>
        <w:t>9.3 检测语句创作</w:t>
      </w:r>
      <w:bookmarkEnd w:id="56"/>
    </w:p>
    <w:p>
      <w:pPr>
        <w:spacing w:before="0" w:after="0" w:line="360" w:lineRule="auto"/>
        <w:jc w:val="both"/>
        <w:ind w:firstLineChars="200" w:firstLine="0"/>
      </w:pPr>
      <w:r>
        <w:rPr>
          <w:rFonts w:ascii="Times New Roman" w:hAnsi="Times New Roman" w:eastAsia="宋体"/>
          <w:color w:val="000000"/>
          <w:sz w:val="24"/>
        </w:rPr>
        <w:t>新建检测语句的主入口为“从向导新建”，展示模板名称和业务说明；高级 EPL 使用独立的代码图标入口。语句 ID 必须是英文标识符，中文检测名通过 label 表达（用于资产列表、测试报告和命中轨迹）。</w:t>
      </w:r>
    </w:p>
    <w:p>
      <w:pPr>
        <w:spacing w:before="0" w:after="0" w:line="360" w:lineRule="auto"/>
        <w:jc w:val="both"/>
        <w:ind w:firstLineChars="200" w:firstLine="0"/>
      </w:pPr>
      <w:r>
        <w:rPr>
          <w:rFonts w:ascii="Times New Roman" w:hAnsi="Times New Roman" w:eastAsia="宋体"/>
          <w:color w:val="000000"/>
          <w:sz w:val="24"/>
        </w:rPr>
        <w:t>向导与高级模式切换：从向导进入高级模式时保留当前生成 EPL，用户明确进入后才允许修改文本；高级文本一旦偏离模板生成结果，保存或重新生成前必须选择“保留高级 EPL”或“覆盖为模板生成”。选择保留后该语句成为纯高级语句；从高级返回向导只有在仍保留模板元数据且 EPL 未偏离时才能直接恢复。历史数据没有模式与模板元数据时按高级 EPL 打开，运行语义保持不变。</w:t>
      </w:r>
    </w:p>
    <w:p>
      <w:pPr>
        <w:pStyle w:val="Heading2"/>
        <w:keepNext/>
        <w:spacing w:before="220" w:after="100"/>
      </w:pPr>
      <w:bookmarkStart w:id="57" w:name="_LarkToc00057"/>
      <w:r>
        <w:rPr>
          <w:rFonts w:ascii="Times New Roman" w:hAnsi="Times New Roman" w:eastAsia="黑体"/>
          <w:b/>
          <w:color w:val="000000"/>
          <w:sz w:val="28"/>
        </w:rPr>
        <w:t>9.4 模板能力</w:t>
      </w:r>
      <w:bookmarkEnd w:id="57"/>
    </w:p>
    <w:p>
      <w:pPr>
        <w:keepNext/>
        <w:spacing w:before="80" w:after="80" w:line="240" w:lineRule="auto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表 9-1 已支持检测语句模板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1319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模板</w:t>
            </w:r>
          </w:p>
        </w:tc>
        <w:tc>
          <w:tcPr>
            <w:tcW w:type="dxa" w:w="3628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业务语义</w:t>
            </w:r>
          </w:p>
        </w:tc>
        <w:tc>
          <w:tcPr>
            <w:tcW w:type="dxa" w:w="4123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主要参数</w:t>
            </w:r>
          </w:p>
        </w:tc>
      </w:tr>
      <w:tr>
        <w:trPr>
          <w:cantSplit/>
        </w:trPr>
        <w:tc>
          <w:tcPr>
            <w:tcW w:type="dxa" w:w="1319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单点阈值</w:t>
            </w:r>
          </w:p>
        </w:tc>
        <w:tc>
          <w:tcPr>
            <w:tcW w:type="dxa" w:w="3628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单条事件字段满足比较条件</w:t>
            </w:r>
          </w:p>
        </w:tc>
        <w:tc>
          <w:tcPr>
            <w:tcW w:type="dxa" w:w="4123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事件源、字段、操作符、阈值</w:t>
            </w:r>
          </w:p>
        </w:tc>
      </w:tr>
      <w:tr>
        <w:trPr>
          <w:cantSplit/>
        </w:trPr>
        <w:tc>
          <w:tcPr>
            <w:tcW w:type="dxa" w:w="1319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窗口均值</w:t>
            </w:r>
          </w:p>
        </w:tc>
        <w:tc>
          <w:tcPr>
            <w:tcW w:type="dxa" w:w="3628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窗口内字段均值满足条件</w:t>
            </w:r>
          </w:p>
        </w:tc>
        <w:tc>
          <w:tcPr>
            <w:tcW w:type="dxa" w:w="4123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窗口、分组、字段、操作符、阈值</w:t>
            </w:r>
          </w:p>
        </w:tc>
      </w:tr>
      <w:tr>
        <w:trPr>
          <w:cantSplit/>
        </w:trPr>
        <w:tc>
          <w:tcPr>
            <w:tcW w:type="dxa" w:w="1319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窗口波动</w:t>
            </w:r>
          </w:p>
        </w:tc>
        <w:tc>
          <w:tcPr>
            <w:tcW w:type="dxa" w:w="3628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窗口内最大值与最小值差超限</w:t>
            </w:r>
          </w:p>
        </w:tc>
        <w:tc>
          <w:tcPr>
            <w:tcW w:type="dxa" w:w="4123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窗口、分组、字段、差值</w:t>
            </w:r>
          </w:p>
        </w:tc>
      </w:tr>
      <w:tr>
        <w:trPr>
          <w:cantSplit/>
        </w:trPr>
        <w:tc>
          <w:tcPr>
            <w:tcW w:type="dxa" w:w="1319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事件计数</w:t>
            </w:r>
          </w:p>
        </w:tc>
        <w:tc>
          <w:tcPr>
            <w:tcW w:type="dxa" w:w="3628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窗口内事件数量达到阈值</w:t>
            </w:r>
          </w:p>
        </w:tc>
        <w:tc>
          <w:tcPr>
            <w:tcW w:type="dxa" w:w="4123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窗口、分组、次数</w:t>
            </w:r>
          </w:p>
        </w:tc>
      </w:tr>
      <w:tr>
        <w:trPr>
          <w:cantSplit/>
        </w:trPr>
        <w:tc>
          <w:tcPr>
            <w:tcW w:type="dxa" w:w="1319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窗口求和</w:t>
            </w:r>
          </w:p>
        </w:tc>
        <w:tc>
          <w:tcPr>
            <w:tcW w:type="dxa" w:w="3628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窗口内字段合计达到阈值</w:t>
            </w:r>
          </w:p>
        </w:tc>
        <w:tc>
          <w:tcPr>
            <w:tcW w:type="dxa" w:w="4123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窗口、分组、字段、阈值</w:t>
            </w:r>
          </w:p>
        </w:tc>
      </w:tr>
    </w:tbl>
    <w:p>
      <w:pPr>
        <w:spacing w:before="0" w:after="0" w:line="360" w:lineRule="auto"/>
        <w:jc w:val="both"/>
        <w:ind w:firstLineChars="200" w:firstLine="0"/>
      </w:pPr>
      <w:r>
        <w:rPr>
          <w:rFonts w:ascii="Times New Roman" w:hAnsi="Times New Roman" w:eastAsia="宋体"/>
          <w:color w:val="000000"/>
          <w:sz w:val="24"/>
        </w:rPr>
        <w:t>窗口模板支持滑动窗口（#time(n)）与跳跃窗口（#time_batch(n)），时间单位支持秒、分钟、小时。当前均使用 Esper 处理时间（系统时钟推进），不按业务 eventTime 回放，右栏常驻提示该语义。窗口均值、窗口波动和窗口求和只允许数值字段，分组字段优先推荐 eventKey、warehouseId、sensorId、source。</w:t>
      </w:r>
    </w:p>
    <w:p>
      <w:pPr>
        <w:spacing w:before="0" w:after="0" w:line="360" w:lineRule="auto"/>
        <w:jc w:val="both"/>
        <w:ind w:firstLineChars="200" w:firstLine="0"/>
      </w:pPr>
      <w:r>
        <w:rPr>
          <w:rFonts w:ascii="Times New Roman" w:hAnsi="Times New Roman" w:eastAsia="宋体"/>
          <w:color w:val="000000"/>
          <w:sz w:val="24"/>
        </w:rPr>
        <w:t>时间驱动语句（pattern/timer）已由平台支持：周期触发（every timer:interval）、进入状态后计时（事件 A 后 timer N）、超时/缺席检测（timer + not 跟随事件）、双事件时序（followed-by + timer:within）。部署运行时的 timer 输出由部署级 listener 持续捕获并通过 webhook 异步推送，不依赖 HTTP 请求保持等待。</w:t>
      </w:r>
    </w:p>
    <w:p>
      <w:pPr>
        <w:pStyle w:val="Heading2"/>
        <w:keepNext/>
        <w:spacing w:before="220" w:after="100"/>
      </w:pPr>
      <w:bookmarkStart w:id="58" w:name="_LarkToc00058"/>
      <w:r>
        <w:rPr>
          <w:rFonts w:ascii="Times New Roman" w:hAnsi="Times New Roman" w:eastAsia="黑体"/>
          <w:b/>
          <w:color w:val="000000"/>
          <w:sz w:val="28"/>
        </w:rPr>
        <w:t>9.5 保存、编译、测试与发布</w:t>
      </w:r>
      <w:bookmarkEnd w:id="58"/>
    </w:p>
    <w:p>
      <w:pPr>
        <w:spacing w:before="0" w:after="0" w:line="360" w:lineRule="auto"/>
        <w:jc w:val="both"/>
        <w:ind w:firstLineChars="200" w:firstLine="0"/>
      </w:pPr>
      <w:r>
        <w:rPr>
          <w:rFonts w:ascii="Times New Roman" w:hAnsi="Times New Roman" w:eastAsia="宋体"/>
          <w:color w:val="000000"/>
          <w:sz w:val="24"/>
        </w:rPr>
        <w:t>保存：先调用真实 Esper 编译当前草稿，编译通过后保存并显示新修订号；编译：只校验当前未保存草稿，不改变修订号，成功后显示“编译通过”；保存并新建测试：保存草稿并创建测试套件骨架（允许目标尚未发布，以支持先准备测试数据和断言，草稿阶段创建的测试套件显示“待目标发布”，不能运行也不参与门禁）；保存并发布：保存草稿后生成新的 EventStream 资产版本，不等同于创建或部署 Release。</w:t>
      </w:r>
    </w:p>
    <w:p>
      <w:pPr>
        <w:spacing w:before="0" w:after="0" w:line="360" w:lineRule="auto"/>
        <w:jc w:val="both"/>
        <w:ind w:firstLineChars="200" w:firstLine="0"/>
      </w:pPr>
      <w:r>
        <w:rPr>
          <w:rFonts w:ascii="Times New Roman" w:hAnsi="Times New Roman" w:eastAsia="宋体"/>
          <w:color w:val="000000"/>
          <w:sz w:val="24"/>
        </w:rPr>
        <w:t>EventStream 最多 100 条语句，达到上限时禁用新建入口并说明原因。禁用语句保留在草稿和版本信息中，但不进入运行时模块。编译错误关联到语句 ID。</w:t>
      </w:r>
    </w:p>
    <w:p>
      <w:pPr>
        <w:pStyle w:val="Heading2"/>
        <w:keepNext/>
        <w:spacing w:before="220" w:after="100"/>
      </w:pPr>
      <w:bookmarkStart w:id="59" w:name="_LarkToc00059"/>
      <w:r>
        <w:rPr>
          <w:rFonts w:ascii="Times New Roman" w:hAnsi="Times New Roman" w:eastAsia="黑体"/>
          <w:b/>
          <w:color w:val="000000"/>
          <w:sz w:val="28"/>
        </w:rPr>
        <w:t>9.6 删除语义</w:t>
      </w:r>
      <w:bookmarkEnd w:id="59"/>
    </w:p>
    <w:p>
      <w:pPr>
        <w:spacing w:before="0" w:after="0" w:line="360" w:lineRule="auto"/>
        <w:jc w:val="both"/>
        <w:ind w:firstLineChars="200" w:firstLine="0"/>
      </w:pPr>
      <w:r>
        <w:rPr>
          <w:rFonts w:ascii="Times New Roman" w:hAnsi="Times New Roman" w:eastAsia="宋体"/>
          <w:color w:val="000000"/>
          <w:sz w:val="24"/>
        </w:rPr>
        <w:t>删除 EventStream 资产是软删除（archived=true），不物理清除版本历史；必须提供当前修订号，过期修订返回 409；资产处于已提交变更集时返回 409；删除已发布资产须二次确认并显示已发布版本；既有 Release 是不可变制品，删除资产不影响其部署、执行和审计；删除后不能再以该资产创建新 Release。</w:t>
      </w:r>
    </w:p>
    <w:p>
      <w:pPr>
        <w:spacing w:before="0" w:after="0" w:line="360" w:lineRule="auto"/>
        <w:jc w:val="both"/>
        <w:ind w:firstLineChars="200" w:firstLine="0"/>
      </w:pPr>
      <w:r>
        <w:rPr>
          <w:rFonts w:ascii="Times New Roman" w:hAnsi="Times New Roman" w:eastAsia="宋体"/>
          <w:color w:val="000000"/>
          <w:sz w:val="24"/>
        </w:rPr>
        <w:t>删除检测语句只修改当前草稿，保存后生效，须二次确认；EventStream 至少保留一条语句，最后一条不能删除。删除派生事件生产语句后，若其他语句仍引用其输出，保存/编译必须失败并指出引用语句。</w:t>
      </w:r>
    </w:p>
    <w:p>
      <w:pPr>
        <w:pStyle w:val="Heading2"/>
        <w:keepNext/>
        <w:spacing w:before="220" w:after="100"/>
      </w:pPr>
      <w:bookmarkStart w:id="60" w:name="_LarkToc00060"/>
      <w:r>
        <w:rPr>
          <w:rFonts w:ascii="Times New Roman" w:hAnsi="Times New Roman" w:eastAsia="黑体"/>
          <w:b/>
          <w:color w:val="000000"/>
          <w:sz w:val="28"/>
        </w:rPr>
        <w:t>9.7 CEP 执行与业务对接</w:t>
      </w:r>
      <w:bookmarkEnd w:id="60"/>
    </w:p>
    <w:p>
      <w:pPr>
        <w:spacing w:before="0" w:after="0" w:line="360" w:lineRule="auto"/>
        <w:jc w:val="both"/>
        <w:ind w:firstLineChars="200" w:firstLine="0"/>
      </w:pPr>
      <w:r>
        <w:rPr>
          <w:rFonts w:ascii="Times New Roman" w:hAnsi="Times New Roman" w:eastAsia="宋体"/>
          <w:color w:val="000000"/>
          <w:sz w:val="24"/>
        </w:rPr>
        <w:t>CEP Runtime 提供四类接口：同步执行（POST /execute，传入 releaseId、requestId 和 events，返回等待窗口内的检测结果）；持续上报（POST /events/{releaseId}，返回 202，适合业务系统持续注入事件）；异步告警（配置 webhook 后，部署级 listener 持续捕获 timer/pattern 输出并推送告警）；监控（/metrics、/openapi.json）。</w:t>
      </w:r>
    </w:p>
    <w:p>
      <w:pPr>
        <w:spacing w:before="0" w:after="0" w:line="360" w:lineRule="auto"/>
        <w:jc w:val="both"/>
        <w:ind w:firstLineChars="200" w:firstLine="0"/>
      </w:pPr>
      <w:r>
        <w:rPr>
          <w:rFonts w:ascii="Times New Roman" w:hAnsi="Times New Roman" w:eastAsia="宋体"/>
          <w:color w:val="000000"/>
          <w:sz w:val="24"/>
        </w:rPr>
        <w:t>业务消费侧需注意：引擎按事件评估，历史事件累积时一次执行可返回多条同语句命中，需按状态变化去重；同步响应与异步输出需区分，waitMs 只决定本次 HTTP 响应是否带回短窗口输出，长周期 timer 输出由部署级 listener 通过 webhook 推送。</w:t>
      </w:r>
    </w:p>
    <w:p>
      <w:pPr>
        <w:pStyle w:val="Heading1"/>
        <w:keepNext/>
        <w:spacing w:before="280" w:after="120"/>
      </w:pPr>
      <w:bookmarkStart w:id="61" w:name="_LarkToc00061"/>
      <w:r>
        <w:rPr>
          <w:rFonts w:ascii="Times New Roman" w:hAnsi="Times New Roman" w:eastAsia="黑体"/>
          <w:b/>
          <w:color w:val="000000"/>
          <w:sz w:val="32"/>
        </w:rPr>
        <w:t>10 测试套件</w:t>
      </w:r>
      <w:bookmarkEnd w:id="61"/>
    </w:p>
    <w:p>
      <w:pPr>
        <w:pStyle w:val="Heading2"/>
        <w:keepNext/>
        <w:spacing w:before="220" w:after="100"/>
      </w:pPr>
      <w:bookmarkStart w:id="62" w:name="_LarkToc00062"/>
      <w:r>
        <w:rPr>
          <w:rFonts w:ascii="Times New Roman" w:hAnsi="Times New Roman" w:eastAsia="黑体"/>
          <w:b/>
          <w:color w:val="000000"/>
          <w:sz w:val="28"/>
        </w:rPr>
        <w:t>10.1 新建测试套件</w:t>
      </w:r>
      <w:bookmarkEnd w:id="62"/>
    </w:p>
    <w:p>
      <w:pPr>
        <w:spacing w:before="0" w:after="0" w:line="360" w:lineRule="auto"/>
        <w:jc w:val="both"/>
        <w:ind w:firstLineChars="200" w:firstLine="0"/>
      </w:pPr>
      <w:r>
        <w:rPr>
          <w:rFonts w:ascii="Times New Roman" w:hAnsi="Times New Roman" w:eastAsia="宋体"/>
          <w:color w:val="000000"/>
          <w:sz w:val="24"/>
        </w:rPr>
        <w:t>测试套件按项目隔离，目标必须是本项目已发布的规则、决策表或规则流。在测试套件页可创建套件，填写名称并选择目标资产；套件只运行本项目的已发布资产。草稿目标创建的套件显示“待目标发布”，不能运行也不参与发布门禁；目标发布后自动解析到最新已发布版本。</w:t>
      </w:r>
    </w:p>
    <w:p>
      <w:pPr>
        <w:pStyle w:val="Heading2"/>
        <w:keepNext/>
        <w:spacing w:before="220" w:after="100"/>
      </w:pPr>
      <w:bookmarkStart w:id="63" w:name="_LarkToc00063"/>
      <w:r>
        <w:rPr>
          <w:rFonts w:ascii="Times New Roman" w:hAnsi="Times New Roman" w:eastAsia="黑体"/>
          <w:b/>
          <w:color w:val="000000"/>
          <w:sz w:val="28"/>
        </w:rPr>
        <w:t>10.2 用例与参数化</w:t>
      </w:r>
      <w:bookmarkEnd w:id="63"/>
    </w:p>
    <w:p>
      <w:pPr>
        <w:spacing w:before="0" w:after="0" w:line="360" w:lineRule="auto"/>
        <w:jc w:val="both"/>
        <w:ind w:firstLineChars="200" w:firstLine="0"/>
      </w:pPr>
      <w:r>
        <w:rPr>
          <w:rFonts w:ascii="Times New Roman" w:hAnsi="Times New Roman" w:eastAsia="宋体"/>
          <w:color w:val="000000"/>
          <w:sz w:val="24"/>
        </w:rPr>
        <w:t>每个测试用例包含基础输入事实，以及至少一个输出、命中规则或规则流路径断言。案例可配置最多 100 个命名参数行（parameters[]），参数行与基础输入浅合并形成独立执行，参数只能覆盖 BOM 输入字段；单套件展开后最多执行 1000 次。报告固定记录目标资产版本、逐案例断言、失败原因和耗时。</w:t>
      </w:r>
    </w:p>
    <w:p>
      <w:pPr>
        <w:spacing w:before="0" w:after="0" w:line="360" w:lineRule="auto"/>
        <w:jc w:val="both"/>
        <w:ind w:firstLineChars="200" w:firstLine="0"/>
      </w:pPr>
      <w:r>
        <w:rPr>
          <w:rFonts w:ascii="Times New Roman" w:hAnsi="Times New Roman" w:eastAsia="宋体"/>
          <w:color w:val="000000"/>
          <w:sz w:val="24"/>
        </w:rPr>
        <w:t>未提供的可选输入保持未赋值；冻结 BOM 中 required=true 的输入缺失时拒绝执行（返回 400），不会隐式补 0 或 false。报告同时展示规范化输入与未提供字段（omittedFields），便于归因。</w:t>
      </w:r>
    </w:p>
    <w:p>
      <w:pPr>
        <w:pStyle w:val="Heading2"/>
        <w:keepNext/>
        <w:spacing w:before="220" w:after="100"/>
      </w:pPr>
      <w:bookmarkStart w:id="64" w:name="_LarkToc00064"/>
      <w:r>
        <w:rPr>
          <w:rFonts w:ascii="Times New Roman" w:hAnsi="Times New Roman" w:eastAsia="黑体"/>
          <w:b/>
          <w:color w:val="000000"/>
          <w:sz w:val="28"/>
        </w:rPr>
        <w:t>10.3 断言类型</w:t>
      </w:r>
      <w:bookmarkEnd w:id="64"/>
    </w:p>
    <w:p>
      <w:pPr>
        <w:keepNext/>
        <w:spacing w:before="80" w:after="80" w:line="240" w:lineRule="auto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表 10-1 测试断言类型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/>
        </w:trPr>
        <w:tc>
          <w:tcPr>
            <w:tcW w:type="dxa" w:w="2177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断言类型</w:t>
            </w:r>
          </w:p>
        </w:tc>
        <w:tc>
          <w:tcPr>
            <w:tcW w:type="dxa" w:w="6894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2177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输出断言</w:t>
            </w:r>
          </w:p>
        </w:tc>
        <w:tc>
          <w:tcPr>
            <w:tcW w:type="dxa" w:w="6894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校验执行后的输出字段值符合期望</w:t>
            </w:r>
          </w:p>
        </w:tc>
      </w:tr>
      <w:tr>
        <w:trPr>
          <w:cantSplit/>
        </w:trPr>
        <w:tc>
          <w:tcPr>
            <w:tcW w:type="dxa" w:w="2177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命中规则断言</w:t>
            </w:r>
          </w:p>
        </w:tc>
        <w:tc>
          <w:tcPr>
            <w:tcW w:type="dxa" w:w="6894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校验实际命中的规则集合符合期望</w:t>
            </w:r>
          </w:p>
        </w:tc>
      </w:tr>
      <w:tr>
        <w:trPr>
          <w:cantSplit/>
        </w:trPr>
        <w:tc>
          <w:tcPr>
            <w:tcW w:type="dxa" w:w="2177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规则流路径断言</w:t>
            </w:r>
          </w:p>
        </w:tc>
        <w:tc>
          <w:tcPr>
            <w:tcW w:type="dxa" w:w="6894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校验规则流执行经过的分支路径符合期望</w:t>
            </w:r>
          </w:p>
        </w:tc>
      </w:tr>
    </w:tbl>
    <w:p>
      <w:pPr>
        <w:pStyle w:val="Heading2"/>
        <w:keepNext/>
        <w:spacing w:before="220" w:after="100"/>
      </w:pPr>
      <w:bookmarkStart w:id="65" w:name="_LarkToc00065"/>
      <w:r>
        <w:rPr>
          <w:rFonts w:ascii="Times New Roman" w:hAnsi="Times New Roman" w:eastAsia="黑体"/>
          <w:b/>
          <w:color w:val="000000"/>
          <w:sz w:val="28"/>
        </w:rPr>
        <w:t>10.4 运行与覆盖率</w:t>
      </w:r>
      <w:bookmarkEnd w:id="65"/>
    </w:p>
    <w:p>
      <w:pPr>
        <w:spacing w:before="0" w:after="0" w:line="360" w:lineRule="auto"/>
        <w:jc w:val="both"/>
        <w:ind w:firstLineChars="200" w:firstLine="0"/>
      </w:pPr>
      <w:r>
        <w:rPr>
          <w:rFonts w:ascii="Times New Roman" w:hAnsi="Times New Roman" w:eastAsia="宋体"/>
          <w:color w:val="000000"/>
          <w:sz w:val="24"/>
        </w:rPr>
        <w:t>可运行单个套件（POST /api/projects/{projectId}/test-suites/{id}/run，可用 targetVersion 指定已发布版本）或全量回归（顺序运行全部活动套件，返回批量汇总）。每次运行保存最近 20 次报告。</w:t>
      </w:r>
    </w:p>
    <w:p>
      <w:pPr>
        <w:spacing w:before="0" w:after="0" w:line="360" w:lineRule="auto"/>
        <w:jc w:val="both"/>
        <w:ind w:firstLineChars="200" w:firstLine="0"/>
      </w:pPr>
      <w:r>
        <w:rPr>
          <w:rFonts w:ascii="Times New Roman" w:hAnsi="Times New Roman" w:eastAsia="宋体"/>
          <w:color w:val="000000"/>
          <w:sz w:val="24"/>
        </w:rPr>
        <w:t>常规报告同时生成覆盖率：规则目标以 Drools 命中结果统计；决策表以决策轨迹行号对所有启用行（含默认行）统计；规则流以分支路径统计，无分支流程使用主路径。报告展示覆盖比例及未覆盖项。</w:t>
      </w:r>
    </w:p>
    <w:p>
      <w:pPr>
        <w:pStyle w:val="Heading2"/>
        <w:keepNext/>
        <w:spacing w:before="220" w:after="100"/>
      </w:pPr>
      <w:bookmarkStart w:id="66" w:name="_LarkToc00066"/>
      <w:r>
        <w:rPr>
          <w:rFonts w:ascii="Times New Roman" w:hAnsi="Times New Roman" w:eastAsia="黑体"/>
          <w:b/>
          <w:color w:val="000000"/>
          <w:sz w:val="28"/>
        </w:rPr>
        <w:t>10.5 版本对比</w:t>
      </w:r>
      <w:bookmarkEnd w:id="66"/>
    </w:p>
    <w:p>
      <w:pPr>
        <w:spacing w:before="0" w:after="0" w:line="360" w:lineRule="auto"/>
        <w:jc w:val="both"/>
        <w:ind w:firstLineChars="200" w:firstLine="0"/>
      </w:pPr>
      <w:r>
        <w:rPr>
          <w:rFonts w:ascii="Times New Roman" w:hAnsi="Times New Roman" w:eastAsia="宋体"/>
          <w:color w:val="000000"/>
          <w:sz w:val="24"/>
        </w:rPr>
        <w:t>同一目标的两个已发布版本可并行运行相同数据集（compare 接口），默认比较最近两个版本，可显式指定 baseVersion 和 candidateVersion；比较输出、命中规则、路径和断言状态，分类为未变化（unchanged）、有变化（changed）、已改善（improved）或有回归（regressed），非“未变化”项计入待确认样本。对比报告进入历史，但不替换发布门禁使用的最近常规运行报告。</w:t>
      </w:r>
    </w:p>
    <w:p>
      <w:pPr>
        <w:pStyle w:val="Heading2"/>
        <w:keepNext/>
        <w:spacing w:before="220" w:after="100"/>
      </w:pPr>
      <w:bookmarkStart w:id="67" w:name="_LarkToc00067"/>
      <w:r>
        <w:rPr>
          <w:rFonts w:ascii="Times New Roman" w:hAnsi="Times New Roman" w:eastAsia="黑体"/>
          <w:b/>
          <w:color w:val="000000"/>
          <w:sz w:val="28"/>
        </w:rPr>
        <w:t>10.6 发布门禁</w:t>
      </w:r>
      <w:bookmarkEnd w:id="67"/>
    </w:p>
    <w:p>
      <w:pPr>
        <w:spacing w:before="0" w:after="0" w:line="360" w:lineRule="auto"/>
        <w:jc w:val="both"/>
        <w:ind w:firstLineChars="200" w:firstLine="0"/>
      </w:pPr>
      <w:r>
        <w:rPr>
          <w:rFonts w:ascii="Times New Roman" w:hAnsi="Times New Roman" w:eastAsia="宋体"/>
          <w:color w:val="000000"/>
          <w:sz w:val="24"/>
        </w:rPr>
        <w:t>标记为发布必需的套件（required=true）会在本项目每次创建 Release 时实时重跑（同一目标的所有必需套件），任一失败则拒绝生成 Release，历史成功报告不能替代当前版本重跑。门禁失败响应提供最小失败用例与断言摘要（版本、用例及失败断言的期望值与实际值）。非必需套件仅用于日常回归，不阻止发布。</w:t>
      </w:r>
    </w:p>
    <w:p>
      <w:pPr>
        <w:pStyle w:val="Heading1"/>
        <w:keepNext/>
        <w:spacing w:before="280" w:after="120"/>
      </w:pPr>
      <w:bookmarkStart w:id="68" w:name="_LarkToc00068"/>
      <w:r>
        <w:rPr>
          <w:rFonts w:ascii="Times New Roman" w:hAnsi="Times New Roman" w:eastAsia="黑体"/>
          <w:b/>
          <w:color w:val="000000"/>
          <w:sz w:val="32"/>
        </w:rPr>
        <w:t>11 变更集与审核</w:t>
      </w:r>
      <w:bookmarkEnd w:id="68"/>
    </w:p>
    <w:p>
      <w:pPr>
        <w:pStyle w:val="Heading2"/>
        <w:keepNext/>
        <w:spacing w:before="220" w:after="100"/>
      </w:pPr>
      <w:bookmarkStart w:id="69" w:name="_LarkToc00069"/>
      <w:r>
        <w:rPr>
          <w:rFonts w:ascii="Times New Roman" w:hAnsi="Times New Roman" w:eastAsia="黑体"/>
          <w:b/>
          <w:color w:val="000000"/>
          <w:sz w:val="28"/>
        </w:rPr>
        <w:t>11.1 变更集（Change Set）</w:t>
      </w:r>
      <w:bookmarkEnd w:id="69"/>
    </w:p>
    <w:p>
      <w:pPr>
        <w:spacing w:before="0" w:after="0" w:line="360" w:lineRule="auto"/>
        <w:jc w:val="both"/>
        <w:ind w:firstLineChars="200" w:firstLine="0"/>
      </w:pPr>
      <w:r>
        <w:rPr>
          <w:rFonts w:ascii="Times New Roman" w:hAnsi="Times New Roman" w:eastAsia="宋体"/>
          <w:color w:val="000000"/>
          <w:sz w:val="24"/>
        </w:rPr>
        <w:t>变更集是把多个资产修订聚合为评审与发布的最小单位。在项目“审核”页可把最多 50 个规则、决策表或规则流资产的当前修订固定到变更集，同时冻结最近发布基线、当前草稿和结构化字段差异。资产之后继续编辑不会修改既有评审证据。</w:t>
      </w:r>
    </w:p>
    <w:p>
      <w:pPr>
        <w:spacing w:before="0" w:after="0" w:line="360" w:lineRule="auto"/>
        <w:jc w:val="both"/>
        <w:ind w:firstLineChars="200" w:firstLine="0"/>
      </w:pPr>
      <w:r>
        <w:rPr>
          <w:rFonts w:ascii="Times New Roman" w:hAnsi="Times New Roman" w:eastAsia="宋体"/>
          <w:color w:val="000000"/>
          <w:sz w:val="24"/>
        </w:rPr>
        <w:t>保存变更集时，将资产类型、ID、资产修订号、最近发布版本、发布内容、当前草稿和差异列表全部固定到自身定义中。差异递归比较对象字段，输出新增/移除/变更、字段路径和前后值，单资产最多保留 500 项差异。</w:t>
      </w:r>
    </w:p>
    <w:p>
      <w:pPr>
        <w:pStyle w:val="Heading2"/>
        <w:keepNext/>
        <w:spacing w:before="220" w:after="100"/>
      </w:pPr>
      <w:bookmarkStart w:id="70" w:name="_LarkToc00070"/>
      <w:r>
        <w:rPr>
          <w:rFonts w:ascii="Times New Roman" w:hAnsi="Times New Roman" w:eastAsia="黑体"/>
          <w:b/>
          <w:color w:val="000000"/>
          <w:sz w:val="28"/>
        </w:rPr>
        <w:t>11.2 提交、批准与驳回</w:t>
      </w:r>
      <w:bookmarkEnd w:id="70"/>
    </w:p>
    <w:p>
      <w:pPr>
        <w:spacing w:before="0" w:after="0" w:line="360" w:lineRule="auto"/>
        <w:jc w:val="both"/>
        <w:ind w:firstLineChars="200" w:firstLine="0"/>
      </w:pPr>
      <w:r>
        <w:rPr>
          <w:rFonts w:ascii="Times New Roman" w:hAnsi="Times New Roman" w:eastAsia="宋体"/>
          <w:color w:val="000000"/>
          <w:sz w:val="24"/>
        </w:rPr>
        <w:t>变更集状态流为：草稿（DRAFT）→ 已提交（SUBMITTED）→ 已批准（APPROVED），或草稿 → 已提交 → 已驳回（REJECTED）→ 回到草稿（可重新打开）。提交要求至少一个资产且至少一项实际差异；空变更集和无实际差异的变更集不能提交；驳回必须填写意见。</w:t>
      </w:r>
    </w:p>
    <w:p>
      <w:pPr>
        <w:spacing w:before="0" w:after="0" w:line="360" w:lineRule="auto"/>
        <w:jc w:val="both"/>
        <w:ind w:firstLineChars="200" w:firstLine="0"/>
      </w:pPr>
      <w:r>
        <w:rPr>
          <w:rFonts w:ascii="Times New Roman" w:hAnsi="Times New Roman" w:eastAsia="宋体"/>
          <w:color w:val="000000"/>
          <w:sz w:val="24"/>
        </w:rPr>
        <w:t>单个资产可从 BAL/决策表编辑器直接提交审核（自动创建待审核变更集）。资产提交后禁止保存、重命名、移动、删除和通过包操作间接修改；驳回后恢复编辑。批准时重新编译固定修订并生成发布版本。审核动作串行执行，避免批准与驳回并发造成状态和发布版本分离。</w:t>
      </w:r>
    </w:p>
    <w:p>
      <w:pPr>
        <w:spacing w:before="0" w:after="0" w:line="360" w:lineRule="auto"/>
        <w:jc w:val="both"/>
        <w:ind w:firstLineChars="200" w:firstLine="0"/>
      </w:pPr>
      <w:r>
        <w:rPr>
          <w:rFonts w:ascii="Times New Roman" w:hAnsi="Times New Roman" w:eastAsia="宋体"/>
          <w:color w:val="000000"/>
          <w:sz w:val="24"/>
        </w:rPr>
        <w:t>OIDC 模式下身份来自验签 JWT，并禁止提交人审批自己的变更；local 模式仅用于本机开发，保留管理员自审能力以便测试。</w:t>
      </w:r>
    </w:p>
    <w:p>
      <w:pPr>
        <w:pStyle w:val="Heading2"/>
        <w:keepNext/>
        <w:spacing w:before="220" w:after="100"/>
      </w:pPr>
      <w:bookmarkStart w:id="71" w:name="_LarkToc00071"/>
      <w:r>
        <w:rPr>
          <w:rFonts w:ascii="Times New Roman" w:hAnsi="Times New Roman" w:eastAsia="黑体"/>
          <w:b/>
          <w:color w:val="000000"/>
          <w:sz w:val="28"/>
        </w:rPr>
        <w:t>11.3 审计日志</w:t>
      </w:r>
      <w:bookmarkEnd w:id="71"/>
    </w:p>
    <w:p>
      <w:pPr>
        <w:spacing w:before="0" w:after="0" w:line="360" w:lineRule="auto"/>
        <w:jc w:val="both"/>
        <w:ind w:firstLineChars="200" w:firstLine="0"/>
      </w:pPr>
      <w:r>
        <w:rPr>
          <w:rFonts w:ascii="Times New Roman" w:hAnsi="Times New Roman" w:eastAsia="宋体"/>
          <w:color w:val="000000"/>
          <w:sz w:val="24"/>
        </w:rPr>
        <w:t>审计日志为追加写，覆盖资产、BOM、测试套件、Release 和变更集的核心动作，业务 API 不提供审计更新或删除接口。可查询项目隔离的审计事件（GET /api/projects/{projectId}/audit-events），最大返回 500 条，按时间倒序。</w:t>
      </w:r>
    </w:p>
    <w:p>
      <w:pPr>
        <w:pStyle w:val="Heading1"/>
        <w:keepNext/>
        <w:spacing w:before="280" w:after="120"/>
      </w:pPr>
      <w:bookmarkStart w:id="72" w:name="_LarkToc00072"/>
      <w:r>
        <w:rPr>
          <w:rFonts w:ascii="Times New Roman" w:hAnsi="Times New Roman" w:eastAsia="黑体"/>
          <w:b/>
          <w:color w:val="000000"/>
          <w:sz w:val="32"/>
        </w:rPr>
        <w:t>12 发布与部署</w:t>
      </w:r>
      <w:bookmarkEnd w:id="72"/>
    </w:p>
    <w:p>
      <w:pPr>
        <w:pStyle w:val="Heading2"/>
        <w:keepNext/>
        <w:spacing w:before="220" w:after="100"/>
      </w:pPr>
      <w:bookmarkStart w:id="73" w:name="_LarkToc00073"/>
      <w:r>
        <w:rPr>
          <w:rFonts w:ascii="Times New Roman" w:hAnsi="Times New Roman" w:eastAsia="黑体"/>
          <w:b/>
          <w:color w:val="000000"/>
          <w:sz w:val="28"/>
        </w:rPr>
        <w:t>12.1 Release 概念</w:t>
      </w:r>
      <w:bookmarkEnd w:id="73"/>
    </w:p>
    <w:p>
      <w:pPr>
        <w:spacing w:before="0" w:after="0" w:line="360" w:lineRule="auto"/>
        <w:jc w:val="both"/>
        <w:ind w:firstLineChars="200" w:firstLine="0"/>
      </w:pPr>
      <w:r>
        <w:rPr>
          <w:rFonts w:ascii="Times New Roman" w:hAnsi="Times New Roman" w:eastAsia="宋体"/>
          <w:color w:val="000000"/>
          <w:sz w:val="24"/>
        </w:rPr>
        <w:t>Release 是平台的不可变发布制品，从已批准或当前已发布的资产生成。Release 包含决策服务标识（decisionService）、语义版本、资产版本、步骤快照、DRL、模型版本（BOM 快照）、Drools/Esper 兼容版本和 SHA-256 校验和。创建后除部署状态外不得修改内容。</w:t>
      </w:r>
    </w:p>
    <w:p>
      <w:pPr>
        <w:spacing w:before="0" w:after="0" w:line="360" w:lineRule="auto"/>
        <w:jc w:val="both"/>
        <w:ind w:firstLineChars="200" w:firstLine="0"/>
      </w:pPr>
      <w:r>
        <w:rPr>
          <w:rFonts w:ascii="Times New Roman" w:hAnsi="Times New Roman" w:eastAsia="宋体"/>
          <w:color w:val="000000"/>
          <w:sz w:val="24"/>
        </w:rPr>
        <w:t>校验和覆盖规范化内容（schemaVersion、decisionService、version、name、description、target、engine、model、steps、routing），JSON 属性按名称排序后做 UTF-8 SHA-256，保证不同进程得到相同结果。发布不自动改变生产流量，部署是独立授权动作。</w:t>
      </w:r>
    </w:p>
    <w:p>
      <w:pPr>
        <w:pStyle w:val="Heading2"/>
        <w:keepNext/>
        <w:spacing w:before="220" w:after="100"/>
      </w:pPr>
      <w:bookmarkStart w:id="74" w:name="_LarkToc00074"/>
      <w:r>
        <w:rPr>
          <w:rFonts w:ascii="Times New Roman" w:hAnsi="Times New Roman" w:eastAsia="黑体"/>
          <w:b/>
          <w:color w:val="000000"/>
          <w:sz w:val="28"/>
        </w:rPr>
        <w:t>12.2 构建 Release</w:t>
      </w:r>
      <w:bookmarkEnd w:id="74"/>
    </w:p>
    <w:p>
      <w:pPr>
        <w:spacing w:before="0" w:after="0" w:line="360" w:lineRule="auto"/>
        <w:jc w:val="both"/>
        <w:ind w:firstLineChars="200" w:firstLine="0"/>
      </w:pPr>
      <w:r>
        <w:rPr>
          <w:rFonts w:ascii="Times New Roman" w:hAnsi="Times New Roman" w:eastAsia="宋体"/>
          <w:color w:val="000000"/>
          <w:sz w:val="24"/>
        </w:rPr>
        <w:t>在“发布”页点击“构建新 Release”，按五步向导完成：</w:t>
      </w:r>
    </w:p>
    <w:p>
      <w:pPr>
        <w:spacing w:before="0" w:after="0" w:line="360" w:lineRule="auto"/>
        <w:jc w:val="both"/>
        <w:ind w:firstLineChars="200" w:firstLine="0"/>
      </w:pPr>
      <w:r>
        <w:rPr>
          <w:rFonts w:ascii="Times New Roman" w:hAnsi="Times New Roman" w:eastAsia="宋体"/>
          <w:color w:val="000000"/>
          <w:sz w:val="24"/>
        </w:rPr>
        <w:t>（1）</w:t>
      </w:r>
      <w:r>
        <w:rPr>
          <w:rFonts w:ascii="Times New Roman" w:hAnsi="Times New Roman" w:eastAsia="宋体"/>
          <w:color w:val="000000"/>
          <w:sz w:val="24"/>
        </w:rPr>
        <w:t>选择资产：勾选要包含的规则、决策表或规则流（归档资产默认不勾选）；</w:t>
      </w:r>
    </w:p>
    <w:p>
      <w:pPr>
        <w:spacing w:before="0" w:after="0" w:line="360" w:lineRule="auto"/>
        <w:jc w:val="both"/>
        <w:ind w:firstLineChars="200" w:firstLine="0"/>
      </w:pPr>
      <w:r>
        <w:rPr>
          <w:rFonts w:ascii="Times New Roman" w:hAnsi="Times New Roman" w:eastAsia="宋体"/>
          <w:color w:val="000000"/>
          <w:sz w:val="24"/>
        </w:rPr>
        <w:t>（2）</w:t>
      </w:r>
      <w:r>
        <w:rPr>
          <w:rFonts w:ascii="Times New Roman" w:hAnsi="Times New Roman" w:eastAsia="宋体"/>
          <w:color w:val="000000"/>
          <w:sz w:val="24"/>
        </w:rPr>
        <w:t>版本信息：版本号自动递增，填写发布说明；</w:t>
      </w:r>
    </w:p>
    <w:p>
      <w:pPr>
        <w:spacing w:before="0" w:after="0" w:line="360" w:lineRule="auto"/>
        <w:jc w:val="both"/>
        <w:ind w:firstLineChars="200" w:firstLine="0"/>
      </w:pPr>
      <w:r>
        <w:rPr>
          <w:rFonts w:ascii="Times New Roman" w:hAnsi="Times New Roman" w:eastAsia="宋体"/>
          <w:color w:val="000000"/>
          <w:sz w:val="24"/>
        </w:rPr>
        <w:t>（3）</w:t>
      </w:r>
      <w:r>
        <w:rPr>
          <w:rFonts w:ascii="Times New Roman" w:hAnsi="Times New Roman" w:eastAsia="宋体"/>
          <w:color w:val="000000"/>
          <w:sz w:val="24"/>
        </w:rPr>
        <w:t>编译验证：DRL 编译、BOM 校验、必需测试套件实时重跑、冲突检测，失败项红色标注；</w:t>
      </w:r>
    </w:p>
    <w:p>
      <w:pPr>
        <w:spacing w:before="0" w:after="0" w:line="360" w:lineRule="auto"/>
        <w:jc w:val="both"/>
        <w:ind w:firstLineChars="200" w:firstLine="0"/>
      </w:pPr>
      <w:r>
        <w:rPr>
          <w:rFonts w:ascii="Times New Roman" w:hAnsi="Times New Roman" w:eastAsia="宋体"/>
          <w:color w:val="000000"/>
          <w:sz w:val="24"/>
        </w:rPr>
        <w:t>（4）</w:t>
      </w:r>
      <w:r>
        <w:rPr>
          <w:rFonts w:ascii="Times New Roman" w:hAnsi="Times New Roman" w:eastAsia="宋体"/>
          <w:color w:val="000000"/>
          <w:sz w:val="24"/>
        </w:rPr>
        <w:t>部署目标：勾选目标环境（当前 MVP 支持 local），标注部署策略；</w:t>
      </w:r>
    </w:p>
    <w:p>
      <w:pPr>
        <w:spacing w:before="0" w:after="0" w:line="360" w:lineRule="auto"/>
        <w:jc w:val="both"/>
        <w:ind w:firstLineChars="200" w:firstLine="0"/>
      </w:pPr>
      <w:r>
        <w:rPr>
          <w:rFonts w:ascii="Times New Roman" w:hAnsi="Times New Roman" w:eastAsia="宋体"/>
          <w:color w:val="000000"/>
          <w:sz w:val="24"/>
        </w:rPr>
        <w:t>（5）</w:t>
      </w:r>
      <w:r>
        <w:rPr>
          <w:rFonts w:ascii="Times New Roman" w:hAnsi="Times New Roman" w:eastAsia="宋体"/>
          <w:color w:val="000000"/>
          <w:sz w:val="24"/>
        </w:rPr>
        <w:t>确认构建：查看摘要表、校验和与已知问题警告，点击“构建”。</w:t>
      </w:r>
    </w:p>
    <w:p>
      <w:pPr>
        <w:spacing w:before="0" w:after="0" w:line="360" w:lineRule="auto"/>
        <w:jc w:val="both"/>
        <w:ind w:firstLineChars="200" w:firstLine="0"/>
      </w:pPr>
      <w:r>
        <w:rPr>
          <w:rFonts w:ascii="Times New Roman" w:hAnsi="Times New Roman" w:eastAsia="宋体"/>
          <w:color w:val="000000"/>
          <w:sz w:val="24"/>
        </w:rPr>
        <w:t>必需测试套件在创建 Release 时实时重跑，任一失败返回 409 和结构化门禁摘要（包含失败用例的版本、用例及断言的期望/实际值），不写入 Release。成功时在 Release 本地元数据中记录质量门禁摘要，该摘要不参与制品校验和。</w:t>
      </w:r>
    </w:p>
    <w:p>
      <w:pPr>
        <w:spacing w:before="0" w:after="0" w:line="360" w:lineRule="auto"/>
        <w:jc w:val="both"/>
        <w:ind w:firstLineChars="200" w:firstLine="0"/>
      </w:pPr>
      <w:r>
        <w:rPr>
          <w:rFonts w:ascii="Times New Roman" w:hAnsi="Times New Roman" w:eastAsia="宋体"/>
          <w:color w:val="000000"/>
          <w:sz w:val="24"/>
        </w:rPr>
        <w:t>Release 只引用已发布版本，不读取未保存或未发布草稿；同一决策服务的版本号单调递增；非默认项目的 decisionService 必须以 项目ID/ 开头（如 project-xxx/grain-alarm），避免服务标识跨项目混用。</w:t>
      </w:r>
    </w:p>
    <w:p>
      <w:pPr>
        <w:pStyle w:val="Heading2"/>
        <w:keepNext/>
        <w:spacing w:before="220" w:after="100"/>
      </w:pPr>
      <w:bookmarkStart w:id="75" w:name="_LarkToc00075"/>
      <w:r>
        <w:rPr>
          <w:rFonts w:ascii="Times New Roman" w:hAnsi="Times New Roman" w:eastAsia="黑体"/>
          <w:b/>
          <w:color w:val="000000"/>
          <w:sz w:val="28"/>
        </w:rPr>
        <w:t>12.3 部署</w:t>
      </w:r>
      <w:bookmarkEnd w:id="75"/>
    </w:p>
    <w:p>
      <w:pPr>
        <w:spacing w:before="0" w:after="0" w:line="360" w:lineRule="auto"/>
        <w:jc w:val="both"/>
        <w:ind w:firstLineChars="200" w:firstLine="0"/>
      </w:pPr>
      <w:r>
        <w:rPr>
          <w:rFonts w:ascii="Times New Roman" w:hAnsi="Times New Roman" w:eastAsia="宋体"/>
          <w:color w:val="000000"/>
          <w:sz w:val="24"/>
        </w:rPr>
        <w:t>点击“部署”并选择环境（当前 MVP 只支持 local），Team Server 把完整 Release 发送给 RES 的 /deploy 接口，成功后记录部署回执。RES 部署流程为：校验必需字段、大小、引擎兼容版本和 SHA-256 → 编译每个步骤并构建内存容器 → 创建会话池 → 原子写入本地持久化目录 → 加入内存注册表。相同 Release ID 和校验和的重复部署是幂等成功；相同 ID 不同校验和返回 409。</w:t>
      </w:r>
    </w:p>
    <w:p>
      <w:pPr>
        <w:spacing w:before="0" w:after="0" w:line="360" w:lineRule="auto"/>
        <w:jc w:val="both"/>
        <w:ind w:firstLineChars="200" w:firstLine="0"/>
      </w:pPr>
      <w:r>
        <w:rPr>
          <w:rFonts w:ascii="Times New Roman" w:hAnsi="Times New Roman" w:eastAsia="宋体"/>
          <w:color w:val="000000"/>
          <w:sz w:val="24"/>
        </w:rPr>
        <w:t>RES 重启后能够恢复已部署 Release；部署先完成编译和预热再进入可路由状态；回滚只改变路由，不重新生成历史制品。</w:t>
      </w:r>
    </w:p>
    <w:p>
      <w:pPr>
        <w:pStyle w:val="Heading2"/>
        <w:keepNext/>
        <w:spacing w:before="220" w:after="100"/>
      </w:pPr>
      <w:bookmarkStart w:id="76" w:name="_LarkToc00076"/>
      <w:r>
        <w:rPr>
          <w:rFonts w:ascii="Times New Roman" w:hAnsi="Times New Roman" w:eastAsia="黑体"/>
          <w:b/>
          <w:color w:val="000000"/>
          <w:sz w:val="28"/>
        </w:rPr>
        <w:t>12.4 执行</w:t>
      </w:r>
      <w:bookmarkEnd w:id="76"/>
    </w:p>
    <w:p>
      <w:pPr>
        <w:spacing w:before="0" w:after="0" w:line="360" w:lineRule="auto"/>
        <w:jc w:val="both"/>
        <w:ind w:firstLineChars="200" w:firstLine="0"/>
      </w:pPr>
      <w:r>
        <w:rPr>
          <w:rFonts w:ascii="Times New Roman" w:hAnsi="Times New Roman" w:eastAsia="宋体"/>
          <w:color w:val="000000"/>
          <w:sz w:val="24"/>
        </w:rPr>
        <w:t>管理端提供试运行代理（POST /api/projects/{projectId}/releases/{id}/execute），只用于演示和运维验证；生产业务系统应直接调用 RES 的 /execute 接口。执行请求格式为：</w:t>
      </w:r>
    </w:p>
    <w:p>
      <w:pPr>
        <w:spacing w:before="0" w:after="0" w:line="360" w:lineRule="auto"/>
        <w:jc w:val="both"/>
        <w:ind w:firstLineChars="200" w:firstLine="0"/>
      </w:pPr>
      <w:r>
        <w:rPr>
          <w:rFonts w:ascii="Times New Roman" w:hAnsi="Times New Roman" w:eastAsia="宋体"/>
          <w:color w:val="000000"/>
          <w:sz w:val="24"/>
        </w:rPr>
        <w:t>POST http://127.0.0.1:8790/execute，请求体包含 releaseId（UUID）、requestId（可选关联 ID）和 facts（业务输入字段）。RES 使用部署时已编译的容器和会话池依次执行步骤，响应包含最终事实、命中规则、逐步骤轨迹及实际应用的映射值；存在路由时，响应顶层 path 返回分支 ID、名称和是否默认分支。</w:t>
      </w:r>
    </w:p>
    <w:p>
      <w:pPr>
        <w:spacing w:before="0" w:after="0" w:line="360" w:lineRule="auto"/>
        <w:jc w:val="both"/>
        <w:ind w:firstLineChars="200" w:firstLine="0"/>
      </w:pPr>
      <w:r>
        <w:rPr>
          <w:rFonts w:ascii="Times New Roman" w:hAnsi="Times New Roman" w:eastAsia="宋体"/>
          <w:color w:val="000000"/>
          <w:sz w:val="24"/>
        </w:rPr>
        <w:t>规则流执行语义：公共步骤执行后按分支显示顺序选择第一条满足条件的分支；全部条件不满足时选择唯一默认分支；没有默认分支时允许不执行任何分支步骤。输入映射在节点执行前赋值，输出映射在节点执行后赋值，null 不覆盖已有上下文值。</w:t>
      </w:r>
    </w:p>
    <w:p>
      <w:pPr>
        <w:pStyle w:val="Heading2"/>
        <w:keepNext/>
        <w:spacing w:before="220" w:after="100"/>
      </w:pPr>
      <w:bookmarkStart w:id="77" w:name="_LarkToc00077"/>
      <w:r>
        <w:rPr>
          <w:rFonts w:ascii="Times New Roman" w:hAnsi="Times New Roman" w:eastAsia="黑体"/>
          <w:b/>
          <w:color w:val="000000"/>
          <w:sz w:val="28"/>
        </w:rPr>
        <w:t>12.5 版本管理与回滚</w:t>
      </w:r>
      <w:bookmarkEnd w:id="77"/>
    </w:p>
    <w:p>
      <w:pPr>
        <w:spacing w:before="0" w:after="0" w:line="360" w:lineRule="auto"/>
        <w:jc w:val="both"/>
        <w:ind w:firstLineChars="200" w:firstLine="0"/>
      </w:pPr>
      <w:r>
        <w:rPr>
          <w:rFonts w:ascii="Times New Roman" w:hAnsi="Times New Roman" w:eastAsia="宋体"/>
          <w:color w:val="000000"/>
          <w:sz w:val="24"/>
        </w:rPr>
        <w:t>Release 详情与列表响应携带 latestForDecisionService 标记，用于识别同一决策服务的最新版本。部署后可查看每个环境正在运行的 Release、部署历史和回滚目标。回滚通过重新部署目标版本实现，只改变路由，不重新生成历史制品。</w:t>
      </w:r>
    </w:p>
    <w:p>
      <w:pPr>
        <w:spacing w:before="0" w:after="0" w:line="360" w:lineRule="auto"/>
        <w:jc w:val="both"/>
        <w:ind w:firstLineChars="200" w:firstLine="0"/>
      </w:pPr>
      <w:r>
        <w:rPr>
          <w:rFonts w:ascii="Times New Roman" w:hAnsi="Times New Roman" w:eastAsia="宋体"/>
          <w:color w:val="000000"/>
          <w:sz w:val="24"/>
        </w:rPr>
        <w:t>注意：历史遗留的 legacy 资产版本没有 BOM/DRL 快照，创建 Release 时只能尝试用当前 BOM 生成；若字段或枚举已不兼容则拒绝创建，需显式迁移并重新发布，系统不会猜测历史模型。</w:t>
      </w:r>
    </w:p>
    <w:p>
      <w:pPr>
        <w:pStyle w:val="Heading1"/>
        <w:keepNext/>
        <w:spacing w:before="280" w:after="120"/>
      </w:pPr>
      <w:bookmarkStart w:id="78" w:name="_LarkToc00078"/>
      <w:r>
        <w:rPr>
          <w:rFonts w:ascii="Times New Roman" w:hAnsi="Times New Roman" w:eastAsia="黑体"/>
          <w:b/>
          <w:color w:val="000000"/>
          <w:sz w:val="32"/>
        </w:rPr>
        <w:t>13 项目报告</w:t>
      </w:r>
      <w:bookmarkEnd w:id="78"/>
    </w:p>
    <w:p>
      <w:pPr>
        <w:pStyle w:val="Heading2"/>
        <w:keepNext/>
        <w:spacing w:before="220" w:after="100"/>
      </w:pPr>
      <w:bookmarkStart w:id="79" w:name="_LarkToc00079"/>
      <w:r>
        <w:rPr>
          <w:rFonts w:ascii="Times New Roman" w:hAnsi="Times New Roman" w:eastAsia="黑体"/>
          <w:b/>
          <w:color w:val="000000"/>
          <w:sz w:val="28"/>
        </w:rPr>
        <w:t>13.1 生成报告</w:t>
      </w:r>
      <w:bookmarkEnd w:id="79"/>
    </w:p>
    <w:p>
      <w:pPr>
        <w:spacing w:before="0" w:after="0" w:line="360" w:lineRule="auto"/>
        <w:jc w:val="both"/>
        <w:ind w:firstLineChars="200" w:firstLine="0"/>
      </w:pPr>
      <w:r>
        <w:rPr>
          <w:rFonts w:ascii="Times New Roman" w:hAnsi="Times New Roman" w:eastAsia="宋体"/>
          <w:color w:val="000000"/>
          <w:sz w:val="24"/>
        </w:rPr>
        <w:t>项目页顶栏右侧点击“报告”按钮进入报告视图页（/projects/{projectId}/report）。进入即调用后端聚合接口生成最新数据快照，报告页头部显示生成时间、生成人、决策服务标识和数据版本（BOM 版本 + 最新 Release 版本），确保可追溯。</w:t>
      </w:r>
    </w:p>
    <w:p>
      <w:pPr>
        <w:pStyle w:val="Heading2"/>
        <w:keepNext/>
        <w:spacing w:before="220" w:after="100"/>
      </w:pPr>
      <w:bookmarkStart w:id="80" w:name="_LarkToc00080"/>
      <w:r>
        <w:rPr>
          <w:rFonts w:ascii="Times New Roman" w:hAnsi="Times New Roman" w:eastAsia="黑体"/>
          <w:b/>
          <w:color w:val="000000"/>
          <w:sz w:val="28"/>
        </w:rPr>
        <w:t>13.2 报告章节</w:t>
      </w:r>
      <w:bookmarkEnd w:id="80"/>
    </w:p>
    <w:p>
      <w:pPr>
        <w:keepNext/>
        <w:spacing w:before="80" w:after="80" w:line="240" w:lineRule="auto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表 13-1 报告六章节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/>
        </w:trPr>
        <w:tc>
          <w:tcPr>
            <w:tcW w:type="dxa" w:w="1633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章节</w:t>
            </w:r>
          </w:p>
        </w:tc>
        <w:tc>
          <w:tcPr>
            <w:tcW w:type="dxa" w:w="7438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内容</w:t>
            </w:r>
          </w:p>
        </w:tc>
      </w:tr>
      <w:tr>
        <w:trPr>
          <w:cantSplit/>
        </w:trPr>
        <w:tc>
          <w:tcPr>
            <w:tcW w:type="dxa" w:w="1633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项目概览</w:t>
            </w:r>
          </w:p>
        </w:tc>
        <w:tc>
          <w:tcPr>
            <w:tcW w:type="dxa" w:w="7438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项目元信息与六张 KPI 卡（资产总数、规则数、决策表数、测试通过率、发布版本、部署环境）</w:t>
            </w:r>
          </w:p>
        </w:tc>
      </w:tr>
      <w:tr>
        <w:trPr>
          <w:cantSplit/>
        </w:trPr>
        <w:tc>
          <w:tcPr>
            <w:tcW w:type="dxa" w:w="1633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BOM 资产总览</w:t>
            </w:r>
          </w:p>
        </w:tc>
        <w:tc>
          <w:tcPr>
            <w:tcW w:type="dxa" w:w="7438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事实类型表（名称/中文名/方向/字段数）、字段类型分布、输入/输出事实计数</w:t>
            </w:r>
          </w:p>
        </w:tc>
      </w:tr>
      <w:tr>
        <w:trPr>
          <w:cantSplit/>
        </w:trPr>
        <w:tc>
          <w:tcPr>
            <w:tcW w:type="dxa" w:w="1633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规则资产清单</w:t>
            </w:r>
          </w:p>
        </w:tc>
        <w:tc>
          <w:tcPr>
            <w:tcW w:type="dxa" w:w="7438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按包分组的资产清单（名称、类型、状态、版本、优先级、BOM 失效标记）</w:t>
            </w:r>
          </w:p>
        </w:tc>
      </w:tr>
      <w:tr>
        <w:trPr>
          <w:cantSplit/>
        </w:trPr>
        <w:tc>
          <w:tcPr>
            <w:tcW w:type="dxa" w:w="1633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规则流拓扑</w:t>
            </w:r>
          </w:p>
        </w:tc>
        <w:tc>
          <w:tcPr>
            <w:tcW w:type="dxa" w:w="7438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每个规则流的名称、状态、版本、步骤数、分支数、命中策略与步骤清单</w:t>
            </w:r>
          </w:p>
        </w:tc>
      </w:tr>
      <w:tr>
        <w:trPr>
          <w:cantSplit/>
        </w:trPr>
        <w:tc>
          <w:tcPr>
            <w:tcW w:type="dxa" w:w="1633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测试矩阵</w:t>
            </w:r>
          </w:p>
        </w:tc>
        <w:tc>
          <w:tcPr>
            <w:tcW w:type="dxa" w:w="7438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套件名、目标、是否发布必需、用例数/通过数/失败数、通过率、路径覆盖率、最近运行时间</w:t>
            </w:r>
          </w:p>
        </w:tc>
      </w:tr>
      <w:tr>
        <w:trPr>
          <w:cantSplit/>
        </w:trPr>
        <w:tc>
          <w:tcPr>
            <w:tcW w:type="dxa" w:w="1633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发布与部署历史</w:t>
            </w:r>
          </w:p>
        </w:tc>
        <w:tc>
          <w:tcPr>
            <w:tcW w:type="dxa" w:w="7438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版本号、名称/描述、决策服务标识、质量门禁、创建人/时间、部署环境/时间/校验和</w:t>
            </w:r>
          </w:p>
        </w:tc>
      </w:tr>
    </w:tbl>
    <w:p>
      <w:pPr>
        <w:pStyle w:val="Heading2"/>
        <w:keepNext/>
        <w:spacing w:before="220" w:after="100"/>
      </w:pPr>
      <w:bookmarkStart w:id="81" w:name="_LarkToc00081"/>
      <w:r>
        <w:rPr>
          <w:rFonts w:ascii="Times New Roman" w:hAnsi="Times New Roman" w:eastAsia="黑体"/>
          <w:b/>
          <w:color w:val="000000"/>
          <w:sz w:val="28"/>
        </w:rPr>
        <w:t>13.3 下载与打印</w:t>
      </w:r>
      <w:bookmarkEnd w:id="81"/>
    </w:p>
    <w:p>
      <w:pPr>
        <w:spacing w:before="0" w:after="0" w:line="360" w:lineRule="auto"/>
        <w:jc w:val="both"/>
        <w:ind w:firstLineChars="200" w:firstLine="0"/>
      </w:pPr>
      <w:r>
        <w:rPr>
          <w:rFonts w:ascii="Times New Roman" w:hAnsi="Times New Roman" w:eastAsia="宋体"/>
          <w:color w:val="000000"/>
          <w:sz w:val="24"/>
        </w:rPr>
        <w:t>“下载 HTML”将后端返回的自包含 HTML 保存为“项目名-资产报告-日期.html”文件，可离线打开（内联样式，无外部 CDN 依赖）。“下载 PDF”触发浏览器打印（window.print），打印样式保证 A4 分页、工具栏隐藏、表格表头跨页重复，用户通过“另存为 PDF”保存。</w:t>
      </w:r>
    </w:p>
    <w:p>
      <w:pPr>
        <w:spacing w:before="0" w:after="0" w:line="360" w:lineRule="auto"/>
        <w:jc w:val="both"/>
        <w:ind w:firstLineChars="200" w:firstLine="0"/>
      </w:pPr>
      <w:r>
        <w:rPr>
          <w:rFonts w:ascii="Times New Roman" w:hAnsi="Times New Roman" w:eastAsia="宋体"/>
          <w:color w:val="000000"/>
          <w:sz w:val="24"/>
        </w:rPr>
        <w:t>报告遵循项目与资产授权，优先展示已发布规则流快照；没有对应数据时显示明确空态（如测试“未运行”、发布“暂无发布”），不伪造统计结果。所有用户可控文本经 HTML 转义后再渲染，防止跨站脚本。</w:t>
      </w:r>
    </w:p>
    <w:p>
      <w:pPr>
        <w:pStyle w:val="Heading1"/>
        <w:keepNext/>
        <w:spacing w:before="280" w:after="120"/>
      </w:pPr>
      <w:bookmarkStart w:id="82" w:name="_LarkToc00082"/>
      <w:r>
        <w:rPr>
          <w:rFonts w:ascii="Times New Roman" w:hAnsi="Times New Roman" w:eastAsia="黑体"/>
          <w:b/>
          <w:color w:val="000000"/>
          <w:sz w:val="32"/>
        </w:rPr>
        <w:t>14 浏览与搜索</w:t>
      </w:r>
      <w:bookmarkEnd w:id="82"/>
    </w:p>
    <w:p>
      <w:pPr>
        <w:spacing w:before="0" w:after="0" w:line="360" w:lineRule="auto"/>
        <w:jc w:val="both"/>
        <w:ind w:firstLineChars="200" w:firstLine="0"/>
      </w:pPr>
      <w:r>
        <w:rPr>
          <w:rFonts w:ascii="Times New Roman" w:hAnsi="Times New Roman" w:eastAsia="宋体"/>
          <w:color w:val="000000"/>
          <w:sz w:val="24"/>
        </w:rPr>
        <w:t>“浏览”页提供跨项目资产目录，可检索规则、决策表、规则流、规则包和 BOM 字段，支持中英文业务术语搜索（按名称、规则包、项目和 BOM 业务术语），并可组合项目、资产类型和状态筛选。</w:t>
      </w:r>
    </w:p>
    <w:p>
      <w:pPr>
        <w:spacing w:before="0" w:after="0" w:line="360" w:lineRule="auto"/>
        <w:jc w:val="both"/>
        <w:ind w:firstLineChars="200" w:firstLine="0"/>
      </w:pPr>
      <w:r>
        <w:rPr>
          <w:rFonts w:ascii="Times New Roman" w:hAnsi="Times New Roman" w:eastAsia="宋体"/>
          <w:color w:val="000000"/>
          <w:sz w:val="24"/>
        </w:rPr>
        <w:t>搜索结果可直接定位到规则、决策表、规则流或 BOM 字段，点击即跳转到对应编辑或查看页面。搜索与资产列表接口采用服务端过滤，定位到具体资产后继续遵循项目与资产授权。</w:t>
      </w:r>
    </w:p>
    <w:p>
      <w:pPr>
        <w:pStyle w:val="Heading1"/>
        <w:keepNext/>
        <w:spacing w:before="280" w:after="120"/>
      </w:pPr>
      <w:bookmarkStart w:id="83" w:name="_LarkToc00083"/>
      <w:r>
        <w:rPr>
          <w:rFonts w:ascii="Times New Roman" w:hAnsi="Times New Roman" w:eastAsia="黑体"/>
          <w:b/>
          <w:color w:val="000000"/>
          <w:sz w:val="32"/>
        </w:rPr>
        <w:t>15 系统管理</w:t>
      </w:r>
      <w:bookmarkEnd w:id="83"/>
    </w:p>
    <w:p>
      <w:pPr>
        <w:pStyle w:val="Heading2"/>
        <w:keepNext/>
        <w:spacing w:before="220" w:after="100"/>
      </w:pPr>
      <w:bookmarkStart w:id="84" w:name="_LarkToc00084"/>
      <w:r>
        <w:rPr>
          <w:rFonts w:ascii="Times New Roman" w:hAnsi="Times New Roman" w:eastAsia="黑体"/>
          <w:b/>
          <w:color w:val="000000"/>
          <w:sz w:val="28"/>
        </w:rPr>
        <w:t>15.1 管理页概览</w:t>
      </w:r>
      <w:bookmarkEnd w:id="84"/>
    </w:p>
    <w:p>
      <w:pPr>
        <w:spacing w:before="0" w:after="0" w:line="360" w:lineRule="auto"/>
        <w:jc w:val="both"/>
        <w:ind w:firstLineChars="200" w:firstLine="0"/>
      </w:pPr>
      <w:r>
        <w:rPr>
          <w:rFonts w:ascii="Times New Roman" w:hAnsi="Times New Roman" w:eastAsia="宋体"/>
          <w:color w:val="000000"/>
          <w:sz w:val="24"/>
        </w:rPr>
        <w:t>“管理”页提供三类系统管理能力：用户目录（用户 CRUD）、角色矩阵（权限与角色对应关系）和环境注册（部署环境管理）。</w:t>
      </w:r>
    </w:p>
    <w:p>
      <w:pPr>
        <w:pStyle w:val="Heading2"/>
        <w:keepNext/>
        <w:spacing w:before="220" w:after="100"/>
      </w:pPr>
      <w:bookmarkStart w:id="85" w:name="_LarkToc00085"/>
      <w:r>
        <w:rPr>
          <w:rFonts w:ascii="Times New Roman" w:hAnsi="Times New Roman" w:eastAsia="黑体"/>
          <w:b/>
          <w:color w:val="000000"/>
          <w:sz w:val="28"/>
        </w:rPr>
        <w:t>15.2 用户与角色</w:t>
      </w:r>
      <w:bookmarkEnd w:id="85"/>
    </w:p>
    <w:p>
      <w:pPr>
        <w:keepNext/>
        <w:spacing w:before="80" w:after="80" w:line="240" w:lineRule="auto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表 15-1 角色权限矩阵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cantSplit/>
          <w:tblHeader/>
        </w:trPr>
        <w:tc>
          <w:tcPr>
            <w:tcW w:type="dxa" w:w="2772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权限</w:t>
            </w:r>
          </w:p>
        </w:tc>
        <w:tc>
          <w:tcPr>
            <w:tcW w:type="dxa" w:w="1260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管理员</w:t>
            </w:r>
          </w:p>
        </w:tc>
        <w:tc>
          <w:tcPr>
            <w:tcW w:type="dxa" w:w="1260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规则作者</w:t>
            </w:r>
          </w:p>
        </w:tc>
        <w:tc>
          <w:tcPr>
            <w:tcW w:type="dxa" w:w="1260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发布审核</w:t>
            </w:r>
          </w:p>
        </w:tc>
        <w:tc>
          <w:tcPr>
            <w:tcW w:type="dxa" w:w="1260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部署员</w:t>
            </w:r>
          </w:p>
        </w:tc>
        <w:tc>
          <w:tcPr>
            <w:tcW w:type="dxa" w:w="1260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只读</w:t>
            </w:r>
          </w:p>
        </w:tc>
      </w:tr>
      <w:tr>
        <w:trPr>
          <w:cantSplit/>
        </w:trPr>
        <w:tc>
          <w:tcPr>
            <w:tcW w:type="dxa" w:w="2772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浏览规则</w:t>
            </w:r>
          </w:p>
        </w:tc>
        <w:tc>
          <w:tcPr>
            <w:tcW w:type="dxa" w:w="1260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√</w:t>
            </w:r>
          </w:p>
        </w:tc>
        <w:tc>
          <w:tcPr>
            <w:tcW w:type="dxa" w:w="1260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√</w:t>
            </w:r>
          </w:p>
        </w:tc>
        <w:tc>
          <w:tcPr>
            <w:tcW w:type="dxa" w:w="1260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√</w:t>
            </w:r>
          </w:p>
        </w:tc>
        <w:tc>
          <w:tcPr>
            <w:tcW w:type="dxa" w:w="1260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√</w:t>
            </w:r>
          </w:p>
        </w:tc>
        <w:tc>
          <w:tcPr>
            <w:tcW w:type="dxa" w:w="1260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√</w:t>
            </w:r>
          </w:p>
        </w:tc>
      </w:tr>
      <w:tr>
        <w:trPr>
          <w:cantSplit/>
        </w:trPr>
        <w:tc>
          <w:tcPr>
            <w:tcW w:type="dxa" w:w="2772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编辑草稿 / BOM</w:t>
            </w:r>
          </w:p>
        </w:tc>
        <w:tc>
          <w:tcPr>
            <w:tcW w:type="dxa" w:w="1260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√</w:t>
            </w:r>
          </w:p>
        </w:tc>
        <w:tc>
          <w:tcPr>
            <w:tcW w:type="dxa" w:w="1260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√</w:t>
            </w:r>
          </w:p>
        </w:tc>
        <w:tc>
          <w:tcPr>
            <w:tcW w:type="dxa" w:w="1260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1260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1260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</w:tr>
      <w:tr>
        <w:trPr>
          <w:cantSplit/>
        </w:trPr>
        <w:tc>
          <w:tcPr>
            <w:tcW w:type="dxa" w:w="2772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提交审批</w:t>
            </w:r>
          </w:p>
        </w:tc>
        <w:tc>
          <w:tcPr>
            <w:tcW w:type="dxa" w:w="1260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√</w:t>
            </w:r>
          </w:p>
        </w:tc>
        <w:tc>
          <w:tcPr>
            <w:tcW w:type="dxa" w:w="1260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√</w:t>
            </w:r>
          </w:p>
        </w:tc>
        <w:tc>
          <w:tcPr>
            <w:tcW w:type="dxa" w:w="1260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1260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1260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</w:tr>
      <w:tr>
        <w:trPr>
          <w:cantSplit/>
        </w:trPr>
        <w:tc>
          <w:tcPr>
            <w:tcW w:type="dxa" w:w="2772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审核并发布</w:t>
            </w:r>
          </w:p>
        </w:tc>
        <w:tc>
          <w:tcPr>
            <w:tcW w:type="dxa" w:w="1260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√</w:t>
            </w:r>
          </w:p>
        </w:tc>
        <w:tc>
          <w:tcPr>
            <w:tcW w:type="dxa" w:w="1260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1260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√</w:t>
            </w:r>
          </w:p>
        </w:tc>
        <w:tc>
          <w:tcPr>
            <w:tcW w:type="dxa" w:w="1260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1260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</w:tr>
      <w:tr>
        <w:trPr>
          <w:cantSplit/>
        </w:trPr>
        <w:tc>
          <w:tcPr>
            <w:tcW w:type="dxa" w:w="2772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部署到 RES</w:t>
            </w:r>
          </w:p>
        </w:tc>
        <w:tc>
          <w:tcPr>
            <w:tcW w:type="dxa" w:w="1260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√</w:t>
            </w:r>
          </w:p>
        </w:tc>
        <w:tc>
          <w:tcPr>
            <w:tcW w:type="dxa" w:w="1260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1260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1260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√</w:t>
            </w:r>
          </w:p>
        </w:tc>
        <w:tc>
          <w:tcPr>
            <w:tcW w:type="dxa" w:w="1260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</w:tr>
      <w:tr>
        <w:trPr>
          <w:cantSplit/>
        </w:trPr>
        <w:tc>
          <w:tcPr>
            <w:tcW w:type="dxa" w:w="2772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管理用户 / 环境</w:t>
            </w:r>
          </w:p>
        </w:tc>
        <w:tc>
          <w:tcPr>
            <w:tcW w:type="dxa" w:w="1260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√</w:t>
            </w:r>
          </w:p>
        </w:tc>
        <w:tc>
          <w:tcPr>
            <w:tcW w:type="dxa" w:w="1260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1260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1260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1260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</w:tr>
    </w:tbl>
    <w:p>
      <w:pPr>
        <w:spacing w:before="0" w:after="0" w:line="360" w:lineRule="auto"/>
        <w:jc w:val="both"/>
        <w:ind w:firstLineChars="200" w:firstLine="0"/>
      </w:pPr>
      <w:r>
        <w:rPr>
          <w:rFonts w:ascii="Times New Roman" w:hAnsi="Times New Roman" w:eastAsia="宋体"/>
          <w:color w:val="000000"/>
          <w:sz w:val="24"/>
        </w:rPr>
        <w:t>内置角色为 viewer、author、reviewer、release-manager、admin。OIDC 模式下从 JWT 的顶层 roles、Keycloak realm roles 和指定 client roles 提取角色，API 侧执行路由 RBAC 与策略式项目/资产授权；自定义角色模型、工作空间级多租户和服务账号管理尚未交付。</w:t>
      </w:r>
    </w:p>
    <w:p>
      <w:pPr>
        <w:pStyle w:val="Heading2"/>
        <w:keepNext/>
        <w:spacing w:before="220" w:after="100"/>
      </w:pPr>
      <w:bookmarkStart w:id="86" w:name="_LarkToc00086"/>
      <w:r>
        <w:rPr>
          <w:rFonts w:ascii="Times New Roman" w:hAnsi="Times New Roman" w:eastAsia="黑体"/>
          <w:b/>
          <w:color w:val="000000"/>
          <w:sz w:val="28"/>
        </w:rPr>
        <w:t>15.3 环境注册</w:t>
      </w:r>
      <w:bookmarkEnd w:id="86"/>
    </w:p>
    <w:p>
      <w:pPr>
        <w:spacing w:before="0" w:after="0" w:line="360" w:lineRule="auto"/>
        <w:jc w:val="both"/>
        <w:ind w:firstLineChars="200" w:firstLine="0"/>
      </w:pPr>
      <w:r>
        <w:rPr>
          <w:rFonts w:ascii="Times New Roman" w:hAnsi="Times New Roman" w:eastAsia="宋体"/>
          <w:color w:val="000000"/>
          <w:sz w:val="24"/>
        </w:rPr>
        <w:t>环境注册用于管理部署目标（如 dev、test、staging、production，可新增自定义环境）。当前 MVP 部署仅支持 local 环境；Shadow 运行差异报告由测试套件的已发布版本并行对比能力覆盖。</w:t>
      </w:r>
    </w:p>
    <w:p>
      <w:pPr>
        <w:pStyle w:val="Heading1"/>
        <w:keepNext/>
        <w:spacing w:before="280" w:after="120"/>
      </w:pPr>
      <w:bookmarkStart w:id="87" w:name="_LarkToc00087"/>
      <w:r>
        <w:rPr>
          <w:rFonts w:ascii="Times New Roman" w:hAnsi="Times New Roman" w:eastAsia="黑体"/>
          <w:b/>
          <w:color w:val="000000"/>
          <w:sz w:val="32"/>
        </w:rPr>
        <w:t>16 常见问题与故障排查</w:t>
      </w:r>
      <w:bookmarkEnd w:id="87"/>
    </w:p>
    <w:p>
      <w:pPr>
        <w:pStyle w:val="Heading2"/>
        <w:keepNext/>
        <w:spacing w:before="220" w:after="100"/>
      </w:pPr>
      <w:bookmarkStart w:id="88" w:name="_LarkToc00088"/>
      <w:r>
        <w:rPr>
          <w:rFonts w:ascii="Times New Roman" w:hAnsi="Times New Roman" w:eastAsia="黑体"/>
          <w:b/>
          <w:color w:val="000000"/>
          <w:sz w:val="28"/>
        </w:rPr>
        <w:t>16.1 启动与部署类</w:t>
      </w:r>
      <w:bookmarkEnd w:id="88"/>
    </w:p>
    <w:p>
      <w:pPr>
        <w:keepNext/>
        <w:spacing w:before="80" w:after="80" w:line="240" w:lineRule="auto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表 16-1 启动类问题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/>
        </w:trPr>
        <w:tc>
          <w:tcPr>
            <w:tcW w:type="dxa" w:w="2969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现象</w:t>
            </w:r>
          </w:p>
        </w:tc>
        <w:tc>
          <w:tcPr>
            <w:tcW w:type="dxa" w:w="6102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原因与处理</w:t>
            </w:r>
          </w:p>
        </w:tc>
      </w:tr>
      <w:tr>
        <w:trPr>
          <w:cantSplit/>
        </w:trPr>
        <w:tc>
          <w:tcPr>
            <w:tcW w:type="dxa" w:w="2969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前端打不开或 /api 请求失败</w:t>
            </w:r>
          </w:p>
        </w:tc>
        <w:tc>
          <w:tcPr>
            <w:tcW w:type="dxa" w:w="6102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后端端口与前端代理不一致：前端 /api 代理固定指向 127.0.0.1:8789，需用 API_PORT=8789 npm run api 启动后端</w:t>
            </w:r>
          </w:p>
        </w:tc>
      </w:tr>
      <w:tr>
        <w:trPr>
          <w:cantSplit/>
        </w:trPr>
        <w:tc>
          <w:tcPr>
            <w:tcW w:type="dxa" w:w="2969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容器镜像拉取失败</w:t>
            </w:r>
          </w:p>
        </w:tc>
        <w:tc>
          <w:tcPr>
            <w:tcW w:type="dxa" w:w="6102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镜像站不可用时，用 Docker 构建参数 BUILD_IMAGE 和 RUNTIME_IMAGE 指定其他可访问镜像地址</w:t>
            </w:r>
          </w:p>
        </w:tc>
      </w:tr>
      <w:tr>
        <w:trPr>
          <w:cantSplit/>
        </w:trPr>
        <w:tc>
          <w:tcPr>
            <w:tcW w:type="dxa" w:w="2969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健康检查不通过</w:t>
            </w:r>
          </w:p>
        </w:tc>
        <w:tc>
          <w:tcPr>
            <w:tcW w:type="dxa" w:w="6102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分别检查 8788（Build）、8790（RES）、8791（CEP Build）、8792（CEP Runtime）健康地址，确认容器已启动</w:t>
            </w:r>
          </w:p>
        </w:tc>
      </w:tr>
      <w:tr>
        <w:trPr>
          <w:cantSplit/>
        </w:trPr>
        <w:tc>
          <w:tcPr>
            <w:tcW w:type="dxa" w:w="2969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PostgreSQL 导入失败</w:t>
            </w:r>
          </w:p>
        </w:tc>
        <w:tc>
          <w:tcPr>
            <w:tcW w:type="dxa" w:w="6102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目标库已有业务数据时 db:import-json 会拒绝执行；使用空库或清理后再导入</w:t>
            </w:r>
          </w:p>
        </w:tc>
      </w:tr>
    </w:tbl>
    <w:p>
      <w:pPr>
        <w:pStyle w:val="Heading2"/>
        <w:keepNext/>
        <w:spacing w:before="220" w:after="100"/>
      </w:pPr>
      <w:bookmarkStart w:id="89" w:name="_LarkToc00089"/>
      <w:r>
        <w:rPr>
          <w:rFonts w:ascii="Times New Roman" w:hAnsi="Times New Roman" w:eastAsia="黑体"/>
          <w:b/>
          <w:color w:val="000000"/>
          <w:sz w:val="28"/>
        </w:rPr>
        <w:t>16.2 操作与数据一致性类</w:t>
      </w:r>
      <w:bookmarkEnd w:id="89"/>
    </w:p>
    <w:p>
      <w:pPr>
        <w:keepNext/>
        <w:spacing w:before="80" w:after="80" w:line="240" w:lineRule="auto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表 16-2 操作类问题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/>
        </w:trPr>
        <w:tc>
          <w:tcPr>
            <w:tcW w:type="dxa" w:w="2639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现象</w:t>
            </w:r>
          </w:p>
        </w:tc>
        <w:tc>
          <w:tcPr>
            <w:tcW w:type="dxa" w:w="6432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原因与处理</w:t>
            </w:r>
          </w:p>
        </w:tc>
      </w:tr>
      <w:tr>
        <w:trPr>
          <w:cantSplit/>
        </w:trPr>
        <w:tc>
          <w:tcPr>
            <w:tcW w:type="dxa" w:w="2639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保存资产返回 409</w:t>
            </w:r>
          </w:p>
        </w:tc>
        <w:tc>
          <w:tcPr>
            <w:tcW w:type="dxa" w:w="6432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并发冲突：他人已修改资产，修订号过期。读取服务器最新修订号后重新编辑，前端保留本地编辑由用户选择是否载入服务器版本</w:t>
            </w:r>
          </w:p>
        </w:tc>
      </w:tr>
      <w:tr>
        <w:trPr>
          <w:cantSplit/>
        </w:trPr>
        <w:tc>
          <w:tcPr>
            <w:tcW w:type="dxa" w:w="2639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发布后继续编辑报修订号无效</w:t>
            </w:r>
          </w:p>
        </w:tc>
        <w:tc>
          <w:tcPr>
            <w:tcW w:type="dxa" w:w="6432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发布与归档会推进修订号，需用新的修订号（如编译、提交、发布）继续操作</w:t>
            </w:r>
          </w:p>
        </w:tc>
      </w:tr>
      <w:tr>
        <w:trPr>
          <w:cantSplit/>
        </w:trPr>
        <w:tc>
          <w:tcPr>
            <w:tcW w:type="dxa" w:w="2639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BOM 保存返回 409</w:t>
            </w:r>
          </w:p>
        </w:tc>
        <w:tc>
          <w:tcPr>
            <w:tcW w:type="dxa" w:w="6432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BOM 使用 version 做乐观锁，PUT 需携带等于当前版本的 body.version，而非 revision</w:t>
            </w:r>
          </w:p>
        </w:tc>
      </w:tr>
      <w:tr>
        <w:trPr>
          <w:cantSplit/>
        </w:trPr>
        <w:tc>
          <w:tcPr>
            <w:tcW w:type="dxa" w:w="2639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决策表整表失效、全部命中</w:t>
            </w:r>
          </w:p>
        </w:tc>
        <w:tc>
          <w:tcPr>
            <w:tcW w:type="dxa" w:w="6432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空单元格语义是通配（不限制）：条件全空的行会命中所有输入。编辑时留意空单元格提示，必要时用内联比较符或显式条件</w:t>
            </w:r>
          </w:p>
        </w:tc>
      </w:tr>
      <w:tr>
        <w:trPr>
          <w:cantSplit/>
        </w:trPr>
        <w:tc>
          <w:tcPr>
            <w:tcW w:type="dxa" w:w="2639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区间边界双命中</w:t>
            </w:r>
          </w:p>
        </w:tc>
        <w:tc>
          <w:tcPr>
            <w:tcW w:type="dxa" w:w="6432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a..b 是闭区间、..b 等价于小于等于；需要严格边界时使用半开区间或内联比较符（如 &lt;0.8）</w:t>
            </w:r>
          </w:p>
        </w:tc>
      </w:tr>
      <w:tr>
        <w:trPr>
          <w:cantSplit/>
        </w:trPr>
        <w:tc>
          <w:tcPr>
            <w:tcW w:type="dxa" w:w="2639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多个规则写同一字段结果被覆盖</w:t>
            </w:r>
          </w:p>
        </w:tc>
        <w:tc>
          <w:tcPr>
            <w:tcW w:type="dxa" w:w="6432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同字段多写是确定性“后写覆盖”语义，执行顺序决定最终值；请通过规则流步骤顺序保证优先级</w:t>
            </w:r>
          </w:p>
        </w:tc>
      </w:tr>
      <w:tr>
        <w:trPr>
          <w:cantSplit/>
        </w:trPr>
        <w:tc>
          <w:tcPr>
            <w:tcW w:type="dxa" w:w="2639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测试断言失败难以归因</w:t>
            </w:r>
          </w:p>
        </w:tc>
        <w:tc>
          <w:tcPr>
            <w:tcW w:type="dxa" w:w="6432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查看报告中的规范化输入与 omittedFields：未提供的必填字段缺失会拒绝执行，可选字段保持未赋值</w:t>
            </w:r>
          </w:p>
        </w:tc>
      </w:tr>
      <w:tr>
        <w:trPr>
          <w:cantSplit/>
        </w:trPr>
        <w:tc>
          <w:tcPr>
            <w:tcW w:type="dxa" w:w="2639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必需套件未跑但 Release 失败</w:t>
            </w:r>
          </w:p>
        </w:tc>
        <w:tc>
          <w:tcPr>
            <w:tcW w:type="dxa" w:w="6432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Release 门禁实时重跑当前项目同一目标的所有必需套件，历史成功报告不能替代当前版本重跑</w:t>
            </w:r>
          </w:p>
        </w:tc>
      </w:tr>
    </w:tbl>
    <w:p>
      <w:pPr>
        <w:pStyle w:val="Heading2"/>
        <w:keepNext/>
        <w:spacing w:before="220" w:after="100"/>
      </w:pPr>
      <w:bookmarkStart w:id="90" w:name="_LarkToc00090"/>
      <w:r>
        <w:rPr>
          <w:rFonts w:ascii="Times New Roman" w:hAnsi="Times New Roman" w:eastAsia="黑体"/>
          <w:b/>
          <w:color w:val="000000"/>
          <w:sz w:val="28"/>
        </w:rPr>
        <w:t>16.3 边界与容量提示</w:t>
      </w:r>
      <w:bookmarkEnd w:id="90"/>
    </w:p>
    <w:p>
      <w:pPr>
        <w:spacing w:before="0" w:after="0" w:line="360" w:lineRule="auto"/>
        <w:jc w:val="both"/>
        <w:ind w:firstLineChars="200" w:firstLine="0"/>
      </w:pPr>
      <w:r>
        <w:rPr>
          <w:rFonts w:ascii="Times New Roman" w:hAnsi="Times New Roman" w:eastAsia="宋体"/>
          <w:color w:val="000000"/>
          <w:sz w:val="24"/>
        </w:rPr>
        <w:t>当前版本适合功能验证和中小规模规则库，仍存在全量项目摘要、完整 Rule Group 成员传输、非虚拟化列表以及同步组合 DRL 编译等限制。产品需求文档中的容量目标（如单项目 1 万条规则资产、单张决策表 1 万行等）是后续规模化专项的设计与压测目标，不代表当前版本已经达到，是否达标必须以可复现的基准报告为准。</w:t>
      </w:r>
    </w:p>
    <w:p>
      <w:pPr>
        <w:spacing w:before="0" w:after="0" w:line="360" w:lineRule="auto"/>
        <w:jc w:val="both"/>
        <w:ind w:firstLineChars="200" w:firstLine="0"/>
      </w:pPr>
      <w:r>
        <w:rPr>
          <w:rFonts w:ascii="Times New Roman" w:hAnsi="Times New Roman" w:eastAsia="宋体"/>
          <w:color w:val="000000"/>
          <w:sz w:val="24"/>
        </w:rPr>
        <w:t>RES 当前每步骤最多 100 次 firing，达到上限时返回 limitReached，测试套件视为失败、Release 门禁不能放行。规则流的 Rule Group 成员数量与实际命中次数是两个概念，大量规则可以只有少量命中。</w:t>
      </w:r>
    </w:p>
    <w:p>
      <w:pPr>
        <w:pStyle w:val="Heading1"/>
        <w:keepNext/>
        <w:spacing w:before="280" w:after="120"/>
      </w:pPr>
      <w:bookmarkStart w:id="91" w:name="_LarkToc00091"/>
      <w:r>
        <w:rPr>
          <w:rFonts w:ascii="Times New Roman" w:hAnsi="Times New Roman" w:eastAsia="黑体"/>
          <w:b/>
          <w:color w:val="000000"/>
          <w:sz w:val="32"/>
        </w:rPr>
        <w:t>附录 A 术语表</w:t>
      </w:r>
      <w:bookmarkEnd w:id="91"/>
    </w:p>
    <w:p>
      <w:pPr>
        <w:keepNext/>
        <w:spacing w:before="80" w:after="80" w:line="240" w:lineRule="auto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表 A-1 术语表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/>
        </w:trPr>
        <w:tc>
          <w:tcPr>
            <w:tcW w:type="dxa" w:w="2177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术语</w:t>
            </w:r>
          </w:p>
        </w:tc>
        <w:tc>
          <w:tcPr>
            <w:tcW w:type="dxa" w:w="6894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2177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DWX</w:t>
            </w:r>
          </w:p>
        </w:tc>
        <w:tc>
          <w:tcPr>
            <w:tcW w:type="dxa" w:w="6894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Decision Workbench X 决策工作台，本产品的代号</w:t>
            </w:r>
          </w:p>
        </w:tc>
      </w:tr>
      <w:tr>
        <w:trPr>
          <w:cantSplit/>
        </w:trPr>
        <w:tc>
          <w:tcPr>
            <w:tcW w:type="dxa" w:w="2177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BOM</w:t>
            </w:r>
          </w:p>
        </w:tc>
        <w:tc>
          <w:tcPr>
            <w:tcW w:type="dxa" w:w="6894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Business Object Model，业务对象模型，字段字典与元数据源头</w:t>
            </w:r>
          </w:p>
        </w:tc>
      </w:tr>
      <w:tr>
        <w:trPr>
          <w:cantSplit/>
        </w:trPr>
        <w:tc>
          <w:tcPr>
            <w:tcW w:type="dxa" w:w="2177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BAL</w:t>
            </w:r>
          </w:p>
        </w:tc>
        <w:tc>
          <w:tcPr>
            <w:tcW w:type="dxa" w:w="6894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Business Action Language，业务动作语言，中文自然语言规则</w:t>
            </w:r>
          </w:p>
        </w:tc>
      </w:tr>
      <w:tr>
        <w:trPr>
          <w:cantSplit/>
        </w:trPr>
        <w:tc>
          <w:tcPr>
            <w:tcW w:type="dxa" w:w="2177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DRL</w:t>
            </w:r>
          </w:p>
        </w:tc>
        <w:tc>
          <w:tcPr>
            <w:tcW w:type="dxa" w:w="6894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Drools Rule Language，Drools 规则语言，编译产物</w:t>
            </w:r>
          </w:p>
        </w:tc>
      </w:tr>
      <w:tr>
        <w:trPr>
          <w:cantSplit/>
        </w:trPr>
        <w:tc>
          <w:tcPr>
            <w:tcW w:type="dxa" w:w="2177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Rule Package</w:t>
            </w:r>
          </w:p>
        </w:tc>
        <w:tc>
          <w:tcPr>
            <w:tcW w:type="dxa" w:w="6894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规则包，规则与决策表的逻辑分组</w:t>
            </w:r>
          </w:p>
        </w:tc>
      </w:tr>
      <w:tr>
        <w:trPr>
          <w:cantSplit/>
        </w:trPr>
        <w:tc>
          <w:tcPr>
            <w:tcW w:type="dxa" w:w="2177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Decision Table</w:t>
            </w:r>
          </w:p>
        </w:tc>
        <w:tc>
          <w:tcPr>
            <w:tcW w:type="dxa" w:w="6894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决策表，类 Excel 网格的规则编写方式</w:t>
            </w:r>
          </w:p>
        </w:tc>
      </w:tr>
      <w:tr>
        <w:trPr>
          <w:cantSplit/>
        </w:trPr>
        <w:tc>
          <w:tcPr>
            <w:tcW w:type="dxa" w:w="2177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RuleFlow</w:t>
            </w:r>
          </w:p>
        </w:tc>
        <w:tc>
          <w:tcPr>
            <w:tcW w:type="dxa" w:w="6894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规则流，步骤与排他网关的编排</w:t>
            </w:r>
          </w:p>
        </w:tc>
      </w:tr>
      <w:tr>
        <w:trPr>
          <w:cantSplit/>
        </w:trPr>
        <w:tc>
          <w:tcPr>
            <w:tcW w:type="dxa" w:w="2177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Rule Group</w:t>
            </w:r>
          </w:p>
        </w:tc>
        <w:tc>
          <w:tcPr>
            <w:tcW w:type="dxa" w:w="6894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规则组，规则流内批量引用规则包的步骤节点</w:t>
            </w:r>
          </w:p>
        </w:tc>
      </w:tr>
      <w:tr>
        <w:trPr>
          <w:cantSplit/>
        </w:trPr>
        <w:tc>
          <w:tcPr>
            <w:tcW w:type="dxa" w:w="2177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EventStream</w:t>
            </w:r>
          </w:p>
        </w:tc>
        <w:tc>
          <w:tcPr>
            <w:tcW w:type="dxa" w:w="6894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CEP 事件流资产，由检测语句组成</w:t>
            </w:r>
          </w:p>
        </w:tc>
      </w:tr>
      <w:tr>
        <w:trPr>
          <w:cantSplit/>
        </w:trPr>
        <w:tc>
          <w:tcPr>
            <w:tcW w:type="dxa" w:w="2177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EPL</w:t>
            </w:r>
          </w:p>
        </w:tc>
        <w:tc>
          <w:tcPr>
            <w:tcW w:type="dxa" w:w="6894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Esper Processing Language，Esper 事件处理语言</w:t>
            </w:r>
          </w:p>
        </w:tc>
      </w:tr>
      <w:tr>
        <w:trPr>
          <w:cantSplit/>
        </w:trPr>
        <w:tc>
          <w:tcPr>
            <w:tcW w:type="dxa" w:w="2177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Change Set</w:t>
            </w:r>
          </w:p>
        </w:tc>
        <w:tc>
          <w:tcPr>
            <w:tcW w:type="dxa" w:w="6894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变更集，评审与发布的最小单位</w:t>
            </w:r>
          </w:p>
        </w:tc>
      </w:tr>
      <w:tr>
        <w:trPr>
          <w:cantSplit/>
        </w:trPr>
        <w:tc>
          <w:tcPr>
            <w:tcW w:type="dxa" w:w="2177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Release</w:t>
            </w:r>
          </w:p>
        </w:tc>
        <w:tc>
          <w:tcPr>
            <w:tcW w:type="dxa" w:w="6894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不可变发布制品，含校验和</w:t>
            </w:r>
          </w:p>
        </w:tc>
      </w:tr>
      <w:tr>
        <w:trPr>
          <w:cantSplit/>
        </w:trPr>
        <w:tc>
          <w:tcPr>
            <w:tcW w:type="dxa" w:w="2177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RES</w:t>
            </w:r>
          </w:p>
        </w:tc>
        <w:tc>
          <w:tcPr>
            <w:tcW w:type="dxa" w:w="6894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Rule Execution Server，规则执行中心</w:t>
            </w:r>
          </w:p>
        </w:tc>
      </w:tr>
      <w:tr>
        <w:trPr>
          <w:cantSplit/>
        </w:trPr>
        <w:tc>
          <w:tcPr>
            <w:tcW w:type="dxa" w:w="2177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Team Server</w:t>
            </w:r>
          </w:p>
        </w:tc>
        <w:tc>
          <w:tcPr>
            <w:tcW w:type="dxa" w:w="6894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规则治理中心，管理资产、版本、审批、发布</w:t>
            </w:r>
          </w:p>
        </w:tc>
      </w:tr>
      <w:tr>
        <w:trPr>
          <w:cantSplit/>
        </w:trPr>
        <w:tc>
          <w:tcPr>
            <w:tcW w:type="dxa" w:w="2177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Rule Designer</w:t>
            </w:r>
          </w:p>
        </w:tc>
        <w:tc>
          <w:tcPr>
            <w:tcW w:type="dxa" w:w="6894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规则设计中心，Web 编辑体验</w:t>
            </w:r>
          </w:p>
        </w:tc>
      </w:tr>
      <w:tr>
        <w:trPr>
          <w:cantSplit/>
        </w:trPr>
        <w:tc>
          <w:tcPr>
            <w:tcW w:type="dxa" w:w="2177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checksum</w:t>
            </w:r>
          </w:p>
        </w:tc>
        <w:tc>
          <w:tcPr>
            <w:tcW w:type="dxa" w:w="6894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校验和，Release 的 SHA-256 指纹</w:t>
            </w:r>
          </w:p>
        </w:tc>
      </w:tr>
      <w:tr>
        <w:trPr>
          <w:cantSplit/>
        </w:trPr>
        <w:tc>
          <w:tcPr>
            <w:tcW w:type="dxa" w:w="2177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quality gate</w:t>
            </w:r>
          </w:p>
        </w:tc>
        <w:tc>
          <w:tcPr>
            <w:tcW w:type="dxa" w:w="6894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质量门禁，发布前必须通过的测试校验</w:t>
            </w:r>
          </w:p>
        </w:tc>
      </w:tr>
      <w:tr>
        <w:trPr>
          <w:cantSplit/>
        </w:trPr>
        <w:tc>
          <w:tcPr>
            <w:tcW w:type="dxa" w:w="2177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needsRepublish</w:t>
            </w:r>
          </w:p>
        </w:tc>
        <w:tc>
          <w:tcPr>
            <w:tcW w:type="dxa" w:w="6894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需要重新发布标记，依赖资产变化后触发</w:t>
            </w:r>
          </w:p>
        </w:tc>
      </w:tr>
    </w:tbl>
    <w:p>
      <w:pPr>
        <w:pStyle w:val="Heading1"/>
        <w:keepNext/>
        <w:spacing w:before="280" w:after="120"/>
      </w:pPr>
      <w:bookmarkStart w:id="92" w:name="_LarkToc00092"/>
      <w:r>
        <w:rPr>
          <w:rFonts w:ascii="Times New Roman" w:hAnsi="Times New Roman" w:eastAsia="黑体"/>
          <w:b/>
          <w:color w:val="000000"/>
          <w:sz w:val="32"/>
        </w:rPr>
        <w:t>附录 B 服务与端口汇总</w:t>
      </w:r>
      <w:bookmarkEnd w:id="92"/>
    </w:p>
    <w:p>
      <w:pPr>
        <w:keepNext/>
        <w:spacing w:before="80" w:after="80" w:line="240" w:lineRule="auto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表 B-1 服务、端口与健康检查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  <w:tblHeader/>
        </w:trPr>
        <w:tc>
          <w:tcPr>
            <w:tcW w:type="dxa" w:w="2203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服务</w:t>
            </w:r>
          </w:p>
        </w:tc>
        <w:tc>
          <w:tcPr>
            <w:tcW w:type="dxa" w:w="972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默认端口</w:t>
            </w:r>
          </w:p>
        </w:tc>
        <w:tc>
          <w:tcPr>
            <w:tcW w:type="dxa" w:w="1555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健康检查地址</w:t>
            </w:r>
          </w:p>
        </w:tc>
        <w:tc>
          <w:tcPr>
            <w:tcW w:type="dxa" w:w="4341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用途</w:t>
            </w:r>
          </w:p>
        </w:tc>
      </w:tr>
      <w:tr>
        <w:trPr>
          <w:cantSplit/>
        </w:trPr>
        <w:tc>
          <w:tcPr>
            <w:tcW w:type="dxa" w:w="2203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Team Server（API）</w:t>
            </w:r>
          </w:p>
        </w:tc>
        <w:tc>
          <w:tcPr>
            <w:tcW w:type="dxa" w:w="972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8787 / 8789</w:t>
            </w:r>
          </w:p>
        </w:tc>
        <w:tc>
          <w:tcPr>
            <w:tcW w:type="dxa" w:w="1555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4341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治理中心管理 API</w:t>
            </w:r>
          </w:p>
        </w:tc>
      </w:tr>
      <w:tr>
        <w:trPr>
          <w:cantSplit/>
        </w:trPr>
        <w:tc>
          <w:tcPr>
            <w:tcW w:type="dxa" w:w="2203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前端开发服务器</w:t>
            </w:r>
          </w:p>
        </w:tc>
        <w:tc>
          <w:tcPr>
            <w:tcW w:type="dxa" w:w="972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5173</w:t>
            </w:r>
          </w:p>
        </w:tc>
        <w:tc>
          <w:tcPr>
            <w:tcW w:type="dxa" w:w="1555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4341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Web 工作台</w:t>
            </w:r>
          </w:p>
        </w:tc>
      </w:tr>
      <w:tr>
        <w:trPr>
          <w:cantSplit/>
        </w:trPr>
        <w:tc>
          <w:tcPr>
            <w:tcW w:type="dxa" w:w="2203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Drools Build Service</w:t>
            </w:r>
          </w:p>
        </w:tc>
        <w:tc>
          <w:tcPr>
            <w:tcW w:type="dxa" w:w="972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8788</w:t>
            </w:r>
          </w:p>
        </w:tc>
        <w:tc>
          <w:tcPr>
            <w:tcW w:type="dxa" w:w="1555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/health</w:t>
            </w:r>
          </w:p>
        </w:tc>
        <w:tc>
          <w:tcPr>
            <w:tcW w:type="dxa" w:w="4341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设计时编译临时 DRL</w:t>
            </w:r>
          </w:p>
        </w:tc>
      </w:tr>
      <w:tr>
        <w:trPr>
          <w:cantSplit/>
        </w:trPr>
        <w:tc>
          <w:tcPr>
            <w:tcW w:type="dxa" w:w="2203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独立 RES</w:t>
            </w:r>
          </w:p>
        </w:tc>
        <w:tc>
          <w:tcPr>
            <w:tcW w:type="dxa" w:w="972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8790</w:t>
            </w:r>
          </w:p>
        </w:tc>
        <w:tc>
          <w:tcPr>
            <w:tcW w:type="dxa" w:w="1555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/health</w:t>
            </w:r>
          </w:p>
        </w:tc>
        <w:tc>
          <w:tcPr>
            <w:tcW w:type="dxa" w:w="4341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规则执行中心</w:t>
            </w:r>
          </w:p>
        </w:tc>
      </w:tr>
      <w:tr>
        <w:trPr>
          <w:cantSplit/>
        </w:trPr>
        <w:tc>
          <w:tcPr>
            <w:tcW w:type="dxa" w:w="2203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CEP Build/Test</w:t>
            </w:r>
          </w:p>
        </w:tc>
        <w:tc>
          <w:tcPr>
            <w:tcW w:type="dxa" w:w="972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8791</w:t>
            </w:r>
          </w:p>
        </w:tc>
        <w:tc>
          <w:tcPr>
            <w:tcW w:type="dxa" w:w="1555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/health</w:t>
            </w:r>
          </w:p>
        </w:tc>
        <w:tc>
          <w:tcPr>
            <w:tcW w:type="dxa" w:w="4341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CEP 设计时编译与测试</w:t>
            </w:r>
          </w:p>
        </w:tc>
      </w:tr>
      <w:tr>
        <w:trPr>
          <w:cantSplit/>
        </w:trPr>
        <w:tc>
          <w:tcPr>
            <w:tcW w:type="dxa" w:w="2203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CEP Runtime</w:t>
            </w:r>
          </w:p>
        </w:tc>
        <w:tc>
          <w:tcPr>
            <w:tcW w:type="dxa" w:w="972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8792</w:t>
            </w:r>
          </w:p>
        </w:tc>
        <w:tc>
          <w:tcPr>
            <w:tcW w:type="dxa" w:w="1555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/health</w:t>
            </w:r>
          </w:p>
        </w:tc>
        <w:tc>
          <w:tcPr>
            <w:tcW w:type="dxa" w:w="4341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CEP 运行时执行</w:t>
            </w:r>
          </w:p>
        </w:tc>
      </w:tr>
      <w:tr>
        <w:trPr>
          <w:cantSplit/>
        </w:trPr>
        <w:tc>
          <w:tcPr>
            <w:tcW w:type="dxa" w:w="2203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PostgreSQL</w:t>
            </w:r>
          </w:p>
        </w:tc>
        <w:tc>
          <w:tcPr>
            <w:tcW w:type="dxa" w:w="972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54329</w:t>
            </w:r>
          </w:p>
        </w:tc>
        <w:tc>
          <w:tcPr>
            <w:tcW w:type="dxa" w:w="1555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4341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数据库模式存储</w:t>
            </w:r>
          </w:p>
        </w:tc>
      </w:tr>
    </w:tbl>
    <w:p>
      <w:pPr>
        <w:keepNext/>
        <w:spacing w:before="80" w:after="80" w:line="240" w:lineRule="auto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表 B-2 关键执行接口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/>
        </w:trPr>
        <w:tc>
          <w:tcPr>
            <w:tcW w:type="dxa" w:w="4898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接口</w:t>
            </w:r>
          </w:p>
        </w:tc>
        <w:tc>
          <w:tcPr>
            <w:tcW w:type="dxa" w:w="4173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用途</w:t>
            </w:r>
          </w:p>
        </w:tc>
      </w:tr>
      <w:tr>
        <w:trPr>
          <w:cantSplit/>
        </w:trPr>
        <w:tc>
          <w:tcPr>
            <w:tcW w:type="dxa" w:w="4898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POST /api/projects/:id/releases</w:t>
            </w:r>
          </w:p>
        </w:tc>
        <w:tc>
          <w:tcPr>
            <w:tcW w:type="dxa" w:w="4173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创建项目 Release</w:t>
            </w:r>
          </w:p>
        </w:tc>
      </w:tr>
      <w:tr>
        <w:trPr>
          <w:cantSplit/>
        </w:trPr>
        <w:tc>
          <w:tcPr>
            <w:tcW w:type="dxa" w:w="4898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POST /api/projects/:id/releases/:id/deploy</w:t>
            </w:r>
          </w:p>
        </w:tc>
        <w:tc>
          <w:tcPr>
            <w:tcW w:type="dxa" w:w="4173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部署到指定环境（local）</w:t>
            </w:r>
          </w:p>
        </w:tc>
      </w:tr>
      <w:tr>
        <w:trPr>
          <w:cantSplit/>
        </w:trPr>
        <w:tc>
          <w:tcPr>
            <w:tcW w:type="dxa" w:w="4898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POST /api/projects/:id/releases/:id/execute</w:t>
            </w:r>
          </w:p>
        </w:tc>
        <w:tc>
          <w:tcPr>
            <w:tcW w:type="dxa" w:w="4173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管理端试运行代理</w:t>
            </w:r>
          </w:p>
        </w:tc>
      </w:tr>
      <w:tr>
        <w:trPr>
          <w:cantSplit/>
        </w:trPr>
        <w:tc>
          <w:tcPr>
            <w:tcW w:type="dxa" w:w="4898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POST {RES}:8790/execute</w:t>
            </w:r>
          </w:p>
        </w:tc>
        <w:tc>
          <w:tcPr>
            <w:tcW w:type="dxa" w:w="4173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业务系统直连执行规则 Release</w:t>
            </w:r>
          </w:p>
        </w:tc>
      </w:tr>
      <w:tr>
        <w:trPr>
          <w:cantSplit/>
        </w:trPr>
        <w:tc>
          <w:tcPr>
            <w:tcW w:type="dxa" w:w="4898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POST {CEP}:8792/execute</w:t>
            </w:r>
          </w:p>
        </w:tc>
        <w:tc>
          <w:tcPr>
            <w:tcW w:type="dxa" w:w="4173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CEP 同步执行</w:t>
            </w:r>
          </w:p>
        </w:tc>
      </w:tr>
      <w:tr>
        <w:trPr>
          <w:cantSplit/>
        </w:trPr>
        <w:tc>
          <w:tcPr>
            <w:tcW w:type="dxa" w:w="4898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POST {CEP}:8792/events/{releaseId}</w:t>
            </w:r>
          </w:p>
        </w:tc>
        <w:tc>
          <w:tcPr>
            <w:tcW w:type="dxa" w:w="4173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持续上报事件</w:t>
            </w:r>
          </w:p>
        </w:tc>
      </w:tr>
      <w:tr>
        <w:trPr>
          <w:cantSplit/>
        </w:trPr>
        <w:tc>
          <w:tcPr>
            <w:tcW w:type="dxa" w:w="4898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POST {CEP}:8792/webhook</w:t>
            </w:r>
          </w:p>
        </w:tc>
        <w:tc>
          <w:tcPr>
            <w:tcW w:type="dxa" w:w="4173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异步告警推送</w:t>
            </w:r>
          </w:p>
        </w:tc>
      </w:tr>
      <w:tr>
        <w:trPr>
          <w:cantSplit/>
        </w:trPr>
        <w:tc>
          <w:tcPr>
            <w:tcW w:type="dxa" w:w="4898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GET /api/projects/:id/report</w:t>
            </w:r>
          </w:p>
        </w:tc>
        <w:tc>
          <w:tcPr>
            <w:tcW w:type="dxa" w:w="4173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项目知识资产报告（自包含 HTML）</w:t>
            </w:r>
          </w:p>
        </w:tc>
      </w:tr>
      <w:tr>
        <w:trPr>
          <w:cantSplit/>
        </w:trPr>
        <w:tc>
          <w:tcPr>
            <w:tcW w:type="dxa" w:w="4898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GET /api/system/storage</w:t>
            </w:r>
          </w:p>
        </w:tc>
        <w:tc>
          <w:tcPr>
            <w:tcW w:type="dxa" w:w="4173"/>
            <w:vAlign w:val="center"/>
          </w:tcPr>
          <w:p>
            <w:pPr>
              <w:spacing w:before="20" w:after="20" w:line="240" w:lineRule="auto"/>
              <w:ind w:firstLineChars="0"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查询当前存储模式</w:t>
            </w:r>
          </w:p>
        </w:tc>
      </w:tr>
    </w:tbl>
    <w:p>
      <w:pPr>
        <w:pStyle w:val="Heading1"/>
        <w:keepNext/>
        <w:spacing w:before="280" w:after="120"/>
      </w:pPr>
      <w:bookmarkStart w:id="93" w:name="_LarkToc00093"/>
      <w:r>
        <w:rPr>
          <w:rFonts w:ascii="Times New Roman" w:hAnsi="Times New Roman" w:eastAsia="黑体"/>
          <w:b/>
          <w:color w:val="000000"/>
          <w:sz w:val="32"/>
        </w:rPr>
        <w:t>附录 C 当前版本边界与限制</w:t>
      </w:r>
      <w:bookmarkEnd w:id="93"/>
    </w:p>
    <w:p>
      <w:pPr>
        <w:spacing w:before="0" w:after="0" w:line="360" w:lineRule="auto"/>
        <w:jc w:val="both"/>
        <w:ind w:firstLineChars="200" w:firstLine="0"/>
      </w:pPr>
      <w:r>
        <w:rPr>
          <w:rFonts w:ascii="Times New Roman" w:hAnsi="Times New Roman" w:eastAsia="宋体"/>
          <w:color w:val="000000"/>
          <w:sz w:val="24"/>
        </w:rPr>
        <w:t>以下为本版本已知边界，使用前请知悉：</w:t>
      </w:r>
    </w:p>
    <w:p>
      <w:pPr>
        <w:spacing w:before="0" w:after="0" w:line="360" w:lineRule="auto"/>
        <w:jc w:val="both"/>
        <w:ind w:firstLineChars="200" w:firstLine="0"/>
      </w:pPr>
      <w:r>
        <w:rPr>
          <w:rFonts w:ascii="Times New Roman" w:hAnsi="Times New Roman" w:eastAsia="宋体"/>
          <w:color w:val="000000"/>
          <w:sz w:val="24"/>
        </w:rPr>
        <w:t>（1）部署与安全：当前为单工作空间、多项目原型；engine 与 res 服务仅供本机原型调用，尚未实现鉴权、签名、隔离与执行配额，不应暴露到公网；MVP 仅支持 local 环境部署；</w:t>
      </w:r>
    </w:p>
    <w:p>
      <w:pPr>
        <w:spacing w:before="0" w:after="0" w:line="360" w:lineRule="auto"/>
        <w:jc w:val="both"/>
        <w:ind w:firstLineChars="200" w:firstLine="0"/>
      </w:pPr>
      <w:r>
        <w:rPr>
          <w:rFonts w:ascii="Times New Roman" w:hAnsi="Times New Roman" w:eastAsia="宋体"/>
          <w:color w:val="000000"/>
          <w:sz w:val="24"/>
        </w:rPr>
        <w:t>（2）存储：JSON 与 PostgreSQL 两种模式均可使用，尚未实现工作空间级多租户隔离和备份恢复；</w:t>
      </w:r>
    </w:p>
    <w:p>
      <w:pPr>
        <w:spacing w:before="0" w:after="0" w:line="360" w:lineRule="auto"/>
        <w:jc w:val="both"/>
        <w:ind w:firstLineChars="200" w:firstLine="0"/>
      </w:pPr>
      <w:r>
        <w:rPr>
          <w:rFonts w:ascii="Times New Roman" w:hAnsi="Times New Roman" w:eastAsia="宋体"/>
          <w:color w:val="000000"/>
          <w:sz w:val="24"/>
        </w:rPr>
        <w:t>（3）协作：草稿所有权、字段级合并和实时协同尚未实现；自定义角色模型与服务账号管理尚未交付；可配置多级审批、Release 强制绑定批准变更集尚未交付；</w:t>
      </w:r>
    </w:p>
    <w:p>
      <w:pPr>
        <w:spacing w:before="0" w:after="0" w:line="360" w:lineRule="auto"/>
        <w:jc w:val="both"/>
        <w:ind w:firstLineChars="200" w:firstLine="0"/>
      </w:pPr>
      <w:r>
        <w:rPr>
          <w:rFonts w:ascii="Times New Roman" w:hAnsi="Times New Roman" w:eastAsia="宋体"/>
          <w:color w:val="000000"/>
          <w:sz w:val="24"/>
        </w:rPr>
        <w:t>（4）规则流：不是 BPMN 流程，不支持多级/并行网关、人工任务、定时器和补偿事务；人工任务与长事务后续集成 BPMN 引擎；</w:t>
      </w:r>
    </w:p>
    <w:p>
      <w:pPr>
        <w:spacing w:before="0" w:after="0" w:line="360" w:lineRule="auto"/>
        <w:jc w:val="both"/>
        <w:ind w:firstLineChars="200" w:firstLine="0"/>
      </w:pPr>
      <w:r>
        <w:rPr>
          <w:rFonts w:ascii="Times New Roman" w:hAnsi="Times New Roman" w:eastAsia="宋体"/>
          <w:color w:val="000000"/>
          <w:sz w:val="24"/>
        </w:rPr>
        <w:t>（5）CEP：已支持 5 类向导模板与时间驱动语句；缺席检测、双事件时序、连续次数、周期触发等模板为后续优先级；语句排序/拖动重排与派生输出字段向导化为后续范围；</w:t>
      </w:r>
    </w:p>
    <w:p>
      <w:pPr>
        <w:spacing w:before="0" w:after="0" w:line="360" w:lineRule="auto"/>
        <w:jc w:val="both"/>
        <w:ind w:firstLineChars="200" w:firstLine="0"/>
      </w:pPr>
      <w:r>
        <w:rPr>
          <w:rFonts w:ascii="Times New Roman" w:hAnsi="Times New Roman" w:eastAsia="宋体"/>
          <w:color w:val="000000"/>
          <w:sz w:val="24"/>
        </w:rPr>
        <w:t>（6）容量：当前适合功能验证和中小规模规则库；产品需求中的容量目标为设计目标，不代表当前版本已达到；</w:t>
      </w:r>
    </w:p>
    <w:p>
      <w:pPr>
        <w:spacing w:before="0" w:after="0" w:line="360" w:lineRule="auto"/>
        <w:jc w:val="both"/>
        <w:ind w:firstLineChars="200" w:firstLine="0"/>
      </w:pPr>
      <w:r>
        <w:rPr>
          <w:rFonts w:ascii="Times New Roman" w:hAnsi="Times New Roman" w:eastAsia="宋体"/>
          <w:color w:val="000000"/>
          <w:sz w:val="24"/>
        </w:rPr>
        <w:t>（7）执行语义：同字段多写采用确定性后写覆盖；可配置归并策略（取最大/最后/聚合）为后续待办；RES 每步骤最多 100 次 firing。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 w:eastAsia="宋体"/>
        <w:color w:val="000000"/>
        <w:sz w:val="21"/>
      </w:rPr>
      <w:fldChar w:fldCharType="begin"/>
      <w:instrText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OfficeWordTocPaginationV1" w:val="v5:4cfe27405682a6f76ec3d34ef672a16e87e9f26a1388d196f1446db167902b62:79b488546de8e2fc221c9afea936411771e7e86378b44c021977c0ca71fce619:bf0fe1596afff2c1fa789588d9ae204d4751873c080d1fb755d54a955e2a4f8f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jc w:val="both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60" w:line="240" w:lineRule="auto"/>
      <w:contextualSpacing/>
      <w:jc w:val="center"/>
    </w:pPr>
    <w:rPr>
      <w:rFonts w:asciiTheme="majorHAnsi" w:eastAsiaTheme="majorEastAsia" w:hAnsiTheme="majorHAnsi" w:cstheme="majorBidi"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/>
    </w:pPr>
  </w:style>
  <w:style w:type="paragraph" w:styleId="TOC2">
    <w:name w:val="toc 2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 w:left="420" w:leftChars="20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/>
    </w:pPr>
  </w:style>
  <w:style w:type="paragraph" w:styleId="TOC2">
    <w:name w:val="toc 2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 w:left="420" w:left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