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pStyle w:val="Title"/>
      </w:pPr>
      <w:r>
        <w:rPr>
          <w:rFonts w:ascii="Times New Roman" w:hAnsi="Times New Roman" w:eastAsia="黑体"/>
          <w:b/>
          <w:color w:val="000000"/>
          <w:sz w:val="36"/>
        </w:rPr>
        <w:t>DWX 决策工作台</w:t>
      </w:r>
    </w:p>
    <w:p>
      <w:pPr>
        <w:spacing w:before="160" w:after="160"/>
        <w:jc w:val="center"/>
      </w:pPr>
      <w:r>
        <w:rPr>
          <w:rFonts w:ascii="Times New Roman" w:hAnsi="Times New Roman" w:eastAsia="楷体"/>
          <w:color w:val="000000"/>
          <w:sz w:val="24"/>
        </w:rPr>
        <w:t>Decision Workbench X</w:t>
      </w:r>
    </w:p>
    <w:p>
      <w:pPr>
        <w:pStyle w:val="Subtitle"/>
        <w:jc w:val="center"/>
      </w:pPr>
      <w:r>
        <w:rPr>
          <w:rFonts w:ascii="Times New Roman" w:hAnsi="Times New Roman" w:eastAsia="楷体"/>
          <w:color w:val="000000"/>
          <w:sz w:val="24"/>
        </w:rPr>
        <w:t>用户操作手册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40" w:after="4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4"/>
        </w:rPr>
        <w:t>文档版本：</w:t>
      </w:r>
      <w:r>
        <w:rPr>
          <w:rFonts w:ascii="Times New Roman" w:hAnsi="Times New Roman" w:eastAsia="宋体"/>
          <w:color w:val="000000"/>
          <w:sz w:val="24"/>
        </w:rPr>
        <w:t>V1.0</w:t>
      </w:r>
    </w:p>
    <w:p>
      <w:pPr>
        <w:spacing w:before="40" w:after="4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4"/>
        </w:rPr>
        <w:t>编制日期：</w:t>
      </w:r>
      <w:r>
        <w:rPr>
          <w:rFonts w:ascii="Times New Roman" w:hAnsi="Times New Roman" w:eastAsia="宋体"/>
          <w:color w:val="000000"/>
          <w:sz w:val="24"/>
        </w:rPr>
        <w:t>2026 年 10 月</w:t>
      </w:r>
    </w:p>
    <w:p>
      <w:pPr>
        <w:spacing w:before="40" w:after="4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4"/>
        </w:rPr>
        <w:t>适用范围：</w:t>
      </w:r>
      <w:r>
        <w:rPr>
          <w:rFonts w:ascii="Times New Roman" w:hAnsi="Times New Roman" w:eastAsia="宋体"/>
          <w:color w:val="000000"/>
          <w:sz w:val="24"/>
        </w:rPr>
        <w:t>本地研发、产品验证与客户演示环境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1 产品概述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2" w:history="1">
        <w:r>
          <w:t>1.1 产品简介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3" w:history="1">
        <w:r>
          <w:t>1.2 产品定位与边界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1.3 核心概念与术语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5" w:history="1">
        <w:r>
          <w:t>1.4 用户角色与职责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6" w:history="1">
        <w:r>
          <w:t>2 部署与启动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2.1 环境要求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2.2 安装依赖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9" w:history="1">
        <w:r>
          <w:t>2.3 启动引擎容器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2.4 启动 Team Server 与前端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1" w:history="1">
        <w:r>
          <w:t>2.5 PostgreSQL 模式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2.6 认证模式配置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2.7 服务端口与健康检查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4" w:history="1">
        <w:r>
          <w:t>2.8 使用边界提示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3 登录与界面导航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6" w:history="1">
        <w:r>
          <w:t>3.1 登录与退出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3.2 全局导航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3.3 项目内页签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9" w:history="1">
        <w:r>
          <w:t>3.4 通用界面约定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4 项目管理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1" w:history="1">
        <w:r>
          <w:t>4.1 新建项目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2" w:history="1">
        <w:r>
          <w:t>4.2 编辑项目</w:t>
        </w:r>
        <w:r>
          <w:tab/>
        </w:r>
        <w:r>
          <w:fldChar w:fldCharType="begin"/>
        </w:r>
        <w:r>
          <w:instrText xml:space="preserve"> PAGEREF _LarkToc00022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3" w:history="1">
        <w:r>
          <w:t>4.3 归档与删除项目</w:t>
        </w:r>
        <w:r>
          <w:tab/>
        </w:r>
        <w:r>
          <w:fldChar w:fldCharType="begin"/>
        </w:r>
        <w:r>
          <w:instrText xml:space="preserve"> PAGEREF _LarkToc00023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4" w:history="1">
        <w:r>
          <w:t>4.4 规则包管理</w:t>
        </w:r>
        <w:r>
          <w:tab/>
        </w:r>
        <w:r>
          <w:fldChar w:fldCharType="begin"/>
        </w:r>
        <w:r>
          <w:instrText xml:space="preserve"> PAGEREF _LarkToc00024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5" w:history="1">
        <w:r>
          <w:t>4.5 资产状态与生命周期</w:t>
        </w:r>
        <w:r>
          <w:tab/>
        </w:r>
        <w:r>
          <w:fldChar w:fldCharType="begin"/>
        </w:r>
        <w:r>
          <w:instrText xml:space="preserve"> PAGEREF _LarkToc00025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6" w:history="1">
        <w:r>
          <w:t>5 字段模型（BOM）管理</w:t>
        </w:r>
        <w:r>
          <w:tab/>
        </w:r>
        <w:r>
          <w:fldChar w:fldCharType="begin"/>
        </w:r>
        <w:r>
          <w:instrText xml:space="preserve"> PAGEREF _LarkToc00026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7" w:history="1">
        <w:r>
          <w:t>5.1 BOM 概述</w:t>
        </w:r>
        <w:r>
          <w:tab/>
        </w:r>
        <w:r>
          <w:fldChar w:fldCharType="begin"/>
        </w:r>
        <w:r>
          <w:instrText xml:space="preserve"> PAGEREF _LarkToc00027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8" w:history="1">
        <w:r>
          <w:t>5.2 进入编辑模式</w:t>
        </w:r>
        <w:r>
          <w:tab/>
        </w:r>
        <w:r>
          <w:fldChar w:fldCharType="begin"/>
        </w:r>
        <w:r>
          <w:instrText xml:space="preserve"> PAGEREF _LarkToc00028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29" w:history="1">
        <w:r>
          <w:t>5.3 新增事实类型与字段</w:t>
        </w:r>
        <w:r>
          <w:tab/>
        </w:r>
        <w:r>
          <w:fldChar w:fldCharType="begin"/>
        </w:r>
        <w:r>
          <w:instrText xml:space="preserve"> PAGEREF _LarkToc00029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0" w:history="1">
        <w:r>
          <w:t>5.4 编辑字段</w:t>
        </w:r>
        <w:r>
          <w:tab/>
        </w:r>
        <w:r>
          <w:fldChar w:fldCharType="begin"/>
        </w:r>
        <w:r>
          <w:instrText xml:space="preserve"> PAGEREF _LarkToc00030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1" w:history="1">
        <w:r>
          <w:t>5.5 删除字段与事实类型</w:t>
        </w:r>
        <w:r>
          <w:tab/>
        </w:r>
        <w:r>
          <w:fldChar w:fldCharType="begin"/>
        </w:r>
        <w:r>
          <w:instrText xml:space="preserve"> PAGEREF _LarkToc00031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2" w:history="1">
        <w:r>
          <w:t>5.6 BOM 变更影响分析</w:t>
        </w:r>
        <w:r>
          <w:tab/>
        </w:r>
        <w:r>
          <w:fldChar w:fldCharType="begin"/>
        </w:r>
        <w:r>
          <w:instrText xml:space="preserve"> PAGEREF _LarkToc00032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3" w:history="1">
        <w:r>
          <w:t>5.7 数据类型与操作符</w:t>
        </w:r>
        <w:r>
          <w:tab/>
        </w:r>
        <w:r>
          <w:fldChar w:fldCharType="begin"/>
        </w:r>
        <w:r>
          <w:instrText xml:space="preserve"> PAGEREF _LarkToc00033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34" w:history="1">
        <w:r>
          <w:t>6 规则管理</w:t>
        </w:r>
        <w:r>
          <w:tab/>
        </w:r>
        <w:r>
          <w:fldChar w:fldCharType="begin"/>
        </w:r>
        <w:r>
          <w:instrText xml:space="preserve"> PAGEREF _LarkToc00034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5" w:history="1">
        <w:r>
          <w:t>6.1 新建规则</w:t>
        </w:r>
        <w:r>
          <w:tab/>
        </w:r>
        <w:r>
          <w:fldChar w:fldCharType="begin"/>
        </w:r>
        <w:r>
          <w:instrText xml:space="preserve"> PAGEREF _LarkToc00035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6" w:history="1">
        <w:r>
          <w:t>6.2 BAL 编辑器</w:t>
        </w:r>
        <w:r>
          <w:tab/>
        </w:r>
        <w:r>
          <w:fldChar w:fldCharType="begin"/>
        </w:r>
        <w:r>
          <w:instrText xml:space="preserve"> PAGEREF _LarkToc00036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7" w:history="1">
        <w:r>
          <w:t>6.3 保存、编译与提交</w:t>
        </w:r>
        <w:r>
          <w:tab/>
        </w:r>
        <w:r>
          <w:fldChar w:fldCharType="begin"/>
        </w:r>
        <w:r>
          <w:instrText xml:space="preserve"> PAGEREF _LarkToc00037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8" w:history="1">
        <w:r>
          <w:t>6.4 复制、重命名、移动与删除</w:t>
        </w:r>
        <w:r>
          <w:tab/>
        </w:r>
        <w:r>
          <w:fldChar w:fldCharType="begin"/>
        </w:r>
        <w:r>
          <w:instrText xml:space="preserve"> PAGEREF _LarkToc00038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39" w:history="1">
        <w:r>
          <w:t>6.5 与 BOM 的联动</w:t>
        </w:r>
        <w:r>
          <w:tab/>
        </w:r>
        <w:r>
          <w:fldChar w:fldCharType="begin"/>
        </w:r>
        <w:r>
          <w:instrText xml:space="preserve"> PAGEREF _LarkToc00039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40" w:history="1">
        <w:r>
          <w:t>7 决策表管理</w:t>
        </w:r>
        <w:r>
          <w:tab/>
        </w:r>
        <w:r>
          <w:fldChar w:fldCharType="begin"/>
        </w:r>
        <w:r>
          <w:instrText xml:space="preserve"> PAGEREF _LarkToc00040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1" w:history="1">
        <w:r>
          <w:t>7.1 新建决策表</w:t>
        </w:r>
        <w:r>
          <w:tab/>
        </w:r>
        <w:r>
          <w:fldChar w:fldCharType="begin"/>
        </w:r>
        <w:r>
          <w:instrText xml:space="preserve"> PAGEREF _LarkToc00041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2" w:history="1">
        <w:r>
          <w:t>7.2 网格编辑操作</w:t>
        </w:r>
        <w:r>
          <w:tab/>
        </w:r>
        <w:r>
          <w:fldChar w:fldCharType="begin"/>
        </w:r>
        <w:r>
          <w:instrText xml:space="preserve"> PAGEREF _LarkToc00042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3" w:history="1">
        <w:r>
          <w:t>7.3 单元格语法</w:t>
        </w:r>
        <w:r>
          <w:tab/>
        </w:r>
        <w:r>
          <w:fldChar w:fldCharType="begin"/>
        </w:r>
        <w:r>
          <w:instrText xml:space="preserve"> PAGEREF _LarkToc00043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4" w:history="1">
        <w:r>
          <w:t>7.4 命中策略</w:t>
        </w:r>
        <w:r>
          <w:tab/>
        </w:r>
        <w:r>
          <w:fldChar w:fldCharType="begin"/>
        </w:r>
        <w:r>
          <w:instrText xml:space="preserve"> PAGEREF _LarkToc00044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5" w:history="1">
        <w:r>
          <w:t>7.5 冲突与覆盖检测</w:t>
        </w:r>
        <w:r>
          <w:tab/>
        </w:r>
        <w:r>
          <w:fldChar w:fldCharType="begin"/>
        </w:r>
        <w:r>
          <w:instrText xml:space="preserve"> PAGEREF _LarkToc00045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6" w:history="1">
        <w:r>
          <w:t>7.6 导入与导出</w:t>
        </w:r>
        <w:r>
          <w:tab/>
        </w:r>
        <w:r>
          <w:fldChar w:fldCharType="begin"/>
        </w:r>
        <w:r>
          <w:instrText xml:space="preserve"> PAGEREF _LarkToc00046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47" w:history="1">
        <w:r>
          <w:t>8 规则流管理</w:t>
        </w:r>
        <w:r>
          <w:tab/>
        </w:r>
        <w:r>
          <w:fldChar w:fldCharType="begin"/>
        </w:r>
        <w:r>
          <w:instrText xml:space="preserve"> PAGEREF _LarkToc00047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8" w:history="1">
        <w:r>
          <w:t>8.1 规则流概念与拓扑约束</w:t>
        </w:r>
        <w:r>
          <w:tab/>
        </w:r>
        <w:r>
          <w:fldChar w:fldCharType="begin"/>
        </w:r>
        <w:r>
          <w:instrText xml:space="preserve"> PAGEREF _LarkToc00048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49" w:history="1">
        <w:r>
          <w:t>8.2 画布编辑</w:t>
        </w:r>
        <w:r>
          <w:tab/>
        </w:r>
        <w:r>
          <w:fldChar w:fldCharType="begin"/>
        </w:r>
        <w:r>
          <w:instrText xml:space="preserve"> PAGEREF _LarkToc00049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0" w:history="1">
        <w:r>
          <w:t>8.3 Rule Group 规则组</w:t>
        </w:r>
        <w:r>
          <w:tab/>
        </w:r>
        <w:r>
          <w:fldChar w:fldCharType="begin"/>
        </w:r>
        <w:r>
          <w:instrText xml:space="preserve"> PAGEREF _LarkToc00050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1" w:history="1">
        <w:r>
          <w:t>8.4 排他网关与字段映射</w:t>
        </w:r>
        <w:r>
          <w:tab/>
        </w:r>
        <w:r>
          <w:fldChar w:fldCharType="begin"/>
        </w:r>
        <w:r>
          <w:instrText xml:space="preserve"> PAGEREF _LarkToc00051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2" w:history="1">
        <w:r>
          <w:t>8.5 校验、发布与依赖管理</w:t>
        </w:r>
        <w:r>
          <w:tab/>
        </w:r>
        <w:r>
          <w:fldChar w:fldCharType="begin"/>
        </w:r>
        <w:r>
          <w:instrText xml:space="preserve"> PAGEREF _LarkToc00052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53" w:history="1">
        <w:r>
          <w:t>9 CEP 事件流管理</w:t>
        </w:r>
        <w:r>
          <w:tab/>
        </w:r>
        <w:r>
          <w:fldChar w:fldCharType="begin"/>
        </w:r>
        <w:r>
          <w:instrText xml:space="preserve"> PAGEREF _LarkToc00053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4" w:history="1">
        <w:r>
          <w:t>9.1 CEP 项目与事件流概述</w:t>
        </w:r>
        <w:r>
          <w:tab/>
        </w:r>
        <w:r>
          <w:fldChar w:fldCharType="begin"/>
        </w:r>
        <w:r>
          <w:instrText xml:space="preserve"> PAGEREF _LarkToc00054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5" w:history="1">
        <w:r>
          <w:t>9.2 新建 EventStream</w:t>
        </w:r>
        <w:r>
          <w:tab/>
        </w:r>
        <w:r>
          <w:fldChar w:fldCharType="begin"/>
        </w:r>
        <w:r>
          <w:instrText xml:space="preserve"> PAGEREF _LarkToc00055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6" w:history="1">
        <w:r>
          <w:t>9.3 检测语句创作</w:t>
        </w:r>
        <w:r>
          <w:tab/>
        </w:r>
        <w:r>
          <w:fldChar w:fldCharType="begin"/>
        </w:r>
        <w:r>
          <w:instrText xml:space="preserve"> PAGEREF _LarkToc00056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7" w:history="1">
        <w:r>
          <w:t>9.4 模板能力</w:t>
        </w:r>
        <w:r>
          <w:tab/>
        </w:r>
        <w:r>
          <w:fldChar w:fldCharType="begin"/>
        </w:r>
        <w:r>
          <w:instrText xml:space="preserve"> PAGEREF _LarkToc00057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8" w:history="1">
        <w:r>
          <w:t>9.5 保存、编译、测试与发布</w:t>
        </w:r>
        <w:r>
          <w:tab/>
        </w:r>
        <w:r>
          <w:fldChar w:fldCharType="begin"/>
        </w:r>
        <w:r>
          <w:instrText xml:space="preserve"> PAGEREF _LarkToc00058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59" w:history="1">
        <w:r>
          <w:t>9.6 删除语义</w:t>
        </w:r>
        <w:r>
          <w:tab/>
        </w:r>
        <w:r>
          <w:fldChar w:fldCharType="begin"/>
        </w:r>
        <w:r>
          <w:instrText xml:space="preserve"> PAGEREF _LarkToc00059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0" w:history="1">
        <w:r>
          <w:t>9.7 CEP 执行与业务对接</w:t>
        </w:r>
        <w:r>
          <w:tab/>
        </w:r>
        <w:r>
          <w:fldChar w:fldCharType="begin"/>
        </w:r>
        <w:r>
          <w:instrText xml:space="preserve"> PAGEREF _LarkToc00060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61" w:history="1">
        <w:r>
          <w:t>10 测试套件</w:t>
        </w:r>
        <w:r>
          <w:tab/>
        </w:r>
        <w:r>
          <w:fldChar w:fldCharType="begin"/>
        </w:r>
        <w:r>
          <w:instrText xml:space="preserve"> PAGEREF _LarkToc00061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2" w:history="1">
        <w:r>
          <w:t>10.1 新建测试套件</w:t>
        </w:r>
        <w:r>
          <w:tab/>
        </w:r>
        <w:r>
          <w:fldChar w:fldCharType="begin"/>
        </w:r>
        <w:r>
          <w:instrText xml:space="preserve"> PAGEREF _LarkToc00062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3" w:history="1">
        <w:r>
          <w:t>10.2 用例与参数化</w:t>
        </w:r>
        <w:r>
          <w:tab/>
        </w:r>
        <w:r>
          <w:fldChar w:fldCharType="begin"/>
        </w:r>
        <w:r>
          <w:instrText xml:space="preserve"> PAGEREF _LarkToc00063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4" w:history="1">
        <w:r>
          <w:t>10.3 断言类型</w:t>
        </w:r>
        <w:r>
          <w:tab/>
        </w:r>
        <w:r>
          <w:fldChar w:fldCharType="begin"/>
        </w:r>
        <w:r>
          <w:instrText xml:space="preserve"> PAGEREF _LarkToc00064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5" w:history="1">
        <w:r>
          <w:t>10.4 运行与覆盖率</w:t>
        </w:r>
        <w:r>
          <w:tab/>
        </w:r>
        <w:r>
          <w:fldChar w:fldCharType="begin"/>
        </w:r>
        <w:r>
          <w:instrText xml:space="preserve"> PAGEREF _LarkToc00065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6" w:history="1">
        <w:r>
          <w:t>10.5 版本对比</w:t>
        </w:r>
        <w:r>
          <w:tab/>
        </w:r>
        <w:r>
          <w:fldChar w:fldCharType="begin"/>
        </w:r>
        <w:r>
          <w:instrText xml:space="preserve"> PAGEREF _LarkToc00066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7" w:history="1">
        <w:r>
          <w:t>10.6 发布门禁</w:t>
        </w:r>
        <w:r>
          <w:tab/>
        </w:r>
        <w:r>
          <w:fldChar w:fldCharType="begin"/>
        </w:r>
        <w:r>
          <w:instrText xml:space="preserve"> PAGEREF _LarkToc00067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68" w:history="1">
        <w:r>
          <w:t>11 变更集与审核</w:t>
        </w:r>
        <w:r>
          <w:tab/>
        </w:r>
        <w:r>
          <w:fldChar w:fldCharType="begin"/>
        </w:r>
        <w:r>
          <w:instrText xml:space="preserve"> PAGEREF _LarkToc00068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69" w:history="1">
        <w:r>
          <w:t>11.1 变更集（Change Set）</w:t>
        </w:r>
        <w:r>
          <w:tab/>
        </w:r>
        <w:r>
          <w:fldChar w:fldCharType="begin"/>
        </w:r>
        <w:r>
          <w:instrText xml:space="preserve"> PAGEREF _LarkToc00069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0" w:history="1">
        <w:r>
          <w:t>11.2 提交、批准与驳回</w:t>
        </w:r>
        <w:r>
          <w:tab/>
        </w:r>
        <w:r>
          <w:fldChar w:fldCharType="begin"/>
        </w:r>
        <w:r>
          <w:instrText xml:space="preserve"> PAGEREF _LarkToc00070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1" w:history="1">
        <w:r>
          <w:t>11.3 审计日志</w:t>
        </w:r>
        <w:r>
          <w:tab/>
        </w:r>
        <w:r>
          <w:fldChar w:fldCharType="begin"/>
        </w:r>
        <w:r>
          <w:instrText xml:space="preserve"> PAGEREF _LarkToc00071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72" w:history="1">
        <w:r>
          <w:t>12 发布与部署</w:t>
        </w:r>
        <w:r>
          <w:tab/>
        </w:r>
        <w:r>
          <w:fldChar w:fldCharType="begin"/>
        </w:r>
        <w:r>
          <w:instrText xml:space="preserve"> PAGEREF _LarkToc00072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3" w:history="1">
        <w:r>
          <w:t>12.1 Release 概念</w:t>
        </w:r>
        <w:r>
          <w:tab/>
        </w:r>
        <w:r>
          <w:fldChar w:fldCharType="begin"/>
        </w:r>
        <w:r>
          <w:instrText xml:space="preserve"> PAGEREF _LarkToc00073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4" w:history="1">
        <w:r>
          <w:t>12.2 构建 Release</w:t>
        </w:r>
        <w:r>
          <w:tab/>
        </w:r>
        <w:r>
          <w:fldChar w:fldCharType="begin"/>
        </w:r>
        <w:r>
          <w:instrText xml:space="preserve"> PAGEREF _LarkToc00074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5" w:history="1">
        <w:r>
          <w:t>12.3 部署</w:t>
        </w:r>
        <w:r>
          <w:tab/>
        </w:r>
        <w:r>
          <w:fldChar w:fldCharType="begin"/>
        </w:r>
        <w:r>
          <w:instrText xml:space="preserve"> PAGEREF _LarkToc00075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6" w:history="1">
        <w:r>
          <w:t>12.4 执行</w:t>
        </w:r>
        <w:r>
          <w:tab/>
        </w:r>
        <w:r>
          <w:fldChar w:fldCharType="begin"/>
        </w:r>
        <w:r>
          <w:instrText xml:space="preserve"> PAGEREF _LarkToc00076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7" w:history="1">
        <w:r>
          <w:t>12.5 版本管理与回滚</w:t>
        </w:r>
        <w:r>
          <w:tab/>
        </w:r>
        <w:r>
          <w:fldChar w:fldCharType="begin"/>
        </w:r>
        <w:r>
          <w:instrText xml:space="preserve"> PAGEREF _LarkToc00077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78" w:history="1">
        <w:r>
          <w:t>13 项目报告</w:t>
        </w:r>
        <w:r>
          <w:tab/>
        </w:r>
        <w:r>
          <w:fldChar w:fldCharType="begin"/>
        </w:r>
        <w:r>
          <w:instrText xml:space="preserve"> PAGEREF _LarkToc00078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79" w:history="1">
        <w:r>
          <w:t>13.1 生成报告</w:t>
        </w:r>
        <w:r>
          <w:tab/>
        </w:r>
        <w:r>
          <w:fldChar w:fldCharType="begin"/>
        </w:r>
        <w:r>
          <w:instrText xml:space="preserve"> PAGEREF _LarkToc00079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0" w:history="1">
        <w:r>
          <w:t>13.2 报告章节</w:t>
        </w:r>
        <w:r>
          <w:tab/>
        </w:r>
        <w:r>
          <w:fldChar w:fldCharType="begin"/>
        </w:r>
        <w:r>
          <w:instrText xml:space="preserve"> PAGEREF _LarkToc00080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1" w:history="1">
        <w:r>
          <w:t>13.3 下载与打印</w:t>
        </w:r>
        <w:r>
          <w:tab/>
        </w:r>
        <w:r>
          <w:fldChar w:fldCharType="begin"/>
        </w:r>
        <w:r>
          <w:instrText xml:space="preserve"> PAGEREF _LarkToc00081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82" w:history="1">
        <w:r>
          <w:t>14 浏览与搜索</w:t>
        </w:r>
        <w:r>
          <w:tab/>
        </w:r>
        <w:r>
          <w:fldChar w:fldCharType="begin"/>
        </w:r>
        <w:r>
          <w:instrText xml:space="preserve"> PAGEREF _LarkToc00082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83" w:history="1">
        <w:r>
          <w:t>15 系统管理</w:t>
        </w:r>
        <w:r>
          <w:tab/>
        </w:r>
        <w:r>
          <w:fldChar w:fldCharType="begin"/>
        </w:r>
        <w:r>
          <w:instrText xml:space="preserve"> PAGEREF _LarkToc00083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4" w:history="1">
        <w:r>
          <w:t>15.1 管理页概览</w:t>
        </w:r>
        <w:r>
          <w:tab/>
        </w:r>
        <w:r>
          <w:fldChar w:fldCharType="begin"/>
        </w:r>
        <w:r>
          <w:instrText xml:space="preserve"> PAGEREF _LarkToc00084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5" w:history="1">
        <w:r>
          <w:t>15.2 用户与角色</w:t>
        </w:r>
        <w:r>
          <w:tab/>
        </w:r>
        <w:r>
          <w:fldChar w:fldCharType="begin"/>
        </w:r>
        <w:r>
          <w:instrText xml:space="preserve"> PAGEREF _LarkToc00085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6" w:history="1">
        <w:r>
          <w:t>15.3 环境注册</w:t>
        </w:r>
        <w:r>
          <w:tab/>
        </w:r>
        <w:r>
          <w:fldChar w:fldCharType="begin"/>
        </w:r>
        <w:r>
          <w:instrText xml:space="preserve"> PAGEREF _LarkToc00086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87" w:history="1">
        <w:r>
          <w:t>16 常见问题与故障排查</w:t>
        </w:r>
        <w:r>
          <w:tab/>
        </w:r>
        <w:r>
          <w:fldChar w:fldCharType="begin"/>
        </w:r>
        <w:r>
          <w:instrText xml:space="preserve"> PAGEREF _LarkToc00087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8" w:history="1">
        <w:r>
          <w:t>16.1 启动与部署类</w:t>
        </w:r>
        <w:r>
          <w:tab/>
        </w:r>
        <w:r>
          <w:fldChar w:fldCharType="begin"/>
        </w:r>
        <w:r>
          <w:instrText xml:space="preserve"> PAGEREF _LarkToc00088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89" w:history="1">
        <w:r>
          <w:t>16.2 操作与数据一致性类</w:t>
        </w:r>
        <w:r>
          <w:tab/>
        </w:r>
        <w:r>
          <w:fldChar w:fldCharType="begin"/>
        </w:r>
        <w:r>
          <w:instrText xml:space="preserve"> PAGEREF _LarkToc00089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90" w:history="1">
        <w:r>
          <w:t>16.3 边界与容量提示</w:t>
        </w:r>
        <w:r>
          <w:tab/>
        </w:r>
        <w:r>
          <w:fldChar w:fldCharType="begin"/>
        </w:r>
        <w:r>
          <w:instrText xml:space="preserve"> PAGEREF _LarkToc00090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91" w:history="1">
        <w:r>
          <w:t>附录 A 术语表</w:t>
        </w:r>
        <w:r>
          <w:tab/>
        </w:r>
        <w:r>
          <w:fldChar w:fldCharType="begin"/>
        </w:r>
        <w:r>
          <w:instrText xml:space="preserve"> PAGEREF _LarkToc00091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92" w:history="1">
        <w:r>
          <w:t>附录 B 服务与端口汇总</w:t>
        </w:r>
        <w:r>
          <w:tab/>
        </w:r>
        <w:r>
          <w:fldChar w:fldCharType="begin"/>
        </w:r>
        <w:r>
          <w:instrText xml:space="preserve"> PAGEREF _LarkToc00092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93" w:history="1">
        <w:r>
          <w:t>附录 C 当前版本边界与限制</w:t>
        </w:r>
        <w:r>
          <w:tab/>
        </w:r>
        <w:r>
          <w:fldChar w:fldCharType="begin"/>
        </w:r>
        <w:r>
          <w:instrText xml:space="preserve"> PAGEREF _LarkToc00093 \h </w:instrText>
        </w:r>
        <w:r>
          <w:fldChar w:fldCharType="separate"/>
        </w:r>
        <w:r>
          <w:t>28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280" w:after="120"/>
      </w:pPr>
      <w:bookmarkStart w:id="1" w:name="_LarkToc00001"/>
      <w:r>
        <w:rPr>
          <w:rFonts w:ascii="Times New Roman" w:hAnsi="Times New Roman" w:eastAsia="黑体"/>
          <w:b/>
          <w:color w:val="000000"/>
          <w:sz w:val="32"/>
        </w:rPr>
        <w:t>1 产品概述</w:t>
      </w:r>
      <w:bookmarkEnd w:id="1"/>
    </w:p>
    <w:p>
      <w:pPr>
        <w:pStyle w:val="Heading2"/>
        <w:keepNext/>
        <w:spacing w:before="220" w:after="100"/>
      </w:pPr>
      <w:bookmarkStart w:id="2" w:name="_LarkToc00002"/>
      <w:r>
        <w:rPr>
          <w:rFonts w:ascii="Times New Roman" w:hAnsi="Times New Roman" w:eastAsia="黑体"/>
          <w:b/>
          <w:color w:val="000000"/>
          <w:sz w:val="28"/>
        </w:rPr>
        <w:t>1.1 产品简介</w:t>
      </w:r>
      <w:bookmarkEnd w:id="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DWX（Decision Workbench X，决策工作台）是一个面向规则、决策流和复杂事件处理的双引擎决策工作台。平台统一管理业务对象模型（BOM）、规则、决策表、规则流、CEP 事件流（EventStream）、测试套件、变更集（Change Set）、发布包（Release）、部署和审计，并按项目将规则请求路由到 Drools 引擎、将 CEP 事件流请求路由到 Esper 引擎。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规则侧使用 Drools 10.2.0，CEP 侧使用 Esper 8.8.0。当前版本用于本地研发、产品验证和客户演示，不是面向公网的商用部署方案。</w:t>
      </w:r>
    </w:p>
    <w:p>
      <w:pPr>
        <w:pStyle w:val="Heading2"/>
        <w:keepNext/>
        <w:spacing w:before="220" w:after="100"/>
      </w:pPr>
      <w:bookmarkStart w:id="3" w:name="_LarkToc00003"/>
      <w:r>
        <w:rPr>
          <w:rFonts w:ascii="Times New Roman" w:hAnsi="Times New Roman" w:eastAsia="黑体"/>
          <w:b/>
          <w:color w:val="000000"/>
          <w:sz w:val="28"/>
        </w:rPr>
        <w:t>1.2 产品定位与边界</w:t>
      </w:r>
      <w:bookmarkEnd w:id="3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平台借鉴 IBM ODM/JRules Rule Team Server 与 Rule Execution Server 的职责划分，不追求界面或私有实现的逐项复制，业务用户编辑的是中文业务语义，不直接编辑 Drools 内部概念。产品由三个逻辑上独立的部分组成：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（1）规则设计中心（Rule Designer）：提供结构化规则（BAL）、决策表、规则流、业务词汇（BOM）和测试用例的 Web 编辑体验；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（2）规则治理中心（Rule Team Server）：提供资产仓库、版本、变更集、评审、审批、发布包、权限和审计；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（3）规则执行中心（Rule Execution Server，简称 RES）：接收不可变发布包，完成部署、版本路由、执行、监控和回滚。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核心原则包括：草稿、已发布版本、已部署版本是三个不同状态；发布包不可变，任何内容变化都产生新版本和新校验和；已发布规则流固定引用资产版本，历史决策必须能够重放；生产执行不依赖设计中心或治理中心在线；规则结构化模型是事实来源，DRL 是 Drools 适配器生成的构建产物。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当前版本为单工作空间、多项目原型：管理 API 已支持 OIDC JWT 验签、浏览器 BFF 会话、角色门禁和策略式项目/资产授权；PostgreSQL 已覆盖项目、包、资产、草稿修订、发布版本、BOM、测试报告、Release、部署回执、变更集和审计事件；尚未实现工作空间级多租户隔离和备份恢复。</w:t>
      </w:r>
    </w:p>
    <w:p>
      <w:pPr>
        <w:pStyle w:val="Heading2"/>
        <w:keepNext/>
        <w:spacing w:before="220" w:after="100"/>
      </w:pPr>
      <w:bookmarkStart w:id="4" w:name="_LarkToc00004"/>
      <w:r>
        <w:rPr>
          <w:rFonts w:ascii="Times New Roman" w:hAnsi="Times New Roman" w:eastAsia="黑体"/>
          <w:b/>
          <w:color w:val="000000"/>
          <w:sz w:val="28"/>
        </w:rPr>
        <w:t>1.3 核心概念与术语</w:t>
      </w:r>
      <w:bookmarkEnd w:id="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平台的核心业务对象按以下层次组织：工作空间（Workspace）下包含项目（Project），项目下包含决策服务（Decision Service）以及业务对象模型（BOM）、规则集（Rule Set，含向导式规则、决策表、高级 DRL 规则）、规则流（Rule Flow）、测试套件（Test Suite）；变更集（Change Set）聚合资产修订（Asset Revision）；发布包（Release）包含可执行步骤、模型快照、引擎约束和校验和；部署（Deployment）包含环境、RES 集群、发布包、状态和流量策略。</w:t>
      </w:r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1-1 核心概念一览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概念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BOM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业务对象模型，字段字典。定义事实类型、字段、方向（输入/输出）、数据类型与枚举值，是规则、决策表、规则流和 CEP 事件流的元数据源头。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规则包（Package）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规则与决策表的逻辑分组，对应 DRL 的 package 语句，支持最多三层嵌套。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BAL 规则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业务动作语言规则，以中文自然语言表达“当…那么…”，业务人员无需了解 DRL。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决策表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用类似 Excel 网格的方式编写规则，每一行一条规则，适合多条件、多结果、枚举型业务。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规则流（RuleFlow）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对公共步骤、单个排他条件网关和分支步骤的编排，发布时冻结引用的资产版本。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Group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规则流内部的步骤节点，引用一个规则包，发布时批量冻结包内已发布资产。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EventStream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项目中的事件流资产，由多条检测语句（EPL）组成，经真实 Esper 编译后发布执行。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测试套件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针对已发布规则、决策表或规则流的一组测试用例，支持参数化、断言、覆盖率和版本对比。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变更集（Change Set）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将多个资产修订聚合为评审与发布的最小单位，固定评审证据。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发布包（Release）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不可变发布制品，包含决策服务标识、语义版本、资产版本、步骤快照、DRL、模型版本、引擎版本和 SHA-256 校验和。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部署（Deployment）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 Release 部署到指定环境（当前 MVP 支持 local）并记录部署回执的动作。</w:t>
            </w:r>
          </w:p>
        </w:tc>
      </w:tr>
      <w:tr>
        <w:trPr>
          <w:cantSplit/>
        </w:trPr>
        <w:tc>
          <w:tcPr>
            <w:tcW w:type="dxa" w:w="211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</w:t>
            </w:r>
          </w:p>
        </w:tc>
        <w:tc>
          <w:tcPr>
            <w:tcW w:type="dxa" w:w="695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规则执行中心，独立进程与镜像，只接受治理中心生成的、校验和有效的 Release。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资产状态流转为：草稿（DRAFT）→ 待评审（SUBMITTED）→ 测试中 → 待批准 → 已批准 → 已发布 → 已归档。当前已交付的固定状态流为 DRAFT → SUBMITTED → APPROVED/REJECTED，驳回后可重新打开。</w:t>
      </w:r>
    </w:p>
    <w:p>
      <w:pPr>
        <w:pStyle w:val="Heading2"/>
        <w:keepNext/>
        <w:spacing w:before="220" w:after="100"/>
      </w:pPr>
      <w:bookmarkStart w:id="5" w:name="_LarkToc00005"/>
      <w:r>
        <w:rPr>
          <w:rFonts w:ascii="Times New Roman" w:hAnsi="Times New Roman" w:eastAsia="黑体"/>
          <w:b/>
          <w:color w:val="000000"/>
          <w:sz w:val="28"/>
        </w:rPr>
        <w:t>1.4 用户角色与职责</w:t>
      </w:r>
      <w:bookmarkEnd w:id="5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1-2 用户角色与职责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主要职责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关键权限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业务规则作者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编写规则和决策表，维护业务说明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查看、编辑、提交评审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规则开发人员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维护业务对象模型、函数和高级规则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编辑技术资产、编译、诊断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测试人员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建立测试集、回归验证、影响分析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执行测试、确认测试门禁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审核人员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检查业务变化并批准变更集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审核、驳回、批准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发布经理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创建发布包并部署到目标环境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发布、部署、回滚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运维人员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管理 RES 集群、路由、容量和告警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环境管理、灰度、监控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审计人员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查询变更与执行证据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只读审计、报表导出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平台内置角色为 viewer（查看者）、author（规则作者）、reviewer（评审人）、release-manager（发布管理员）和 admin（系统管理员），分别控制查看、资产编辑、变更评审、Release 创建/部署和全部操作。原则是作者不能自审自发，审核与部署职责分离。</w:t>
      </w:r>
    </w:p>
    <w:p>
      <w:pPr>
        <w:pStyle w:val="Heading1"/>
        <w:keepNext/>
        <w:spacing w:before="280" w:after="120"/>
      </w:pPr>
      <w:bookmarkStart w:id="6" w:name="_LarkToc00006"/>
      <w:r>
        <w:rPr>
          <w:rFonts w:ascii="Times New Roman" w:hAnsi="Times New Roman" w:eastAsia="黑体"/>
          <w:b/>
          <w:color w:val="000000"/>
          <w:sz w:val="32"/>
        </w:rPr>
        <w:t>2 部署与启动</w:t>
      </w:r>
      <w:bookmarkEnd w:id="6"/>
    </w:p>
    <w:p>
      <w:pPr>
        <w:pStyle w:val="Heading2"/>
        <w:keepNext/>
        <w:spacing w:before="220" w:after="100"/>
      </w:pPr>
      <w:bookmarkStart w:id="7" w:name="_LarkToc00007"/>
      <w:r>
        <w:rPr>
          <w:rFonts w:ascii="Times New Roman" w:hAnsi="Times New Roman" w:eastAsia="黑体"/>
          <w:b/>
          <w:color w:val="000000"/>
          <w:sz w:val="28"/>
        </w:rPr>
        <w:t>2.1 环境要求</w:t>
      </w:r>
      <w:bookmarkEnd w:id="7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2-1 环境要求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支持 Node.js 20+ 和 Docker 的 macOS / Linux / Windows 环境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Node.js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 及以上版本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Docker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用于启动规则引擎、CEP 容器与可选 PostgreSQL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PostgreSQL（可选）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仅在使用数据库模式持久化时需要，默认 JSON 模式无需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浏览器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支持现代浏览器的前端访问（前端开发服务器默认 5173 端口）</w:t>
            </w:r>
          </w:p>
        </w:tc>
      </w:tr>
    </w:tbl>
    <w:p>
      <w:pPr>
        <w:pStyle w:val="Heading2"/>
        <w:keepNext/>
        <w:spacing w:before="220" w:after="100"/>
      </w:pPr>
      <w:bookmarkStart w:id="8" w:name="_LarkToc00008"/>
      <w:r>
        <w:rPr>
          <w:rFonts w:ascii="Times New Roman" w:hAnsi="Times New Roman" w:eastAsia="黑体"/>
          <w:b/>
          <w:color w:val="000000"/>
          <w:sz w:val="28"/>
        </w:rPr>
        <w:t>2.2 安装依赖</w:t>
      </w:r>
      <w:bookmarkEnd w:id="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在项目根目录安装后端依赖，并在 frontend 目录安装前端依赖。根目录的 dev/build/lint 命令均通过 --prefix frontend 调用，不会自动安装 frontend 目录的依赖，因此两步安装都需执行：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</w:t>
      </w:r>
      <w:r>
        <w:rPr>
          <w:rFonts w:ascii="Times New Roman" w:hAnsi="Times New Roman" w:eastAsia="宋体"/>
          <w:color w:val="000000"/>
          <w:sz w:val="24"/>
        </w:rPr>
        <w:t>在项目根目录执行 npm install，安装后端依赖；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</w:t>
      </w:r>
      <w:r>
        <w:rPr>
          <w:rFonts w:ascii="Times New Roman" w:hAnsi="Times New Roman" w:eastAsia="宋体"/>
          <w:color w:val="000000"/>
          <w:sz w:val="24"/>
        </w:rPr>
        <w:t>进入 frontend 目录执行 npm install，安装前端依赖；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</w:t>
      </w:r>
      <w:r>
        <w:rPr>
          <w:rFonts w:ascii="Times New Roman" w:hAnsi="Times New Roman" w:eastAsia="宋体"/>
          <w:color w:val="000000"/>
          <w:sz w:val="24"/>
        </w:rPr>
        <w:t>返回项目根目录，准备下一步启动。</w:t>
      </w:r>
    </w:p>
    <w:p>
      <w:pPr>
        <w:pStyle w:val="Heading2"/>
        <w:keepNext/>
        <w:spacing w:before="220" w:after="100"/>
      </w:pPr>
      <w:bookmarkStart w:id="9" w:name="_LarkToc00009"/>
      <w:r>
        <w:rPr>
          <w:rFonts w:ascii="Times New Roman" w:hAnsi="Times New Roman" w:eastAsia="黑体"/>
          <w:b/>
          <w:color w:val="000000"/>
          <w:sz w:val="28"/>
        </w:rPr>
        <w:t>2.3 启动引擎容器</w:t>
      </w:r>
      <w:bookmarkEnd w:id="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使用 Docker Compose 启动规则引擎和 CEP 容器：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docker compose up --build -d engine res cep-build cep-res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如使用 PostgreSQL 模式，还需额外启动 postgres 容器（见 2.5 节）。容器基础镜像默认从 docker.1ms.run 拉取，构建阶段通过 engine/settings.xml 使用阿里云 Maven 公共仓库，不修改 Docker daemon 或全局 Maven 配置；镜像站不可用时，可用 Docker 构建参数 BUILD_IMAGE 和 RUNTIME_IMAGE 指定其他可访问的镜像地址。</w:t>
      </w:r>
    </w:p>
    <w:p>
      <w:pPr>
        <w:pStyle w:val="Heading2"/>
        <w:keepNext/>
        <w:spacing w:before="220" w:after="100"/>
      </w:pPr>
      <w:bookmarkStart w:id="10" w:name="_LarkToc00010"/>
      <w:r>
        <w:rPr>
          <w:rFonts w:ascii="Times New Roman" w:hAnsi="Times New Roman" w:eastAsia="黑体"/>
          <w:b/>
          <w:color w:val="000000"/>
          <w:sz w:val="28"/>
        </w:rPr>
        <w:t>2.4 启动 Team Server 与前端</w:t>
      </w:r>
      <w:bookmarkEnd w:id="1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启动治理中心（Team Server）与前端开发服务器：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npm run api     # Team Server，默认监听 127.0.0.1:8787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npm run dev     # frontend 前端开发服务器，默认 http://127.0.0.1:5173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浏览器打开 http://127.0.0.1:5173 即可访问工作台。未设置 DATABASE_URL 时，系统使用 data/*.json 文件存储。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注意：后端默认端口是 8787（可用 API_PORT 覆盖），而 frontend/vite.config.ts 的 /api 代理固定指向 127.0.0.1:8789。本地联调需让两者一致，例如使用 API_PORT=8789 npm run api 启动。前端默认端口 5173，如需改端口请使用 cd frontend &amp;&amp; npm run dev -- --port 5175。</w:t>
      </w:r>
    </w:p>
    <w:p>
      <w:pPr>
        <w:pStyle w:val="Heading2"/>
        <w:keepNext/>
        <w:spacing w:before="220" w:after="100"/>
      </w:pPr>
      <w:bookmarkStart w:id="11" w:name="_LarkToc00011"/>
      <w:r>
        <w:rPr>
          <w:rFonts w:ascii="Times New Roman" w:hAnsi="Times New Roman" w:eastAsia="黑体"/>
          <w:b/>
          <w:color w:val="000000"/>
          <w:sz w:val="28"/>
        </w:rPr>
        <w:t>2.5 PostgreSQL 模式</w:t>
      </w:r>
      <w:bookmarkEnd w:id="1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平台支持 JSON 文件与 PostgreSQL 两种存储模式。需要多人协作与数据库级乐观锁时使用 PostgreSQL：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</w:t>
      </w:r>
      <w:r>
        <w:rPr>
          <w:rFonts w:ascii="Times New Roman" w:hAnsi="Times New Roman" w:eastAsia="宋体"/>
          <w:color w:val="000000"/>
          <w:sz w:val="24"/>
        </w:rPr>
        <w:t>启动数据库容器：docker compose up -d postgres；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</w:t>
      </w:r>
      <w:r>
        <w:rPr>
          <w:rFonts w:ascii="Times New Roman" w:hAnsi="Times New Roman" w:eastAsia="宋体"/>
          <w:color w:val="000000"/>
          <w:sz w:val="24"/>
        </w:rPr>
        <w:t>设置环境变量：export DATABASE_URL=postgresql://rules:rules-local@127.0.0.1:54329/rules；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</w:t>
      </w:r>
      <w:r>
        <w:rPr>
          <w:rFonts w:ascii="Times New Roman" w:hAnsi="Times New Roman" w:eastAsia="宋体"/>
          <w:color w:val="000000"/>
          <w:sz w:val="24"/>
        </w:rPr>
        <w:t>执行数据库迁移：npm run db:migrate；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（4）</w:t>
      </w:r>
      <w:r>
        <w:rPr>
          <w:rFonts w:ascii="Times New Roman" w:hAnsi="Times New Roman" w:eastAsia="宋体"/>
          <w:color w:val="000000"/>
          <w:sz w:val="24"/>
        </w:rPr>
        <w:t>首次迁移 JSON 数据：npm run db:import-json（目标库非空时会拒绝执行，防止覆盖）；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（5）</w:t>
      </w:r>
      <w:r>
        <w:rPr>
          <w:rFonts w:ascii="Times New Roman" w:hAnsi="Times New Roman" w:eastAsia="宋体"/>
          <w:color w:val="000000"/>
          <w:sz w:val="24"/>
        </w:rPr>
        <w:t>启动服务：npm run api。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可通过 GET /api/system/storage 接口确认当前存储模式。PostgreSQL 模式下，资产、资产修订、资产版本、BOM 版本、测试套件、测试报告、Release、部署回执、变更集和审计事件均按项目（project_id）隔离；JSON 数据可在数据库事务内一次性原子导入，任一对象失败则全部回滚。</w:t>
      </w:r>
    </w:p>
    <w:p>
      <w:pPr>
        <w:pStyle w:val="Heading2"/>
        <w:keepNext/>
        <w:spacing w:before="220" w:after="100"/>
      </w:pPr>
      <w:bookmarkStart w:id="12" w:name="_LarkToc00012"/>
      <w:r>
        <w:rPr>
          <w:rFonts w:ascii="Times New Roman" w:hAnsi="Times New Roman" w:eastAsia="黑体"/>
          <w:b/>
          <w:color w:val="000000"/>
          <w:sz w:val="28"/>
        </w:rPr>
        <w:t>2.6 认证模式配置</w:t>
      </w:r>
      <w:bookmarkEnd w:id="1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默认 AUTH_MODE=local，仅用于本机开发，主体拥有 admin 权限。管理 API 可切换到 AUTH_MODE=oidc，此时必须配置 OIDC_ISSUER 和 OIDC_AUDIENCE，服务会通过 OIDC discovery 获取 JWKS 并验证 Bearer JWT；也可用 OIDC_JWKS_URI 显式覆盖。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OIDC 模式下，每个 /api/* 请求须携带 Bearer JWT，服务校验 RS256/PS256/ES256 签名、iss、aud、有效期和非空 sub，并从顶层 roles、Keycloak realm roles 和指定 OIDC_CLIENT_ID 的 client roles 提取角色。浏览器端使用 Authorization Code + PKCE 建立 HttpOnly BFF 会话，GET /api/session 返回当前已验证主体和权限。生产部署不能使用 local 模式。</w:t>
      </w:r>
    </w:p>
    <w:p>
      <w:pPr>
        <w:pStyle w:val="Heading2"/>
        <w:keepNext/>
        <w:spacing w:before="220" w:after="100"/>
      </w:pPr>
      <w:bookmarkStart w:id="13" w:name="_LarkToc00013"/>
      <w:r>
        <w:rPr>
          <w:rFonts w:ascii="Times New Roman" w:hAnsi="Times New Roman" w:eastAsia="黑体"/>
          <w:b/>
          <w:color w:val="000000"/>
          <w:sz w:val="28"/>
        </w:rPr>
        <w:t>2.7 服务端口与健康检查</w:t>
      </w:r>
      <w:bookmarkEnd w:id="13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2-2 服务端口与健康检查汇总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服务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默认端口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健康检查地址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Team Server（API）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8787 / 8789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治理中心管理 API，默认 8787，前端代理指向 8789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前端开发服务器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5173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Web 工作台界面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Drools Build Service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8788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http://127.0.0.1:8788/health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设计时编译临时 DRL，不承载生产流量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独立 RES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8790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http://127.0.0.1:8790/health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规则执行中心，执行已部署 Release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Build/Test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8791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http://127.0.0.1:8791/health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设计时编译与测试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Runtime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8792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http://127.0.0.1:8792/health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运行时，执行已部署事件流 Release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PostgreSQL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54329</w:t>
            </w:r>
          </w:p>
        </w:tc>
        <w:tc>
          <w:tcPr>
            <w:tcW w:type="dxa" w:w="23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8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数据库模式存储（可选）</w:t>
            </w:r>
          </w:p>
        </w:tc>
      </w:tr>
    </w:tbl>
    <w:p>
      <w:pPr>
        <w:pStyle w:val="Heading2"/>
        <w:keepNext/>
        <w:spacing w:before="220" w:after="100"/>
      </w:pPr>
      <w:bookmarkStart w:id="14" w:name="_LarkToc00014"/>
      <w:r>
        <w:rPr>
          <w:rFonts w:ascii="Times New Roman" w:hAnsi="Times New Roman" w:eastAsia="黑体"/>
          <w:b/>
          <w:color w:val="000000"/>
          <w:sz w:val="28"/>
        </w:rPr>
        <w:t>2.8 使用边界提示</w:t>
      </w:r>
      <w:bookmarkEnd w:id="1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engine 与 res 服务均为本机原型调用而设计，尚未实现鉴权、签名、隔离与执行配额，不应暴露到公网。MVP 的本机端口仅绑定 127.0.0.1；生产部署前必须完成 Team Server 到 RES 的双向 TLS 或工作负载身份认证、Release 签名、RES 管理端口与执行端口隔离等安全改造。</w:t>
      </w:r>
    </w:p>
    <w:p>
      <w:pPr>
        <w:pStyle w:val="Heading1"/>
        <w:keepNext/>
        <w:spacing w:before="280" w:after="120"/>
      </w:pPr>
      <w:bookmarkStart w:id="15" w:name="_LarkToc00015"/>
      <w:r>
        <w:rPr>
          <w:rFonts w:ascii="Times New Roman" w:hAnsi="Times New Roman" w:eastAsia="黑体"/>
          <w:b/>
          <w:color w:val="000000"/>
          <w:sz w:val="32"/>
        </w:rPr>
        <w:t>3 登录与界面导航</w:t>
      </w:r>
      <w:bookmarkEnd w:id="15"/>
    </w:p>
    <w:p>
      <w:pPr>
        <w:pStyle w:val="Heading2"/>
        <w:keepNext/>
        <w:spacing w:before="220" w:after="100"/>
      </w:pPr>
      <w:bookmarkStart w:id="16" w:name="_LarkToc00016"/>
      <w:r>
        <w:rPr>
          <w:rFonts w:ascii="Times New Roman" w:hAnsi="Times New Roman" w:eastAsia="黑体"/>
          <w:b/>
          <w:color w:val="000000"/>
          <w:sz w:val="28"/>
        </w:rPr>
        <w:t>3.1 登录与退出</w:t>
      </w:r>
      <w:bookmarkEnd w:id="1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打开 http://127.0.0.1:5173 后进入登录页。local 模式下本机直接以管理员身份工作；OIDC 模式下按浏览器 Authorization Code + PKCE 流程完成登录，服务端建立 HttpOnly BFF 会话。登录后点击顶栏右上角用户头像，可查看当前用户名、角色与邮箱，点击“退出登录”结束会话。</w:t>
      </w:r>
    </w:p>
    <w:p>
      <w:pPr>
        <w:pStyle w:val="Heading2"/>
        <w:keepNext/>
        <w:spacing w:before="220" w:after="100"/>
      </w:pPr>
      <w:bookmarkStart w:id="17" w:name="_LarkToc00017"/>
      <w:r>
        <w:rPr>
          <w:rFonts w:ascii="Times New Roman" w:hAnsi="Times New Roman" w:eastAsia="黑体"/>
          <w:b/>
          <w:color w:val="000000"/>
          <w:sz w:val="28"/>
        </w:rPr>
        <w:t>3.2 全局导航</w:t>
      </w:r>
      <w:bookmarkEnd w:id="17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顶栏左侧为产品标识 DW + Decision Workbench，中部为四个全局导航入口：</w:t>
      </w:r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3-1 全局导航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导航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主页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工作台首页入口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库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决策服务（项目）卡片列表，点入进入项目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浏览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跨项目资产目录，搜索与定位规则、决策表、规则流、BOM 字段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管理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用户目录、角色权限矩阵、环境注册等系统管理</w:t>
            </w:r>
          </w:p>
        </w:tc>
      </w:tr>
    </w:tbl>
    <w:p>
      <w:pPr>
        <w:pStyle w:val="Heading2"/>
        <w:keepNext/>
        <w:spacing w:before="220" w:after="100"/>
      </w:pPr>
      <w:bookmarkStart w:id="18" w:name="_LarkToc00018"/>
      <w:r>
        <w:rPr>
          <w:rFonts w:ascii="Times New Roman" w:hAnsi="Times New Roman" w:eastAsia="黑体"/>
          <w:b/>
          <w:color w:val="000000"/>
          <w:sz w:val="28"/>
        </w:rPr>
        <w:t>3.3 项目内页签</w:t>
      </w:r>
      <w:bookmarkEnd w:id="1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进入项目后，根据项目引擎类型显示不同页签组：</w:t>
      </w:r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3-2 项目内页签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4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引擎类型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页签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rules（规则项目）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资产 / 规则流 / BOM / 词汇 / 测试套件 / 审核 / 发布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cep（事件项目）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事件流 / BOM / 词汇 / 测试套件 / 发布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项目页顶栏右侧提供“报告”操作按钮，点击进入项目知识资产报告视图（见第 13 章）。</w:t>
      </w:r>
    </w:p>
    <w:p>
      <w:pPr>
        <w:pStyle w:val="Heading2"/>
        <w:keepNext/>
        <w:spacing w:before="220" w:after="100"/>
      </w:pPr>
      <w:bookmarkStart w:id="19" w:name="_LarkToc00019"/>
      <w:r>
        <w:rPr>
          <w:rFonts w:ascii="Times New Roman" w:hAnsi="Times New Roman" w:eastAsia="黑体"/>
          <w:b/>
          <w:color w:val="000000"/>
          <w:sz w:val="28"/>
        </w:rPr>
        <w:t>3.4 通用界面约定</w:t>
      </w:r>
      <w:bookmarkEnd w:id="1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资产列表按状态显示彩色标签：草稿为橙色，审核中为蓝色，已发布为绿色，已废弃为灰色。资产类型以不同图标和颜色区分：BAL 规则为蓝色文书图标，决策表为紫色表格图标，规则流为红色流程图标。业务术语在编辑器中以蓝色虚线下划线显示，值以灰底等宽显示，操作符为黑色加粗，连接词为灰色。</w:t>
      </w:r>
    </w:p>
    <w:p>
      <w:pPr>
        <w:pStyle w:val="Heading1"/>
        <w:keepNext/>
        <w:spacing w:before="280" w:after="120"/>
      </w:pPr>
      <w:bookmarkStart w:id="20" w:name="_LarkToc00020"/>
      <w:r>
        <w:rPr>
          <w:rFonts w:ascii="Times New Roman" w:hAnsi="Times New Roman" w:eastAsia="黑体"/>
          <w:b/>
          <w:color w:val="000000"/>
          <w:sz w:val="32"/>
        </w:rPr>
        <w:t>4 项目管理</w:t>
      </w:r>
      <w:bookmarkEnd w:id="20"/>
    </w:p>
    <w:p>
      <w:pPr>
        <w:pStyle w:val="Heading2"/>
        <w:keepNext/>
        <w:spacing w:before="220" w:after="100"/>
      </w:pPr>
      <w:bookmarkStart w:id="21" w:name="_LarkToc00021"/>
      <w:r>
        <w:rPr>
          <w:rFonts w:ascii="Times New Roman" w:hAnsi="Times New Roman" w:eastAsia="黑体"/>
          <w:b/>
          <w:color w:val="000000"/>
          <w:sz w:val="28"/>
        </w:rPr>
        <w:t>4.1 新建项目</w:t>
      </w:r>
      <w:bookmarkEnd w:id="2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在库页右上角点击“+ 新建决策服务”按钮，弹出创建对话框：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（1）填写项目名称（必填）与项目描述（选填）；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（2）选择图标（如 loan / warehouse / shield 等）；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（3）选择引擎类型：rules（规则引擎）或 cep（事件引擎）；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（4）选择基线 BOM：空白起步、从模板选（如贷款审批模板、风控模板、仓储温控模板），或从现有项目复制 BOM 和包结构；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（5）确认创建。后端创建空项目，版本为 1.0.0，分支为 main，创建后自动进入新项目。</w:t>
      </w:r>
    </w:p>
    <w:p>
      <w:pPr>
        <w:pStyle w:val="Heading2"/>
        <w:keepNext/>
        <w:spacing w:before="220" w:after="100"/>
      </w:pPr>
      <w:bookmarkStart w:id="22" w:name="_LarkToc00022"/>
      <w:r>
        <w:rPr>
          <w:rFonts w:ascii="Times New Roman" w:hAnsi="Times New Roman" w:eastAsia="黑体"/>
          <w:b/>
          <w:color w:val="000000"/>
          <w:sz w:val="28"/>
        </w:rPr>
        <w:t>4.2 编辑项目</w:t>
      </w:r>
      <w:bookmarkEnd w:id="2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点击项目头右上角设置图标，可修改项目名称、描述、图标和默认环境。项目 ID（URL 用）、创建时间和创建者不可修改。</w:t>
      </w:r>
    </w:p>
    <w:p>
      <w:pPr>
        <w:pStyle w:val="Heading2"/>
        <w:keepNext/>
        <w:spacing w:before="220" w:after="100"/>
      </w:pPr>
      <w:bookmarkStart w:id="23" w:name="_LarkToc00023"/>
      <w:r>
        <w:rPr>
          <w:rFonts w:ascii="Times New Roman" w:hAnsi="Times New Roman" w:eastAsia="黑体"/>
          <w:b/>
          <w:color w:val="000000"/>
          <w:sz w:val="28"/>
        </w:rPr>
        <w:t>4.3 归档与删除项目</w:t>
      </w:r>
      <w:bookmarkEnd w:id="23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归档项目后项目卡片置灰，从库页默认列表隐藏，可通过“显示已归档”开关查看。删除为硬删除，需两次确认并列出项目内规则数与 Release 数；已发布到生产环境的项目不能删除，只能归档。</w:t>
      </w:r>
    </w:p>
    <w:p>
      <w:pPr>
        <w:pStyle w:val="Heading2"/>
        <w:keepNext/>
        <w:spacing w:before="220" w:after="100"/>
      </w:pPr>
      <w:bookmarkStart w:id="24" w:name="_LarkToc00024"/>
      <w:r>
        <w:rPr>
          <w:rFonts w:ascii="Times New Roman" w:hAnsi="Times New Roman" w:eastAsia="黑体"/>
          <w:b/>
          <w:color w:val="000000"/>
          <w:sz w:val="28"/>
        </w:rPr>
        <w:t>4.4 规则包管理</w:t>
      </w:r>
      <w:bookmarkEnd w:id="2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规则包是规则与决策表的逻辑分组。在资产页左侧包树顶部点击“+ 新建包”，或右键包节点选择“新建子包”，填写英文包名（唯一，不可用中文）、中文显示名和父包（可选），最多嵌套三层。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重命名包时，包下所有规则的归属会随之更新；若包被规则流（Rule Group）引用，重命名会在同一事务内更新引用并推进规则流修订，审核中的规则流引用该包时重命名会被审核锁阻止。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删除包时，若包内有规则会弹出警告，可选择将规则移到其他包、一并删除或取消；空包可直接删除。若规则流草稿仍引用该包，删除会被拒绝。</w:t>
      </w:r>
    </w:p>
    <w:p>
      <w:pPr>
        <w:pStyle w:val="Heading2"/>
        <w:keepNext/>
        <w:spacing w:before="220" w:after="100"/>
      </w:pPr>
      <w:bookmarkStart w:id="25" w:name="_LarkToc00025"/>
      <w:r>
        <w:rPr>
          <w:rFonts w:ascii="Times New Roman" w:hAnsi="Times New Roman" w:eastAsia="黑体"/>
          <w:b/>
          <w:color w:val="000000"/>
          <w:sz w:val="28"/>
        </w:rPr>
        <w:t>4.5 资产状态与生命周期</w:t>
      </w:r>
      <w:bookmarkEnd w:id="2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规则、决策表和测试套件使用 revision 做乐观锁，BOM 使用 version 做乐观锁。每次创建、保存和恢复草稿生成单调递增修订并保留快照；发布与归档也推进修订号，避免旧客户端继续写入。并发更新时返回 409，并返回服务器当前修订号和快照，前端保留本地编辑，由用户决定是否载入服务器版本。</w:t>
      </w:r>
    </w:p>
    <w:p>
      <w:pPr>
        <w:pStyle w:val="Heading1"/>
        <w:keepNext/>
        <w:spacing w:before="280" w:after="120"/>
      </w:pPr>
      <w:bookmarkStart w:id="26" w:name="_LarkToc00026"/>
      <w:r>
        <w:rPr>
          <w:rFonts w:ascii="Times New Roman" w:hAnsi="Times New Roman" w:eastAsia="黑体"/>
          <w:b/>
          <w:color w:val="000000"/>
          <w:sz w:val="32"/>
        </w:rPr>
        <w:t>5 字段模型（BOM）管理</w:t>
      </w:r>
      <w:bookmarkEnd w:id="26"/>
    </w:p>
    <w:p>
      <w:pPr>
        <w:pStyle w:val="Heading2"/>
        <w:keepNext/>
        <w:spacing w:before="220" w:after="100"/>
      </w:pPr>
      <w:bookmarkStart w:id="27" w:name="_LarkToc00027"/>
      <w:r>
        <w:rPr>
          <w:rFonts w:ascii="Times New Roman" w:hAnsi="Times New Roman" w:eastAsia="黑体"/>
          <w:b/>
          <w:color w:val="000000"/>
          <w:sz w:val="28"/>
        </w:rPr>
        <w:t>5.1 BOM 概述</w:t>
      </w:r>
      <w:bookmarkEnd w:id="27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BOM（业务对象模型）是整个规则平台的元数据源头：BAL 编辑器的事实类型、字段和枚举值全部从 BOM 拉取；决策表的列全部从 BOM 生成；DRL 的 declare 块根据 BOM 自动生成；CEP 事件流的事件类型与字段也来自 BOM 的 Event Profile 视图。BOM 发生变化时，所有引用它的规则、决策表、规则流和测试会被影响分析覆盖。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BOM 字段的 key 是项目内全局唯一的技术标识。API 层持久化使用扁平 fields 结构，项目 API 与前端编辑器使用 factTypes[].fields[] 分组视图，两者自动转换。BOM 保存后版本号加一，已发布的 Release 内 BOM 是冻结快照，后续修改 BOM 不影响线上。</w:t>
      </w:r>
    </w:p>
    <w:p>
      <w:pPr>
        <w:pStyle w:val="Heading2"/>
        <w:keepNext/>
        <w:spacing w:before="220" w:after="100"/>
      </w:pPr>
      <w:bookmarkStart w:id="28" w:name="_LarkToc00028"/>
      <w:r>
        <w:rPr>
          <w:rFonts w:ascii="Times New Roman" w:hAnsi="Times New Roman" w:eastAsia="黑体"/>
          <w:b/>
          <w:color w:val="000000"/>
          <w:sz w:val="28"/>
        </w:rPr>
        <w:t>5.2 进入编辑模式</w:t>
      </w:r>
      <w:bookmarkEnd w:id="2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在项目“BOM / 词汇”页，默认是只读视图。点击右上角“编辑模型”按钮进入编辑模式，可编辑字段出现悬停高亮；编辑模式下顶部出现黄色警告条“正在编辑 BOM，保存后影响所有规则”。点击“保存”生效，点击“取消”不保存任何修改。</w:t>
      </w:r>
    </w:p>
    <w:p>
      <w:pPr>
        <w:pStyle w:val="Heading2"/>
        <w:keepNext/>
        <w:spacing w:before="220" w:after="100"/>
      </w:pPr>
      <w:bookmarkStart w:id="29" w:name="_LarkToc00029"/>
      <w:r>
        <w:rPr>
          <w:rFonts w:ascii="Times New Roman" w:hAnsi="Times New Roman" w:eastAsia="黑体"/>
          <w:b/>
          <w:color w:val="000000"/>
          <w:sz w:val="28"/>
        </w:rPr>
        <w:t>5.3 新增事实类型与字段</w:t>
      </w:r>
      <w:bookmarkEnd w:id="2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新增事实类型：点击左栏底部“+ 新增事实类型”按钮，填写类名（英文标识符，自动校验唯一）、业务名称（中文）和方向（输入事实 / 输出事实），确认后加入列表底部并自动展开。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新增字段：点击事实类型卡片底部“+ 新增字段”按钮，填写字段名（英文，自动转驼峰）、业务说法（中文）和数据类型；若选择枚举类型，会多出“枚举值”输入框（逗号分隔）；若选择数字类型，可填单位、最小值、最大值；若选择字符串类型，可填最大长度和正则。确认后加入字段列表末尾。</w:t>
      </w:r>
    </w:p>
    <w:p>
      <w:pPr>
        <w:pStyle w:val="Heading2"/>
        <w:keepNext/>
        <w:spacing w:before="220" w:after="100"/>
      </w:pPr>
      <w:bookmarkStart w:id="30" w:name="_LarkToc00030"/>
      <w:r>
        <w:rPr>
          <w:rFonts w:ascii="Times New Roman" w:hAnsi="Times New Roman" w:eastAsia="黑体"/>
          <w:b/>
          <w:color w:val="000000"/>
          <w:sz w:val="28"/>
        </w:rPr>
        <w:t>5.4 编辑字段</w:t>
      </w:r>
      <w:bookmarkEnd w:id="3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字段行悬停后出现编辑与删除图标。编辑对话框预填当前值：中文业务说法可随时修改（BAL 显示名自动跟随）；数据类型变更会提示影响，例如数字转字符串后已有规则中的数字值需重填，枚举值删除后引用被删值的规则标红。</w:t>
      </w:r>
    </w:p>
    <w:p>
      <w:pPr>
        <w:pStyle w:val="Heading2"/>
        <w:keepNext/>
        <w:spacing w:before="220" w:after="100"/>
      </w:pPr>
      <w:bookmarkStart w:id="31" w:name="_LarkToc00031"/>
      <w:r>
        <w:rPr>
          <w:rFonts w:ascii="Times New Roman" w:hAnsi="Times New Roman" w:eastAsia="黑体"/>
          <w:b/>
          <w:color w:val="000000"/>
          <w:sz w:val="28"/>
        </w:rPr>
        <w:t>5.5 删除字段与事实类型</w:t>
      </w:r>
      <w:bookmarkEnd w:id="3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删除字段或事实类型前，系统列出引用它的全部规则并弹确认对话框，例如“该字段被以下 2 个规则引用……删除后这些规则将标红，直到你修改或删除它们”。被引用的字段不能直接删除，必须确认；删除后引用它的规则在资产列表标红警告，直到修改或删除这些规则。</w:t>
      </w:r>
    </w:p>
    <w:p>
      <w:pPr>
        <w:pStyle w:val="Heading2"/>
        <w:keepNext/>
        <w:spacing w:before="220" w:after="100"/>
      </w:pPr>
      <w:bookmarkStart w:id="32" w:name="_LarkToc00032"/>
      <w:r>
        <w:rPr>
          <w:rFonts w:ascii="Times New Roman" w:hAnsi="Times New Roman" w:eastAsia="黑体"/>
          <w:b/>
          <w:color w:val="000000"/>
          <w:sz w:val="28"/>
        </w:rPr>
        <w:t>5.6 BOM 变更影响分析</w:t>
      </w:r>
      <w:bookmarkEnd w:id="32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5-1 BOM 变更影响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变更类型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处理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新增事实类型 / 新增字段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直接保存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修改中文 label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BAL 显示名自动更新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直接保存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删除字段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引用该字段的规则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弹警告列表，确认后保存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修改字段类型（如 number→string）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引用该字段的规则值可能不合法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弹警告，确认后保存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删除枚举值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使用被删枚举值的规则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弹警告，确认后保存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删除事实类型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所有引用它的规则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弹警告，确认后保存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保存 BOM 时，后端自动重新生成 DRL 的 declare 块，右下角 DRL 预览实时更新。input 字段可标记执行时必填（required），缺失必填字段时测试与 Release 执行均返回 400，不会隐式补 0 或 false；required 不允许用于 output 字段。</w:t>
      </w:r>
    </w:p>
    <w:p>
      <w:pPr>
        <w:pStyle w:val="Heading2"/>
        <w:keepNext/>
        <w:spacing w:before="220" w:after="100"/>
      </w:pPr>
      <w:bookmarkStart w:id="33" w:name="_LarkToc00033"/>
      <w:r>
        <w:rPr>
          <w:rFonts w:ascii="Times New Roman" w:hAnsi="Times New Roman" w:eastAsia="黑体"/>
          <w:b/>
          <w:color w:val="000000"/>
          <w:sz w:val="28"/>
        </w:rPr>
        <w:t>5.7 数据类型与操作符</w:t>
      </w:r>
      <w:bookmarkEnd w:id="33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5-2 数据类型与可用操作符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可用操作符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计数、年龄、期数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/ 不等于 / 大于 / 小于 / 大于等于 / 小于等于 / 介于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Decimal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金额、利率、温湿度（精度敏感）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/ 不等于 / 大于 / 小于 / 大于等于 / 小于等于 / 介于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是否、开关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/ 不等于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文本、姓名、城市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/ 不等于 / 包含 / 不包含 / 开头是 / 结尾是 / 匹配正则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Enum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枚举值（如低/中/高）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 / 不是 / 属于 / 不属于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日期（生日、到期日）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/ 不等于 / 早于 / 晚于 / 介于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List&lt;String&gt;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多值（理由列表、标签）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包含 / 不包含 / 长度大于 / 长度小于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金额类字段统一使用 Decimal 业务类型（避免 Double 精度问题）。当前兼容实现将业务类型与运行时类型分离：Decimal 暂映射为 Double，Date 和 List&lt;String&gt; 暂映射为 String，前端只展示业务类型。</w:t>
      </w:r>
    </w:p>
    <w:p>
      <w:pPr>
        <w:pStyle w:val="Heading1"/>
        <w:keepNext/>
        <w:spacing w:before="280" w:after="120"/>
      </w:pPr>
      <w:bookmarkStart w:id="34" w:name="_LarkToc00034"/>
      <w:r>
        <w:rPr>
          <w:rFonts w:ascii="Times New Roman" w:hAnsi="Times New Roman" w:eastAsia="黑体"/>
          <w:b/>
          <w:color w:val="000000"/>
          <w:sz w:val="32"/>
        </w:rPr>
        <w:t>6 规则管理</w:t>
      </w:r>
      <w:bookmarkEnd w:id="34"/>
    </w:p>
    <w:p>
      <w:pPr>
        <w:pStyle w:val="Heading2"/>
        <w:keepNext/>
        <w:spacing w:before="220" w:after="100"/>
      </w:pPr>
      <w:bookmarkStart w:id="35" w:name="_LarkToc00035"/>
      <w:r>
        <w:rPr>
          <w:rFonts w:ascii="Times New Roman" w:hAnsi="Times New Roman" w:eastAsia="黑体"/>
          <w:b/>
          <w:color w:val="000000"/>
          <w:sz w:val="28"/>
        </w:rPr>
        <w:t>6.1 新建规则</w:t>
      </w:r>
      <w:bookmarkEnd w:id="3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在资产页选中规则包后，点击中栏资产列表顶部“+ 新建规则”按钮（或选中包后右键选择“新建规则”），弹出对话框：填写规则名称（必填），选择所属包（默认当前选中包），选择规则类型为 BAL 规则（默认）或决策表，可从模板创建（空规则或复制现有规则）。创建后自动打开右栏编辑器，状态为草稿。</w:t>
      </w:r>
    </w:p>
    <w:p>
      <w:pPr>
        <w:pStyle w:val="Heading2"/>
        <w:keepNext/>
        <w:spacing w:before="220" w:after="100"/>
      </w:pPr>
      <w:bookmarkStart w:id="36" w:name="_LarkToc00036"/>
      <w:r>
        <w:rPr>
          <w:rFonts w:ascii="Times New Roman" w:hAnsi="Times New Roman" w:eastAsia="黑体"/>
          <w:b/>
          <w:color w:val="000000"/>
          <w:sz w:val="28"/>
        </w:rPr>
        <w:t>6.2 BAL 编辑器</w:t>
      </w:r>
      <w:bookmarkEnd w:id="3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BAL（Business Action Language）是业务人员写规则的语言，不是 DRL。主视图永远是 BAL 自然语言，DRL 是编译产物，藏在“高级”折叠面板中只读查看。规则结构为：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规则“规则名”，当……（条件行），那么……（动作行）。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条件行语法为：量词 + 事实类型 + 的 + 字段 + 比较符 + 固定值/业务字段。量词支持“存在 / 所有 / 没有”（默认“一个”）；比较符根据字段类型联动（数字有大于/小于，字符串有包含，枚举有属于）；值区域可在“固定值 / 业务字段”之间切换，选择业务字段时下拉只列出同类型、input 方向且不是左字段自身的字段，没有兼容字段时禁用业务字段模式。多条件用“并且 / 或者”连接。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动作行语法为：设置 事实的字段 为 值；添加 理由 文本；移除 事实；插入 新事实类型。示例规则：规则“申请人未成年拒绝”：当一个借款申请人的年龄小于 18，那么设置贷款决定.批准 为 false，添加理由“申请人未成年”，设置贷款决定.风险等级 为“拒绝”。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每个条件与动作是一行卡片，所有下拉选择器都从 BOM 拉数据：事实类型下拉取 BOM 的事实类型，字段下拉取选中事实类型的字段，比较符和值输入控件根据字段类型自动切换（数字用数字输入框、枚举用下拉、日期用日期选择器、布尔用 true/false）。条件行支持添加、删除和上下箭头调整顺序。</w:t>
      </w:r>
    </w:p>
    <w:p>
      <w:pPr>
        <w:pStyle w:val="Heading2"/>
        <w:keepNext/>
        <w:spacing w:before="220" w:after="100"/>
      </w:pPr>
      <w:bookmarkStart w:id="37" w:name="_LarkToc00037"/>
      <w:r>
        <w:rPr>
          <w:rFonts w:ascii="Times New Roman" w:hAnsi="Times New Roman" w:eastAsia="黑体"/>
          <w:b/>
          <w:color w:val="000000"/>
          <w:sz w:val="28"/>
        </w:rPr>
        <w:t>6.3 保存、编译与提交</w:t>
      </w:r>
      <w:bookmarkEnd w:id="37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编辑器底部提供“保存草稿”“编译”“提交发布”操作：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</w:t>
      </w:r>
      <w:r>
        <w:rPr>
          <w:rFonts w:ascii="Times New Roman" w:hAnsi="Times New Roman" w:eastAsia="宋体"/>
          <w:color w:val="000000"/>
          <w:sz w:val="24"/>
        </w:rPr>
        <w:t>保存草稿：将结构化 BAL JSON 保存为草稿，草稿修订号加一；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</w:t>
      </w:r>
      <w:r>
        <w:rPr>
          <w:rFonts w:ascii="Times New Roman" w:hAnsi="Times New Roman" w:eastAsia="宋体"/>
          <w:color w:val="000000"/>
          <w:sz w:val="24"/>
        </w:rPr>
        <w:t>编译：后端生成 DRL 并调用 Drools 编译校验，校验不通过时返回错误；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</w:t>
      </w:r>
      <w:r>
        <w:rPr>
          <w:rFonts w:ascii="Times New Roman" w:hAnsi="Times New Roman" w:eastAsia="宋体"/>
          <w:color w:val="000000"/>
          <w:sz w:val="24"/>
        </w:rPr>
        <w:t>提交发布：进入审批流，作者不能自审自发（OIDC 模式禁止提交人审批自己的变更）。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规则以结构化 JSON 保存（不是字符串），BAL 文本只是 JSON 的渲染形式，这样 BOM 变更时可以程序化分析影响。规则属性面板支持优先级、命中策略和有效日期配置。</w:t>
      </w:r>
    </w:p>
    <w:p>
      <w:pPr>
        <w:pStyle w:val="Heading2"/>
        <w:keepNext/>
        <w:spacing w:before="220" w:after="100"/>
      </w:pPr>
      <w:bookmarkStart w:id="38" w:name="_LarkToc00038"/>
      <w:r>
        <w:rPr>
          <w:rFonts w:ascii="Times New Roman" w:hAnsi="Times New Roman" w:eastAsia="黑体"/>
          <w:b/>
          <w:color w:val="000000"/>
          <w:sz w:val="28"/>
        </w:rPr>
        <w:t>6.4 复制、重命名、移动与删除</w:t>
      </w:r>
      <w:bookmarkEnd w:id="3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在资产列表右键规则行可执行复制（复制 BAL JSON、属性和描述，状态为草稿，用于基于现有规则生成变体）、重命名（右栏编辑器顶部直接编辑，列表同步更新）、移动到其他包（规则的归属随包更新）和删除。删除已发布规则时会警告“该规则已在某版本发布，删除后需要构建新 Release 才能生效”，确认后软删除（归档），可恢复。</w:t>
      </w:r>
    </w:p>
    <w:p>
      <w:pPr>
        <w:pStyle w:val="Heading2"/>
        <w:keepNext/>
        <w:spacing w:before="220" w:after="100"/>
      </w:pPr>
      <w:bookmarkStart w:id="39" w:name="_LarkToc00039"/>
      <w:r>
        <w:rPr>
          <w:rFonts w:ascii="Times New Roman" w:hAnsi="Times New Roman" w:eastAsia="黑体"/>
          <w:b/>
          <w:color w:val="000000"/>
          <w:sz w:val="28"/>
        </w:rPr>
        <w:t>6.5 与 BOM 的联动</w:t>
      </w:r>
      <w:bookmarkEnd w:id="39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6-1 BOM 变化对规则的影响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BOM 变化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编辑器反应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新增事实类型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事实类型下拉自动出现新选项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新增字段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选中该事实类型后，字段下拉出现新字段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删除字段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所有引用该字段的规则标红警告，不允许保存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字段类型变更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引用该字段的规则值输入框类型变化，不匹配的值标红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修改字段中文名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BAL 显示名自动更新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枚举值增减</w:t>
            </w:r>
          </w:p>
        </w:tc>
        <w:tc>
          <w:tcPr>
            <w:tcW w:type="dxa" w:w="604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枚举字段的值下拉自动更新，被删枚举值在规则中标红</w:t>
            </w:r>
          </w:p>
        </w:tc>
      </w:tr>
    </w:tbl>
    <w:p>
      <w:pPr>
        <w:pStyle w:val="Heading1"/>
        <w:keepNext/>
        <w:spacing w:before="280" w:after="120"/>
      </w:pPr>
      <w:bookmarkStart w:id="40" w:name="_LarkToc00040"/>
      <w:r>
        <w:rPr>
          <w:rFonts w:ascii="Times New Roman" w:hAnsi="Times New Roman" w:eastAsia="黑体"/>
          <w:b/>
          <w:color w:val="000000"/>
          <w:sz w:val="32"/>
        </w:rPr>
        <w:t>7 决策表管理</w:t>
      </w:r>
      <w:bookmarkEnd w:id="40"/>
    </w:p>
    <w:p>
      <w:pPr>
        <w:pStyle w:val="Heading2"/>
        <w:keepNext/>
        <w:spacing w:before="220" w:after="100"/>
      </w:pPr>
      <w:bookmarkStart w:id="41" w:name="_LarkToc00041"/>
      <w:r>
        <w:rPr>
          <w:rFonts w:ascii="Times New Roman" w:hAnsi="Times New Roman" w:eastAsia="黑体"/>
          <w:b/>
          <w:color w:val="000000"/>
          <w:sz w:val="28"/>
        </w:rPr>
        <w:t>7.1 新建决策表</w:t>
      </w:r>
      <w:bookmarkEnd w:id="4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决策表适合多条件、多结果、枚举型业务（如风险等级、利率定价）。在“+ 新建规则”下拉中选择“决策表”，填写名称、所属包，从 BOM 选择初始列（自动区分条件列与动作列），并选择命中策略（默认 COLLECT）。创建后打开类 Excel 网格编辑器，默认一行空行。</w:t>
      </w:r>
    </w:p>
    <w:p>
      <w:pPr>
        <w:pStyle w:val="Heading2"/>
        <w:keepNext/>
        <w:spacing w:before="220" w:after="100"/>
      </w:pPr>
      <w:bookmarkStart w:id="42" w:name="_LarkToc00042"/>
      <w:r>
        <w:rPr>
          <w:rFonts w:ascii="Times New Roman" w:hAnsi="Times New Roman" w:eastAsia="黑体"/>
          <w:b/>
          <w:color w:val="000000"/>
          <w:sz w:val="28"/>
        </w:rPr>
        <w:t>7.2 网格编辑操作</w:t>
      </w:r>
      <w:bookmarkEnd w:id="4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决策表是中文结构化表格编辑器：每一行是一条规则，每一列是 BOM 的一个字段，空单元格表示通配（任意值都命中）。点击单元格直接编辑，Tab 跳下一单元格，Enter 跳下一行。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列头为两级结构（事实类型分组 / 字段名），业务术语以蓝色虚线下划线显示。通过“+ 添加条件列”和“+ 添加动作列”从 BOM 选择字段新增列（条件列只列 input 字段，动作列只列 output 字段）；列头右键可删除列、改列类型（条件与动作互换）或冻结列。行号列固定在最左，右键可插入、删除、复制行。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空单元格以浅灰底显示，悬停提示“留空 = 通配”。类型不匹配时单元格红底，非法表达式（如 600..abc）红框提示；枚举值点击单元格弹出下拉，只能选 BOM 定义的枚举值。</w:t>
      </w:r>
    </w:p>
    <w:p>
      <w:pPr>
        <w:pStyle w:val="Heading2"/>
        <w:keepNext/>
        <w:spacing w:before="220" w:after="100"/>
      </w:pPr>
      <w:bookmarkStart w:id="43" w:name="_LarkToc00043"/>
      <w:r>
        <w:rPr>
          <w:rFonts w:ascii="Times New Roman" w:hAnsi="Times New Roman" w:eastAsia="黑体"/>
          <w:b/>
          <w:color w:val="000000"/>
          <w:sz w:val="28"/>
        </w:rPr>
        <w:t>7.3 单元格语法</w:t>
      </w:r>
      <w:bookmarkEnd w:id="43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7-1 决策表单元格语法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字段类型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写法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number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600..700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区间（含两端）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number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[600,700) / (600,700]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可配置开闭边界（半开区间）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number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&gt;=700 / &lt;50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比较符 + 值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number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等于 600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enum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低,中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枚举值任意一个命中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包含“逾期”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字符串操作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true / false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布尔值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空单元格</w:t>
            </w:r>
          </w:p>
        </w:tc>
        <w:tc>
          <w:tcPr>
            <w:tcW w:type="dxa" w:w="254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（留空）</w:t>
            </w:r>
          </w:p>
        </w:tc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通配，任意值都命中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注意：区间写法 a..b 是闭区间，..b 等价于小于等于；表达严格小于请使用内联比较符（如 &lt;0.8）。这是决策表使用中最容易踩的边界陷阱。</w:t>
      </w:r>
    </w:p>
    <w:p>
      <w:pPr>
        <w:pStyle w:val="Heading2"/>
        <w:keepNext/>
        <w:spacing w:before="220" w:after="100"/>
      </w:pPr>
      <w:bookmarkStart w:id="44" w:name="_LarkToc00044"/>
      <w:r>
        <w:rPr>
          <w:rFonts w:ascii="Times New Roman" w:hAnsi="Times New Roman" w:eastAsia="黑体"/>
          <w:b/>
          <w:color w:val="000000"/>
          <w:sz w:val="28"/>
        </w:rPr>
        <w:t>7.4 命中策略</w:t>
      </w:r>
      <w:bookmarkEnd w:id="44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7-2 决策表命中策略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45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策略</w:t>
            </w:r>
          </w:p>
        </w:tc>
        <w:tc>
          <w:tcPr>
            <w:tcW w:type="dxa" w:w="762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145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COLLECT</w:t>
            </w:r>
          </w:p>
        </w:tc>
        <w:tc>
          <w:tcPr>
            <w:tcW w:type="dxa" w:w="762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所有命中行都执行，动作累加（推荐）</w:t>
            </w:r>
          </w:p>
        </w:tc>
      </w:tr>
      <w:tr>
        <w:trPr>
          <w:cantSplit/>
        </w:trPr>
        <w:tc>
          <w:tcPr>
            <w:tcW w:type="dxa" w:w="145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ALL</w:t>
            </w:r>
          </w:p>
        </w:tc>
        <w:tc>
          <w:tcPr>
            <w:tcW w:type="dxa" w:w="762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所有匹配行按显示顺序执行，后执行行可覆盖前一行写入的同一结果字段</w:t>
            </w:r>
          </w:p>
        </w:tc>
      </w:tr>
      <w:tr>
        <w:trPr>
          <w:cantSplit/>
        </w:trPr>
        <w:tc>
          <w:tcPr>
            <w:tcW w:type="dxa" w:w="145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FIRST</w:t>
            </w:r>
          </w:p>
        </w:tc>
        <w:tc>
          <w:tcPr>
            <w:tcW w:type="dxa" w:w="762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第一行命中就停，下面不跑（通过 activation-group 保证只执行一行）</w:t>
            </w:r>
          </w:p>
        </w:tc>
      </w:tr>
      <w:tr>
        <w:trPr>
          <w:cantSplit/>
        </w:trPr>
        <w:tc>
          <w:tcPr>
            <w:tcW w:type="dxa" w:w="145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PRIORITY</w:t>
            </w:r>
          </w:p>
        </w:tc>
        <w:tc>
          <w:tcPr>
            <w:tcW w:type="dxa" w:w="762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按行优先级排序，高优先级先执行（同优先级按显示顺序）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命中策略在规则集配置中全局设置，决策表本身不重复。旧版本决策表未包含 hitPolicy 时按 ALL 解释，不修改已发布快照。</w:t>
      </w:r>
    </w:p>
    <w:p>
      <w:pPr>
        <w:pStyle w:val="Heading2"/>
        <w:keepNext/>
        <w:spacing w:before="220" w:after="100"/>
      </w:pPr>
      <w:bookmarkStart w:id="45" w:name="_LarkToc00045"/>
      <w:r>
        <w:rPr>
          <w:rFonts w:ascii="Times New Roman" w:hAnsi="Times New Roman" w:eastAsia="黑体"/>
          <w:b/>
          <w:color w:val="000000"/>
          <w:sz w:val="28"/>
        </w:rPr>
        <w:t>7.5 冲突与覆盖检测</w:t>
      </w:r>
      <w:bookmarkEnd w:id="4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编辑器实时做静态分析并在试运行时返回实际命中轨迹，诊断分为错误、警告和提示三级，覆盖重复行、动作冲突、不可达行、条件域为空、全空通配、普通重叠、缺口与分析能力限制。例如某行被上方全通配行覆盖时提示“该行被通配行覆盖，FIRST 策略下不会执行”。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多个规则或行写入同一输出字段时采用确定性“后写覆盖”语义（COLLECT/ALL 下后执行行覆盖前行），平台文档明确该语义，业务优先级须靠步骤顺序或引擎外归并保证；可配置的归并策略（取最大/最后/聚合）为后续待办。</w:t>
      </w:r>
    </w:p>
    <w:p>
      <w:pPr>
        <w:pStyle w:val="Heading2"/>
        <w:keepNext/>
        <w:spacing w:before="220" w:after="100"/>
      </w:pPr>
      <w:bookmarkStart w:id="46" w:name="_LarkToc00046"/>
      <w:r>
        <w:rPr>
          <w:rFonts w:ascii="Times New Roman" w:hAnsi="Times New Roman" w:eastAsia="黑体"/>
          <w:b/>
          <w:color w:val="000000"/>
          <w:sz w:val="28"/>
        </w:rPr>
        <w:t>7.6 导入与导出</w:t>
      </w:r>
      <w:bookmarkEnd w:id="4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决策表支持 XLSX/CSV 导入导出、列匹配校验和应用前行级差异预览。导入应用后仍通过正常保存与乐观锁流程持久化。</w:t>
      </w:r>
    </w:p>
    <w:p>
      <w:pPr>
        <w:pStyle w:val="Heading1"/>
        <w:keepNext/>
        <w:spacing w:before="280" w:after="120"/>
      </w:pPr>
      <w:bookmarkStart w:id="47" w:name="_LarkToc00047"/>
      <w:r>
        <w:rPr>
          <w:rFonts w:ascii="Times New Roman" w:hAnsi="Times New Roman" w:eastAsia="黑体"/>
          <w:b/>
          <w:color w:val="000000"/>
          <w:sz w:val="32"/>
        </w:rPr>
        <w:t>8 规则流管理</w:t>
      </w:r>
      <w:bookmarkEnd w:id="47"/>
    </w:p>
    <w:p>
      <w:pPr>
        <w:pStyle w:val="Heading2"/>
        <w:keepNext/>
        <w:spacing w:before="220" w:after="100"/>
      </w:pPr>
      <w:bookmarkStart w:id="48" w:name="_LarkToc00048"/>
      <w:r>
        <w:rPr>
          <w:rFonts w:ascii="Times New Roman" w:hAnsi="Times New Roman" w:eastAsia="黑体"/>
          <w:b/>
          <w:color w:val="000000"/>
          <w:sz w:val="28"/>
        </w:rPr>
        <w:t>8.1 规则流概念与拓扑约束</w:t>
      </w:r>
      <w:bookmarkEnd w:id="4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规则流是对规则与决策表执行顺序的编排，支持公共线性步骤、单个排他条件网关、默认分支和节点输入输出映射。它不是 BPMN/jBPM 流程，不包含多级/并行网关、人工任务、审批或定时器。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合法拓扑为：开始 → 公共步骤（0..N）→ 可选排他网关 → 分支步骤（1..N）→ 结束。约束包括：开始节点无入边且只有一条出边；结束节点无出边；普通任务节点最多一条入边和一条出边；整个流程最多一个排他网关，网关最多 8 条出边且最多一条默认分支；禁止回边、跨分支连接、网关到网关、分支重新汇入公共步骤；全部公共与分支步骤合计最多 20 个；每个分支至少一个步骤。</w:t>
      </w:r>
    </w:p>
    <w:p>
      <w:pPr>
        <w:pStyle w:val="Heading2"/>
        <w:keepNext/>
        <w:spacing w:before="220" w:after="100"/>
      </w:pPr>
      <w:bookmarkStart w:id="49" w:name="_LarkToc00049"/>
      <w:r>
        <w:rPr>
          <w:rFonts w:ascii="Times New Roman" w:hAnsi="Times New Roman" w:eastAsia="黑体"/>
          <w:b/>
          <w:color w:val="000000"/>
          <w:sz w:val="28"/>
        </w:rPr>
        <w:t>8.2 画布编辑</w:t>
      </w:r>
      <w:bookmarkEnd w:id="4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规则流以画布作为主要编辑界面（参考 Dify Workflow 交互），支持节点拖拽、选中、连接、缩放（0.5–1.5 倍）、小地图、自动布局和撤销/重做（最多 30 步）。节点位置存入草稿元数据，刷新后恢复。</w:t>
      </w:r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8-1 规则流节点类型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视觉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可编辑内容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开始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绿色圆形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系统节点，不可删除，只能拖动位置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结束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红色圆形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系统节点，不可删除，只能拖动位置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Group（规则组）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品牌蓝矩形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包选择、包含子包、成员预览、字段映射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决策表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紫色矩形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资产选择、只读摘要、字段映射、打开编辑器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单条规则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蓝灰矩形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资产选择、只读摘要、字段映射、打开编辑器</w:t>
            </w:r>
          </w:p>
        </w:tc>
      </w:tr>
      <w:tr>
        <w:trPr>
          <w:cantSplit/>
        </w:trPr>
        <w:tc>
          <w:tcPr>
            <w:tcW w:type="dxa" w:w="197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排他网关</w:t>
            </w:r>
          </w:p>
        </w:tc>
        <w:tc>
          <w:tcPr>
            <w:tcW w:type="dxa" w:w="164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琥珀色菱形</w:t>
            </w:r>
          </w:p>
        </w:tc>
        <w:tc>
          <w:tcPr>
            <w:tcW w:type="dxa" w:w="544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名称、条件分支和默认分支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左侧节点面板显示规则包（含中文名、技术名、规则数和决策表数，可搜索并拖入画布）、单个已发布决策表、单条已发布规则和流程控制（仅排他网关）。拖入规则包创建 Rule Group 节点；拖入单个规则或决策表创建对应步骤。分支标签显示条件摘要，默认分支显示“默认”；分支纵向顺序即判断优先级，调整优先级必须通过抽屉中的排序控件，避免视觉位置意外改变业务语义。</w:t>
      </w:r>
    </w:p>
    <w:p>
      <w:pPr>
        <w:pStyle w:val="Heading2"/>
        <w:keepNext/>
        <w:spacing w:before="220" w:after="100"/>
      </w:pPr>
      <w:bookmarkStart w:id="50" w:name="_LarkToc00050"/>
      <w:r>
        <w:rPr>
          <w:rFonts w:ascii="Times New Roman" w:hAnsi="Times New Roman" w:eastAsia="黑体"/>
          <w:b/>
          <w:color w:val="000000"/>
          <w:sz w:val="28"/>
        </w:rPr>
        <w:t>8.3 Rule Group 规则组</w:t>
      </w:r>
      <w:bookmarkEnd w:id="5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Rule Group 是规则流内部的一种步骤节点，不是一等资产，没有独立 CRUD、版本、变更集或发布流程。节点引用一个规则包（selector），可勾选“包含子包”（默认关闭，开启后同时选择所有 packageName.* 子包）。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第一版解析的成员为已发布 BAL 规则和已发布决策表，不包含草稿、已归档资产和规则流。节点抽屉显示已发布规则数、已发布决策表数、因未发布而排除的资产数，以及实际成员名称、类型和最新已发布版本。包内没有任何已发布可执行资产时允许保存草稿，但编译和发布必须失败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规则流发布时，每个 Rule Group 冻结为成员清单（类型、ID、名称、版本、BOM 版本）、成员指纹（memberFingerprint，对稳定排序的 type/id/version 计算 SHA-256）、组合 DRL 和字段映射。以下变化会让已发布规则流标记为需要重新发布（needsRepublish）：包内新增或移除已发布资产；资产发布新版本、归档或移动到其他包；子包发生上述变化；Rule Group 使用的 BOM 版本与当前项目 BOM 不一致。已经发布的规则流版本和 Release 继续使用原冻结成员，不受这些变化影响。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同一路径重复执行同一资产属于错误，阻止编译和发布；不同排他分支上的重复资产不冲突（单次请求只执行一条分支）。多个不同资产写同一输出字段属于警告，保持后写覆盖语义，编辑器以折叠横幅和节点抽屉显示写者链。</w:t>
      </w:r>
    </w:p>
    <w:p>
      <w:pPr>
        <w:pStyle w:val="Heading2"/>
        <w:keepNext/>
        <w:spacing w:before="220" w:after="100"/>
      </w:pPr>
      <w:bookmarkStart w:id="51" w:name="_LarkToc00051"/>
      <w:r>
        <w:rPr>
          <w:rFonts w:ascii="Times New Roman" w:hAnsi="Times New Roman" w:eastAsia="黑体"/>
          <w:b/>
          <w:color w:val="000000"/>
          <w:sz w:val="28"/>
        </w:rPr>
        <w:t>8.4 排他网关与字段映射</w:t>
      </w:r>
      <w:bookmarkEnd w:id="5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排他网关配置条件分支列表及顺序，每个分支使用 BOM 类型驱动的字段、运算符和值控件；整个网关最多一个默认分支。条件分支按显示顺序判断，选择第一条匹配路径；全部条件不满足时选择唯一默认分支；没有默认分支时允许不执行任何分支步骤。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每个步骤支持输入/输出字段映射：输入映射在节点执行前赋值（目标必须是 input 字段），输出映射在节点执行后赋值（源必须是 output 字段）；源和目标必须属于同一冻结 BOM 且类型一致；源和目标不能相同，目标不能重复，每个方向最多 20 项；未配置映射时保持同名字段自动传递。</w:t>
      </w:r>
    </w:p>
    <w:p>
      <w:pPr>
        <w:pStyle w:val="Heading2"/>
        <w:keepNext/>
        <w:spacing w:before="220" w:after="100"/>
      </w:pPr>
      <w:bookmarkStart w:id="52" w:name="_LarkToc00052"/>
      <w:r>
        <w:rPr>
          <w:rFonts w:ascii="Times New Roman" w:hAnsi="Times New Roman" w:eastAsia="黑体"/>
          <w:b/>
          <w:color w:val="000000"/>
          <w:sz w:val="28"/>
        </w:rPr>
        <w:t>8.5 校验、发布与依赖管理</w:t>
      </w:r>
      <w:bookmarkEnd w:id="5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编辑器头显示规则流名称、草稿修订、已发布版本、依赖状态（当前 / 需要重新发布）和校验状态（未校验 / 校验通过 / 草稿已变更）。任意本地编辑后校验状态立即变为“草稿已变更”。操作区提供撤销、重做、自动布局、保存、校验和发布；发布前必须先保存，服务端发布仍会重新执行完整校验。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可折叠诊断横幅默认显示一行摘要（如“多个步骤会写入同一输出字段（3 个字段）”），展开后按严重性显示：错误（空 Rule Group、同一路径重复执行资产、引用不存在、BOM 不一致、非法拓扑）阻止校验通过和发布；警告（输出字段覆盖、依赖变化需重新发布、草稿资产被排除）和提示（成员数量、包含子包范围、最大 firing 限制）供参考。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保存携带修订号（If-Match），发生 409 并发冲突时保留本地画布、节点和撤销栈，显示服务器最新修订号，允许查看服务器版本或显式载入，不自动覆盖本地草稿。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规则流发布时冻结步骤资产版本、DRL、BOM、分支条件和映射，每次发布都会生成不可变版本。设计期调试支持运行到指定节点（stopAfter）、路径断言（expectedPath）和失败节点定位，调试参数不会写入草稿或 Release，也不会发送给生产 RES。</w:t>
      </w:r>
    </w:p>
    <w:p>
      <w:pPr>
        <w:pStyle w:val="Heading1"/>
        <w:keepNext/>
        <w:spacing w:before="280" w:after="120"/>
      </w:pPr>
      <w:bookmarkStart w:id="53" w:name="_LarkToc00053"/>
      <w:r>
        <w:rPr>
          <w:rFonts w:ascii="Times New Roman" w:hAnsi="Times New Roman" w:eastAsia="黑体"/>
          <w:b/>
          <w:color w:val="000000"/>
          <w:sz w:val="32"/>
        </w:rPr>
        <w:t>9 CEP 事件流管理</w:t>
      </w:r>
      <w:bookmarkEnd w:id="53"/>
    </w:p>
    <w:p>
      <w:pPr>
        <w:pStyle w:val="Heading2"/>
        <w:keepNext/>
        <w:spacing w:before="220" w:after="100"/>
      </w:pPr>
      <w:bookmarkStart w:id="54" w:name="_LarkToc00054"/>
      <w:r>
        <w:rPr>
          <w:rFonts w:ascii="Times New Roman" w:hAnsi="Times New Roman" w:eastAsia="黑体"/>
          <w:b/>
          <w:color w:val="000000"/>
          <w:sz w:val="28"/>
        </w:rPr>
        <w:t>9.1 CEP 项目与事件流概述</w:t>
      </w:r>
      <w:bookmarkEnd w:id="5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CEP（复杂事件处理）是平台的第二引擎（Esper 8.8.0），与 Drools 规则引擎并行。CEP 项目（engine=cep）的资产链路为：BOM（eventTypes）→ EventStream（EPL 语句）→ 编译验证 → 测试套件 → Release → 部署（CEP Runtime）→ 执行。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EventStream 资产包含多条检测语句。平台目标是让业务人员使用 BOM 词汇配置事件检测规则，由平台生成和校验 EPL，而不是把 SQL 文本框搬到浏览器。向导式编辑是默认主视图，高级 EPL 是次级能力（仅供熟悉 Esper 的规则开发人员处理模板暂不覆盖的场景）。</w:t>
      </w:r>
    </w:p>
    <w:p>
      <w:pPr>
        <w:pStyle w:val="Heading2"/>
        <w:keepNext/>
        <w:spacing w:before="220" w:after="100"/>
      </w:pPr>
      <w:bookmarkStart w:id="55" w:name="_LarkToc00055"/>
      <w:r>
        <w:rPr>
          <w:rFonts w:ascii="Times New Roman" w:hAnsi="Times New Roman" w:eastAsia="黑体"/>
          <w:b/>
          <w:color w:val="000000"/>
          <w:sz w:val="28"/>
        </w:rPr>
        <w:t>9.2 新建 EventStream</w:t>
      </w:r>
      <w:bookmarkEnd w:id="5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在事件流页点击“新建”，系统基于 BOM 的第一个输入事件类型创建一条“单点阈值”向导语句，自动选择第一个数值字段（没有数值字段时选择第一个可检测字段）。中栏直接显示向导表单（事件源、检测字段、操作符、阈值），右栏实时显示生成的 EPL（只读，不可直接编辑）。BOM 尚未加载完成时“新建”按钮不可用；CEP 项目没有有效事件类型时，应先完成 BOM 建模。</w:t>
      </w:r>
    </w:p>
    <w:p>
      <w:pPr>
        <w:pStyle w:val="Heading2"/>
        <w:keepNext/>
        <w:spacing w:before="220" w:after="100"/>
      </w:pPr>
      <w:bookmarkStart w:id="56" w:name="_LarkToc00056"/>
      <w:r>
        <w:rPr>
          <w:rFonts w:ascii="Times New Roman" w:hAnsi="Times New Roman" w:eastAsia="黑体"/>
          <w:b/>
          <w:color w:val="000000"/>
          <w:sz w:val="28"/>
        </w:rPr>
        <w:t>9.3 检测语句创作</w:t>
      </w:r>
      <w:bookmarkEnd w:id="5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新建检测语句的主入口为“从向导新建”，展示模板名称和业务说明；高级 EPL 使用独立的代码图标入口。语句 ID 必须是英文标识符，中文检测名通过 label 表达（用于资产列表、测试报告和命中轨迹）。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向导与高级模式切换：从向导进入高级模式时保留当前生成 EPL，用户明确进入后才允许修改文本；高级文本一旦偏离模板生成结果，保存或重新生成前必须选择“保留高级 EPL”或“覆盖为模板生成”。选择保留后该语句成为纯高级语句；从高级返回向导只有在仍保留模板元数据且 EPL 未偏离时才能直接恢复。历史数据没有模式与模板元数据时按高级 EPL 打开，运行语义保持不变。</w:t>
      </w:r>
    </w:p>
    <w:p>
      <w:pPr>
        <w:pStyle w:val="Heading2"/>
        <w:keepNext/>
        <w:spacing w:before="220" w:after="100"/>
      </w:pPr>
      <w:bookmarkStart w:id="57" w:name="_LarkToc00057"/>
      <w:r>
        <w:rPr>
          <w:rFonts w:ascii="Times New Roman" w:hAnsi="Times New Roman" w:eastAsia="黑体"/>
          <w:b/>
          <w:color w:val="000000"/>
          <w:sz w:val="28"/>
        </w:rPr>
        <w:t>9.4 模板能力</w:t>
      </w:r>
      <w:bookmarkEnd w:id="57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9-1 已支持检测语句模板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模板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业务语义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主要参数</w:t>
            </w:r>
          </w:p>
        </w:tc>
      </w:tr>
      <w:tr>
        <w:trPr>
          <w:cantSplit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单点阈值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单条事件字段满足比较条件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事件源、字段、操作符、阈值</w:t>
            </w:r>
          </w:p>
        </w:tc>
      </w:tr>
      <w:tr>
        <w:trPr>
          <w:cantSplit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窗口均值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窗口内字段均值满足条件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窗口、分组、字段、操作符、阈值</w:t>
            </w:r>
          </w:p>
        </w:tc>
      </w:tr>
      <w:tr>
        <w:trPr>
          <w:cantSplit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窗口波动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窗口内最大值与最小值差超限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窗口、分组、字段、差值</w:t>
            </w:r>
          </w:p>
        </w:tc>
      </w:tr>
      <w:tr>
        <w:trPr>
          <w:cantSplit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事件计数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窗口内事件数量达到阈值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窗口、分组、次数</w:t>
            </w:r>
          </w:p>
        </w:tc>
      </w:tr>
      <w:tr>
        <w:trPr>
          <w:cantSplit/>
        </w:trPr>
        <w:tc>
          <w:tcPr>
            <w:tcW w:type="dxa" w:w="131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窗口求和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窗口内字段合计达到阈值</w:t>
            </w:r>
          </w:p>
        </w:tc>
        <w:tc>
          <w:tcPr>
            <w:tcW w:type="dxa" w:w="412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窗口、分组、字段、阈值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窗口模板支持滑动窗口（#time(n)）与跳跃窗口（#time_batch(n)），时间单位支持秒、分钟、小时。当前均使用 Esper 处理时间（系统时钟推进），不按业务 eventTime 回放，右栏常驻提示该语义。窗口均值、窗口波动和窗口求和只允许数值字段，分组字段优先推荐 eventKey、warehouseId、sensorId、source。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时间驱动语句（pattern/timer）已由平台支持：周期触发（every timer:interval）、进入状态后计时（事件 A 后 timer N）、超时/缺席检测（timer + not 跟随事件）、双事件时序（followed-by + timer:within）。部署运行时的 timer 输出由部署级 listener 持续捕获并通过 webhook 异步推送，不依赖 HTTP 请求保持等待。</w:t>
      </w:r>
    </w:p>
    <w:p>
      <w:pPr>
        <w:pStyle w:val="Heading2"/>
        <w:keepNext/>
        <w:spacing w:before="220" w:after="100"/>
      </w:pPr>
      <w:bookmarkStart w:id="58" w:name="_LarkToc00058"/>
      <w:r>
        <w:rPr>
          <w:rFonts w:ascii="Times New Roman" w:hAnsi="Times New Roman" w:eastAsia="黑体"/>
          <w:b/>
          <w:color w:val="000000"/>
          <w:sz w:val="28"/>
        </w:rPr>
        <w:t>9.5 保存、编译、测试与发布</w:t>
      </w:r>
      <w:bookmarkEnd w:id="58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保存：先调用真实 Esper 编译当前草稿，编译通过后保存并显示新修订号；编译：只校验当前未保存草稿，不改变修订号，成功后显示“编译通过”；保存并新建测试：保存草稿并创建测试套件骨架（允许目标尚未发布，以支持先准备测试数据和断言，草稿阶段创建的测试套件显示“待目标发布”，不能运行也不参与门禁）；保存并发布：保存草稿后生成新的 EventStream 资产版本，不等同于创建或部署 Release。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EventStream 最多 100 条语句，达到上限时禁用新建入口并说明原因。禁用语句保留在草稿和版本信息中，但不进入运行时模块。编译错误关联到语句 ID。</w:t>
      </w:r>
    </w:p>
    <w:p>
      <w:pPr>
        <w:pStyle w:val="Heading2"/>
        <w:keepNext/>
        <w:spacing w:before="220" w:after="100"/>
      </w:pPr>
      <w:bookmarkStart w:id="59" w:name="_LarkToc00059"/>
      <w:r>
        <w:rPr>
          <w:rFonts w:ascii="Times New Roman" w:hAnsi="Times New Roman" w:eastAsia="黑体"/>
          <w:b/>
          <w:color w:val="000000"/>
          <w:sz w:val="28"/>
        </w:rPr>
        <w:t>9.6 删除语义</w:t>
      </w:r>
      <w:bookmarkEnd w:id="5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删除 EventStream 资产是软删除（archived=true），不物理清除版本历史；必须提供当前修订号，过期修订返回 409；资产处于已提交变更集时返回 409；删除已发布资产须二次确认并显示已发布版本；既有 Release 是不可变制品，删除资产不影响其部署、执行和审计；删除后不能再以该资产创建新 Release。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删除检测语句只修改当前草稿，保存后生效，须二次确认；EventStream 至少保留一条语句，最后一条不能删除。删除派生事件生产语句后，若其他语句仍引用其输出，保存/编译必须失败并指出引用语句。</w:t>
      </w:r>
    </w:p>
    <w:p>
      <w:pPr>
        <w:pStyle w:val="Heading2"/>
        <w:keepNext/>
        <w:spacing w:before="220" w:after="100"/>
      </w:pPr>
      <w:bookmarkStart w:id="60" w:name="_LarkToc00060"/>
      <w:r>
        <w:rPr>
          <w:rFonts w:ascii="Times New Roman" w:hAnsi="Times New Roman" w:eastAsia="黑体"/>
          <w:b/>
          <w:color w:val="000000"/>
          <w:sz w:val="28"/>
        </w:rPr>
        <w:t>9.7 CEP 执行与业务对接</w:t>
      </w:r>
      <w:bookmarkEnd w:id="6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CEP Runtime 提供四类接口：同步执行（POST /execute，传入 releaseId、requestId 和 events，返回等待窗口内的检测结果）；持续上报（POST /events/{releaseId}，返回 202，适合业务系统持续注入事件）；异步告警（配置 webhook 后，部署级 listener 持续捕获 timer/pattern 输出并推送告警）；监控（/metrics、/openapi.json）。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业务消费侧需注意：引擎按事件评估，历史事件累积时一次执行可返回多条同语句命中，需按状态变化去重；同步响应与异步输出需区分，waitMs 只决定本次 HTTP 响应是否带回短窗口输出，长周期 timer 输出由部署级 listener 通过 webhook 推送。</w:t>
      </w:r>
    </w:p>
    <w:p>
      <w:pPr>
        <w:pStyle w:val="Heading1"/>
        <w:keepNext/>
        <w:spacing w:before="280" w:after="120"/>
      </w:pPr>
      <w:bookmarkStart w:id="61" w:name="_LarkToc00061"/>
      <w:r>
        <w:rPr>
          <w:rFonts w:ascii="Times New Roman" w:hAnsi="Times New Roman" w:eastAsia="黑体"/>
          <w:b/>
          <w:color w:val="000000"/>
          <w:sz w:val="32"/>
        </w:rPr>
        <w:t>10 测试套件</w:t>
      </w:r>
      <w:bookmarkEnd w:id="61"/>
    </w:p>
    <w:p>
      <w:pPr>
        <w:pStyle w:val="Heading2"/>
        <w:keepNext/>
        <w:spacing w:before="220" w:after="100"/>
      </w:pPr>
      <w:bookmarkStart w:id="62" w:name="_LarkToc00062"/>
      <w:r>
        <w:rPr>
          <w:rFonts w:ascii="Times New Roman" w:hAnsi="Times New Roman" w:eastAsia="黑体"/>
          <w:b/>
          <w:color w:val="000000"/>
          <w:sz w:val="28"/>
        </w:rPr>
        <w:t>10.1 新建测试套件</w:t>
      </w:r>
      <w:bookmarkEnd w:id="6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测试套件按项目隔离，目标必须是本项目已发布的规则、决策表或规则流。在测试套件页可创建套件，填写名称并选择目标资产；套件只运行本项目的已发布资产。草稿目标创建的套件显示“待目标发布”，不能运行也不参与发布门禁；目标发布后自动解析到最新已发布版本。</w:t>
      </w:r>
    </w:p>
    <w:p>
      <w:pPr>
        <w:pStyle w:val="Heading2"/>
        <w:keepNext/>
        <w:spacing w:before="220" w:after="100"/>
      </w:pPr>
      <w:bookmarkStart w:id="63" w:name="_LarkToc00063"/>
      <w:r>
        <w:rPr>
          <w:rFonts w:ascii="Times New Roman" w:hAnsi="Times New Roman" w:eastAsia="黑体"/>
          <w:b/>
          <w:color w:val="000000"/>
          <w:sz w:val="28"/>
        </w:rPr>
        <w:t>10.2 用例与参数化</w:t>
      </w:r>
      <w:bookmarkEnd w:id="63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每个测试用例包含基础输入事实，以及至少一个输出、命中规则或规则流路径断言。案例可配置最多 100 个命名参数行（parameters[]），参数行与基础输入浅合并形成独立执行，参数只能覆盖 BOM 输入字段；单套件展开后最多执行 1000 次。报告固定记录目标资产版本、逐案例断言、失败原因和耗时。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未提供的可选输入保持未赋值；冻结 BOM 中 required=true 的输入缺失时拒绝执行（返回 400），不会隐式补 0 或 false。报告同时展示规范化输入与未提供字段（omittedFields），便于归因。</w:t>
      </w:r>
    </w:p>
    <w:p>
      <w:pPr>
        <w:pStyle w:val="Heading2"/>
        <w:keepNext/>
        <w:spacing w:before="220" w:after="100"/>
      </w:pPr>
      <w:bookmarkStart w:id="64" w:name="_LarkToc00064"/>
      <w:r>
        <w:rPr>
          <w:rFonts w:ascii="Times New Roman" w:hAnsi="Times New Roman" w:eastAsia="黑体"/>
          <w:b/>
          <w:color w:val="000000"/>
          <w:sz w:val="28"/>
        </w:rPr>
        <w:t>10.3 断言类型</w:t>
      </w:r>
      <w:bookmarkEnd w:id="64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10-1 测试断言类型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断言类型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输出断言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校验执行后的输出字段值符合期望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命中规则断言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校验实际命中的规则集合符合期望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规则流路径断言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校验规则流执行经过的分支路径符合期望</w:t>
            </w:r>
          </w:p>
        </w:tc>
      </w:tr>
    </w:tbl>
    <w:p>
      <w:pPr>
        <w:pStyle w:val="Heading2"/>
        <w:keepNext/>
        <w:spacing w:before="220" w:after="100"/>
      </w:pPr>
      <w:bookmarkStart w:id="65" w:name="_LarkToc00065"/>
      <w:r>
        <w:rPr>
          <w:rFonts w:ascii="Times New Roman" w:hAnsi="Times New Roman" w:eastAsia="黑体"/>
          <w:b/>
          <w:color w:val="000000"/>
          <w:sz w:val="28"/>
        </w:rPr>
        <w:t>10.4 运行与覆盖率</w:t>
      </w:r>
      <w:bookmarkEnd w:id="6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可运行单个套件（POST /api/projects/{projectId}/test-suites/{id}/run，可用 targetVersion 指定已发布版本）或全量回归（顺序运行全部活动套件，返回批量汇总）。每次运行保存最近 20 次报告。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常规报告同时生成覆盖率：规则目标以 Drools 命中结果统计；决策表以决策轨迹行号对所有启用行（含默认行）统计；规则流以分支路径统计，无分支流程使用主路径。报告展示覆盖比例及未覆盖项。</w:t>
      </w:r>
    </w:p>
    <w:p>
      <w:pPr>
        <w:pStyle w:val="Heading2"/>
        <w:keepNext/>
        <w:spacing w:before="220" w:after="100"/>
      </w:pPr>
      <w:bookmarkStart w:id="66" w:name="_LarkToc00066"/>
      <w:r>
        <w:rPr>
          <w:rFonts w:ascii="Times New Roman" w:hAnsi="Times New Roman" w:eastAsia="黑体"/>
          <w:b/>
          <w:color w:val="000000"/>
          <w:sz w:val="28"/>
        </w:rPr>
        <w:t>10.5 版本对比</w:t>
      </w:r>
      <w:bookmarkEnd w:id="6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同一目标的两个已发布版本可并行运行相同数据集（compare 接口），默认比较最近两个版本，可显式指定 baseVersion 和 candidateVersion；比较输出、命中规则、路径和断言状态，分类为未变化（unchanged）、有变化（changed）、已改善（improved）或有回归（regressed），非“未变化”项计入待确认样本。对比报告进入历史，但不替换发布门禁使用的最近常规运行报告。</w:t>
      </w:r>
    </w:p>
    <w:p>
      <w:pPr>
        <w:pStyle w:val="Heading2"/>
        <w:keepNext/>
        <w:spacing w:before="220" w:after="100"/>
      </w:pPr>
      <w:bookmarkStart w:id="67" w:name="_LarkToc00067"/>
      <w:r>
        <w:rPr>
          <w:rFonts w:ascii="Times New Roman" w:hAnsi="Times New Roman" w:eastAsia="黑体"/>
          <w:b/>
          <w:color w:val="000000"/>
          <w:sz w:val="28"/>
        </w:rPr>
        <w:t>10.6 发布门禁</w:t>
      </w:r>
      <w:bookmarkEnd w:id="67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标记为发布必需的套件（required=true）会在本项目每次创建 Release 时实时重跑（同一目标的所有必需套件），任一失败则拒绝生成 Release，历史成功报告不能替代当前版本重跑。门禁失败响应提供最小失败用例与断言摘要（版本、用例及失败断言的期望值与实际值）。非必需套件仅用于日常回归，不阻止发布。</w:t>
      </w:r>
    </w:p>
    <w:p>
      <w:pPr>
        <w:pStyle w:val="Heading1"/>
        <w:keepNext/>
        <w:spacing w:before="280" w:after="120"/>
      </w:pPr>
      <w:bookmarkStart w:id="68" w:name="_LarkToc00068"/>
      <w:r>
        <w:rPr>
          <w:rFonts w:ascii="Times New Roman" w:hAnsi="Times New Roman" w:eastAsia="黑体"/>
          <w:b/>
          <w:color w:val="000000"/>
          <w:sz w:val="32"/>
        </w:rPr>
        <w:t>11 变更集与审核</w:t>
      </w:r>
      <w:bookmarkEnd w:id="68"/>
    </w:p>
    <w:p>
      <w:pPr>
        <w:pStyle w:val="Heading2"/>
        <w:keepNext/>
        <w:spacing w:before="220" w:after="100"/>
      </w:pPr>
      <w:bookmarkStart w:id="69" w:name="_LarkToc00069"/>
      <w:r>
        <w:rPr>
          <w:rFonts w:ascii="Times New Roman" w:hAnsi="Times New Roman" w:eastAsia="黑体"/>
          <w:b/>
          <w:color w:val="000000"/>
          <w:sz w:val="28"/>
        </w:rPr>
        <w:t>11.1 变更集（Change Set）</w:t>
      </w:r>
      <w:bookmarkEnd w:id="6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变更集是把多个资产修订聚合为评审与发布的最小单位。在项目“审核”页可把最多 50 个规则、决策表或规则流资产的当前修订固定到变更集，同时冻结最近发布基线、当前草稿和结构化字段差异。资产之后继续编辑不会修改既有评审证据。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保存变更集时，将资产类型、ID、资产修订号、最近发布版本、发布内容、当前草稿和差异列表全部固定到自身定义中。差异递归比较对象字段，输出新增/移除/变更、字段路径和前后值，单资产最多保留 500 项差异。</w:t>
      </w:r>
    </w:p>
    <w:p>
      <w:pPr>
        <w:pStyle w:val="Heading2"/>
        <w:keepNext/>
        <w:spacing w:before="220" w:after="100"/>
      </w:pPr>
      <w:bookmarkStart w:id="70" w:name="_LarkToc00070"/>
      <w:r>
        <w:rPr>
          <w:rFonts w:ascii="Times New Roman" w:hAnsi="Times New Roman" w:eastAsia="黑体"/>
          <w:b/>
          <w:color w:val="000000"/>
          <w:sz w:val="28"/>
        </w:rPr>
        <w:t>11.2 提交、批准与驳回</w:t>
      </w:r>
      <w:bookmarkEnd w:id="7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变更集状态流为：草稿（DRAFT）→ 已提交（SUBMITTED）→ 已批准（APPROVED），或草稿 → 已提交 → 已驳回（REJECTED）→ 回到草稿（可重新打开）。提交要求至少一个资产且至少一项实际差异；空变更集和无实际差异的变更集不能提交；驳回必须填写意见。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单个资产可从 BAL/决策表编辑器直接提交审核（自动创建待审核变更集）。资产提交后禁止保存、重命名、移动、删除和通过包操作间接修改；驳回后恢复编辑。批准时重新编译固定修订并生成发布版本。审核动作串行执行，避免批准与驳回并发造成状态和发布版本分离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OIDC 模式下身份来自验签 JWT，并禁止提交人审批自己的变更；local 模式仅用于本机开发，保留管理员自审能力以便测试。</w:t>
      </w:r>
    </w:p>
    <w:p>
      <w:pPr>
        <w:pStyle w:val="Heading2"/>
        <w:keepNext/>
        <w:spacing w:before="220" w:after="100"/>
      </w:pPr>
      <w:bookmarkStart w:id="71" w:name="_LarkToc00071"/>
      <w:r>
        <w:rPr>
          <w:rFonts w:ascii="Times New Roman" w:hAnsi="Times New Roman" w:eastAsia="黑体"/>
          <w:b/>
          <w:color w:val="000000"/>
          <w:sz w:val="28"/>
        </w:rPr>
        <w:t>11.3 审计日志</w:t>
      </w:r>
      <w:bookmarkEnd w:id="7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审计日志为追加写，覆盖资产、BOM、测试套件、Release 和变更集的核心动作，业务 API 不提供审计更新或删除接口。可查询项目隔离的审计事件（GET /api/projects/{projectId}/audit-events），最大返回 500 条，按时间倒序。</w:t>
      </w:r>
    </w:p>
    <w:p>
      <w:pPr>
        <w:pStyle w:val="Heading1"/>
        <w:keepNext/>
        <w:spacing w:before="280" w:after="120"/>
      </w:pPr>
      <w:bookmarkStart w:id="72" w:name="_LarkToc00072"/>
      <w:r>
        <w:rPr>
          <w:rFonts w:ascii="Times New Roman" w:hAnsi="Times New Roman" w:eastAsia="黑体"/>
          <w:b/>
          <w:color w:val="000000"/>
          <w:sz w:val="32"/>
        </w:rPr>
        <w:t>12 发布与部署</w:t>
      </w:r>
      <w:bookmarkEnd w:id="72"/>
    </w:p>
    <w:p>
      <w:pPr>
        <w:pStyle w:val="Heading2"/>
        <w:keepNext/>
        <w:spacing w:before="220" w:after="100"/>
      </w:pPr>
      <w:bookmarkStart w:id="73" w:name="_LarkToc00073"/>
      <w:r>
        <w:rPr>
          <w:rFonts w:ascii="Times New Roman" w:hAnsi="Times New Roman" w:eastAsia="黑体"/>
          <w:b/>
          <w:color w:val="000000"/>
          <w:sz w:val="28"/>
        </w:rPr>
        <w:t>12.1 Release 概念</w:t>
      </w:r>
      <w:bookmarkEnd w:id="73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Release 是平台的不可变发布制品，从已批准或当前已发布的资产生成。Release 包含决策服务标识（decisionService）、语义版本、资产版本、步骤快照、DRL、模型版本（BOM 快照）、Drools/Esper 兼容版本和 SHA-256 校验和。创建后除部署状态外不得修改内容。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校验和覆盖规范化内容（schemaVersion、decisionService、version、name、description、target、engine、model、steps、routing），JSON 属性按名称排序后做 UTF-8 SHA-256，保证不同进程得到相同结果。发布不自动改变生产流量，部署是独立授权动作。</w:t>
      </w:r>
    </w:p>
    <w:p>
      <w:pPr>
        <w:pStyle w:val="Heading2"/>
        <w:keepNext/>
        <w:spacing w:before="220" w:after="100"/>
      </w:pPr>
      <w:bookmarkStart w:id="74" w:name="_LarkToc00074"/>
      <w:r>
        <w:rPr>
          <w:rFonts w:ascii="Times New Roman" w:hAnsi="Times New Roman" w:eastAsia="黑体"/>
          <w:b/>
          <w:color w:val="000000"/>
          <w:sz w:val="28"/>
        </w:rPr>
        <w:t>12.2 构建 Release</w:t>
      </w:r>
      <w:bookmarkEnd w:id="7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在“发布”页点击“构建新 Release”，按五步向导完成：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</w:t>
      </w:r>
      <w:r>
        <w:rPr>
          <w:rFonts w:ascii="Times New Roman" w:hAnsi="Times New Roman" w:eastAsia="宋体"/>
          <w:color w:val="000000"/>
          <w:sz w:val="24"/>
        </w:rPr>
        <w:t>选择资产：勾选要包含的规则、决策表或规则流（归档资产默认不勾选）；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</w:t>
      </w:r>
      <w:r>
        <w:rPr>
          <w:rFonts w:ascii="Times New Roman" w:hAnsi="Times New Roman" w:eastAsia="宋体"/>
          <w:color w:val="000000"/>
          <w:sz w:val="24"/>
        </w:rPr>
        <w:t>版本信息：版本号自动递增，填写发布说明；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</w:t>
      </w:r>
      <w:r>
        <w:rPr>
          <w:rFonts w:ascii="Times New Roman" w:hAnsi="Times New Roman" w:eastAsia="宋体"/>
          <w:color w:val="000000"/>
          <w:sz w:val="24"/>
        </w:rPr>
        <w:t>编译验证：DRL 编译、BOM 校验、必需测试套件实时重跑、冲突检测，失败项红色标注；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（4）</w:t>
      </w:r>
      <w:r>
        <w:rPr>
          <w:rFonts w:ascii="Times New Roman" w:hAnsi="Times New Roman" w:eastAsia="宋体"/>
          <w:color w:val="000000"/>
          <w:sz w:val="24"/>
        </w:rPr>
        <w:t>部署目标：勾选目标环境（当前 MVP 支持 local），标注部署策略；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（5）</w:t>
      </w:r>
      <w:r>
        <w:rPr>
          <w:rFonts w:ascii="Times New Roman" w:hAnsi="Times New Roman" w:eastAsia="宋体"/>
          <w:color w:val="000000"/>
          <w:sz w:val="24"/>
        </w:rPr>
        <w:t>确认构建：查看摘要表、校验和与已知问题警告，点击“构建”。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必需测试套件在创建 Release 时实时重跑，任一失败返回 409 和结构化门禁摘要（包含失败用例的版本、用例及断言的期望/实际值），不写入 Release。成功时在 Release 本地元数据中记录质量门禁摘要，该摘要不参与制品校验和。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Release 只引用已发布版本，不读取未保存或未发布草稿；同一决策服务的版本号单调递增；非默认项目的 decisionService 必须以 项目ID/ 开头（如 project-xxx/demo-alarm），避免服务标识跨项目混用。</w:t>
      </w:r>
    </w:p>
    <w:p>
      <w:pPr>
        <w:pStyle w:val="Heading2"/>
        <w:keepNext/>
        <w:spacing w:before="220" w:after="100"/>
      </w:pPr>
      <w:bookmarkStart w:id="75" w:name="_LarkToc00075"/>
      <w:r>
        <w:rPr>
          <w:rFonts w:ascii="Times New Roman" w:hAnsi="Times New Roman" w:eastAsia="黑体"/>
          <w:b/>
          <w:color w:val="000000"/>
          <w:sz w:val="28"/>
        </w:rPr>
        <w:t>12.3 部署</w:t>
      </w:r>
      <w:bookmarkEnd w:id="75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点击“部署”并选择环境（当前 MVP 只支持 local），Team Server 把完整 Release 发送给 RES 的 /deploy 接口，成功后记录部署回执。RES 部署流程为：校验必需字段、大小、引擎兼容版本和 SHA-256 → 编译每个步骤并构建内存容器 → 创建会话池 → 原子写入本地持久化目录 → 加入内存注册表。相同 Release ID 和校验和的重复部署是幂等成功；相同 ID 不同校验和返回 409。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RES 重启后能够恢复已部署 Release；部署先完成编译和预热再进入可路由状态；回滚只改变路由，不重新生成历史制品。</w:t>
      </w:r>
    </w:p>
    <w:p>
      <w:pPr>
        <w:pStyle w:val="Heading2"/>
        <w:keepNext/>
        <w:spacing w:before="220" w:after="100"/>
      </w:pPr>
      <w:bookmarkStart w:id="76" w:name="_LarkToc00076"/>
      <w:r>
        <w:rPr>
          <w:rFonts w:ascii="Times New Roman" w:hAnsi="Times New Roman" w:eastAsia="黑体"/>
          <w:b/>
          <w:color w:val="000000"/>
          <w:sz w:val="28"/>
        </w:rPr>
        <w:t>12.4 执行</w:t>
      </w:r>
      <w:bookmarkEnd w:id="7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管理端提供试运行代理（POST /api/projects/{projectId}/releases/{id}/execute），只用于演示和运维验证；生产业务系统应直接调用 RES 的 /execute 接口。执行请求格式为：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POST http://127.0.0.1:8790/execute，请求体包含 releaseId（UUID）、requestId（可选关联 ID）和 facts（业务输入字段）。RES 使用部署时已编译的容器和会话池依次执行步骤，响应包含最终事实、命中规则、逐步骤轨迹及实际应用的映射值；存在路由时，响应顶层 path 返回分支 ID、名称和是否默认分支。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规则流执行语义：公共步骤执行后按分支显示顺序选择第一条满足条件的分支；全部条件不满足时选择唯一默认分支；没有默认分支时允许不执行任何分支步骤。输入映射在节点执行前赋值，输出映射在节点执行后赋值，null 不覆盖已有上下文值。</w:t>
      </w:r>
    </w:p>
    <w:p>
      <w:pPr>
        <w:pStyle w:val="Heading2"/>
        <w:keepNext/>
        <w:spacing w:before="220" w:after="100"/>
      </w:pPr>
      <w:bookmarkStart w:id="77" w:name="_LarkToc00077"/>
      <w:r>
        <w:rPr>
          <w:rFonts w:ascii="Times New Roman" w:hAnsi="Times New Roman" w:eastAsia="黑体"/>
          <w:b/>
          <w:color w:val="000000"/>
          <w:sz w:val="28"/>
        </w:rPr>
        <w:t>12.5 版本管理与回滚</w:t>
      </w:r>
      <w:bookmarkEnd w:id="77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Release 详情与列表响应携带 latestForDecisionService 标记，用于识别同一决策服务的最新版本。部署后可查看每个环境正在运行的 Release、部署历史和回滚目标。回滚通过重新部署目标版本实现，只改变路由，不重新生成历史制品。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注意：历史遗留的 legacy 资产版本没有 BOM/DRL 快照，创建 Release 时只能尝试用当前 BOM 生成；若字段或枚举已不兼容则拒绝创建，需显式迁移并重新发布，系统不会猜测历史模型。</w:t>
      </w:r>
    </w:p>
    <w:p>
      <w:pPr>
        <w:pStyle w:val="Heading1"/>
        <w:keepNext/>
        <w:spacing w:before="280" w:after="120"/>
      </w:pPr>
      <w:bookmarkStart w:id="78" w:name="_LarkToc00078"/>
      <w:r>
        <w:rPr>
          <w:rFonts w:ascii="Times New Roman" w:hAnsi="Times New Roman" w:eastAsia="黑体"/>
          <w:b/>
          <w:color w:val="000000"/>
          <w:sz w:val="32"/>
        </w:rPr>
        <w:t>13 项目报告</w:t>
      </w:r>
      <w:bookmarkEnd w:id="78"/>
    </w:p>
    <w:p>
      <w:pPr>
        <w:pStyle w:val="Heading2"/>
        <w:keepNext/>
        <w:spacing w:before="220" w:after="100"/>
      </w:pPr>
      <w:bookmarkStart w:id="79" w:name="_LarkToc00079"/>
      <w:r>
        <w:rPr>
          <w:rFonts w:ascii="Times New Roman" w:hAnsi="Times New Roman" w:eastAsia="黑体"/>
          <w:b/>
          <w:color w:val="000000"/>
          <w:sz w:val="28"/>
        </w:rPr>
        <w:t>13.1 生成报告</w:t>
      </w:r>
      <w:bookmarkEnd w:id="79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项目页顶栏右侧点击“报告”按钮进入报告视图页（/projects/{projectId}/report）。进入即调用后端聚合接口生成最新数据快照，报告页头部显示生成时间、生成人、决策服务标识和数据版本（BOM 版本 + 最新 Release 版本），确保可追溯。</w:t>
      </w:r>
    </w:p>
    <w:p>
      <w:pPr>
        <w:pStyle w:val="Heading2"/>
        <w:keepNext/>
        <w:spacing w:before="220" w:after="100"/>
      </w:pPr>
      <w:bookmarkStart w:id="80" w:name="_LarkToc00080"/>
      <w:r>
        <w:rPr>
          <w:rFonts w:ascii="Times New Roman" w:hAnsi="Times New Roman" w:eastAsia="黑体"/>
          <w:b/>
          <w:color w:val="000000"/>
          <w:sz w:val="28"/>
        </w:rPr>
        <w:t>13.2 报告章节</w:t>
      </w:r>
      <w:bookmarkEnd w:id="80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13-1 报告六章节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章节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项目概览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项目元信息与六张 KPI 卡（资产总数、规则数、决策表数、测试通过率、发布版本、部署环境）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BOM 资产总览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事实类型表（名称/中文名/方向/字段数）、字段类型分布、输入/输出事实计数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规则资产清单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按包分组的资产清单（名称、类型、状态、版本、优先级、BOM 失效标记）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规则流拓扑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每个规则流的名称、状态、版本、步骤数、分支数、命中策略与步骤清单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测试矩阵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套件名、目标、是否发布必需、用例数/通过数/失败数、通过率、路径覆盖率、最近运行时间</w:t>
            </w:r>
          </w:p>
        </w:tc>
      </w:tr>
      <w:tr>
        <w:trPr>
          <w:cantSplit/>
        </w:trPr>
        <w:tc>
          <w:tcPr>
            <w:tcW w:type="dxa" w:w="163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发布与部署历史</w:t>
            </w:r>
          </w:p>
        </w:tc>
        <w:tc>
          <w:tcPr>
            <w:tcW w:type="dxa" w:w="743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版本号、名称/描述、决策服务标识、质量门禁、创建人/时间、部署环境/时间/校验和</w:t>
            </w:r>
          </w:p>
        </w:tc>
      </w:tr>
    </w:tbl>
    <w:p>
      <w:pPr>
        <w:pStyle w:val="Heading2"/>
        <w:keepNext/>
        <w:spacing w:before="220" w:after="100"/>
      </w:pPr>
      <w:bookmarkStart w:id="81" w:name="_LarkToc00081"/>
      <w:r>
        <w:rPr>
          <w:rFonts w:ascii="Times New Roman" w:hAnsi="Times New Roman" w:eastAsia="黑体"/>
          <w:b/>
          <w:color w:val="000000"/>
          <w:sz w:val="28"/>
        </w:rPr>
        <w:t>13.3 下载与打印</w:t>
      </w:r>
      <w:bookmarkEnd w:id="81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“下载 HTML”将后端返回的自包含 HTML 保存为“项目名-资产报告-日期.html”文件，可离线打开（内联样式，无外部 CDN 依赖）。“下载 PDF”触发浏览器打印（window.print），打印样式保证 A4 分页、工具栏隐藏、表格表头跨页重复，用户通过“另存为 PDF”保存。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报告遵循项目与资产授权，优先展示已发布规则流快照；没有对应数据时显示明确空态（如测试“未运行”、发布“暂无发布”），不伪造统计结果。所有用户可控文本经 HTML 转义后再渲染，防止跨站脚本。</w:t>
      </w:r>
    </w:p>
    <w:p>
      <w:pPr>
        <w:pStyle w:val="Heading1"/>
        <w:keepNext/>
        <w:spacing w:before="280" w:after="120"/>
      </w:pPr>
      <w:bookmarkStart w:id="82" w:name="_LarkToc00082"/>
      <w:r>
        <w:rPr>
          <w:rFonts w:ascii="Times New Roman" w:hAnsi="Times New Roman" w:eastAsia="黑体"/>
          <w:b/>
          <w:color w:val="000000"/>
          <w:sz w:val="32"/>
        </w:rPr>
        <w:t>14 浏览与搜索</w:t>
      </w:r>
      <w:bookmarkEnd w:id="82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“浏览”页提供跨项目资产目录，可检索规则、决策表、规则流、规则包和 BOM 字段，支持中英文业务术语搜索（按名称、规则包、项目和 BOM 业务术语），并可组合项目、资产类型和状态筛选。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搜索结果可直接定位到规则、决策表、规则流或 BOM 字段，点击即跳转到对应编辑或查看页面。搜索与资产列表接口采用服务端过滤，定位到具体资产后继续遵循项目与资产授权。</w:t>
      </w:r>
    </w:p>
    <w:p>
      <w:pPr>
        <w:pStyle w:val="Heading1"/>
        <w:keepNext/>
        <w:spacing w:before="280" w:after="120"/>
      </w:pPr>
      <w:bookmarkStart w:id="83" w:name="_LarkToc00083"/>
      <w:r>
        <w:rPr>
          <w:rFonts w:ascii="Times New Roman" w:hAnsi="Times New Roman" w:eastAsia="黑体"/>
          <w:b/>
          <w:color w:val="000000"/>
          <w:sz w:val="32"/>
        </w:rPr>
        <w:t>15 系统管理</w:t>
      </w:r>
      <w:bookmarkEnd w:id="83"/>
    </w:p>
    <w:p>
      <w:pPr>
        <w:pStyle w:val="Heading2"/>
        <w:keepNext/>
        <w:spacing w:before="220" w:after="100"/>
      </w:pPr>
      <w:bookmarkStart w:id="84" w:name="_LarkToc00084"/>
      <w:r>
        <w:rPr>
          <w:rFonts w:ascii="Times New Roman" w:hAnsi="Times New Roman" w:eastAsia="黑体"/>
          <w:b/>
          <w:color w:val="000000"/>
          <w:sz w:val="28"/>
        </w:rPr>
        <w:t>15.1 管理页概览</w:t>
      </w:r>
      <w:bookmarkEnd w:id="84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“管理”页提供三类系统管理能力：用户目录（用户 CRUD）、角色矩阵（权限与角色对应关系）和环境注册（部署环境管理）。</w:t>
      </w:r>
    </w:p>
    <w:p>
      <w:pPr>
        <w:pStyle w:val="Heading2"/>
        <w:keepNext/>
        <w:spacing w:before="220" w:after="100"/>
      </w:pPr>
      <w:bookmarkStart w:id="85" w:name="_LarkToc00085"/>
      <w:r>
        <w:rPr>
          <w:rFonts w:ascii="Times New Roman" w:hAnsi="Times New Roman" w:eastAsia="黑体"/>
          <w:b/>
          <w:color w:val="000000"/>
          <w:sz w:val="28"/>
        </w:rPr>
        <w:t>15.2 用户与角色</w:t>
      </w:r>
      <w:bookmarkEnd w:id="85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15-1 角色权限矩阵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权限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管理员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规则作者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发布审核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部署员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只读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浏览规则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编辑草稿 / BOM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提交审批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审核并发布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部署到 RES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27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管理用户 / 环境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√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1260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</w:tbl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内置角色为 viewer、author、reviewer、release-manager、admin。OIDC 模式下从 JWT 的顶层 roles、Keycloak realm roles 和指定 client roles 提取角色，API 侧执行路由 RBAC 与策略式项目/资产授权；自定义角色模型、工作空间级多租户和服务账号管理尚未交付。</w:t>
      </w:r>
    </w:p>
    <w:p>
      <w:pPr>
        <w:pStyle w:val="Heading2"/>
        <w:keepNext/>
        <w:spacing w:before="220" w:after="100"/>
      </w:pPr>
      <w:bookmarkStart w:id="86" w:name="_LarkToc00086"/>
      <w:r>
        <w:rPr>
          <w:rFonts w:ascii="Times New Roman" w:hAnsi="Times New Roman" w:eastAsia="黑体"/>
          <w:b/>
          <w:color w:val="000000"/>
          <w:sz w:val="28"/>
        </w:rPr>
        <w:t>15.3 环境注册</w:t>
      </w:r>
      <w:bookmarkEnd w:id="86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环境注册用于管理部署目标（如 dev、test、staging、production，可新增自定义环境）。当前 MVP 部署仅支持 local 环境；Shadow 运行差异报告由测试套件的已发布版本并行对比能力覆盖。</w:t>
      </w:r>
    </w:p>
    <w:p>
      <w:pPr>
        <w:pStyle w:val="Heading1"/>
        <w:keepNext/>
        <w:spacing w:before="280" w:after="120"/>
      </w:pPr>
      <w:bookmarkStart w:id="87" w:name="_LarkToc00087"/>
      <w:r>
        <w:rPr>
          <w:rFonts w:ascii="Times New Roman" w:hAnsi="Times New Roman" w:eastAsia="黑体"/>
          <w:b/>
          <w:color w:val="000000"/>
          <w:sz w:val="32"/>
        </w:rPr>
        <w:t>16 常见问题与故障排查</w:t>
      </w:r>
      <w:bookmarkEnd w:id="87"/>
    </w:p>
    <w:p>
      <w:pPr>
        <w:pStyle w:val="Heading2"/>
        <w:keepNext/>
        <w:spacing w:before="220" w:after="100"/>
      </w:pPr>
      <w:bookmarkStart w:id="88" w:name="_LarkToc00088"/>
      <w:r>
        <w:rPr>
          <w:rFonts w:ascii="Times New Roman" w:hAnsi="Times New Roman" w:eastAsia="黑体"/>
          <w:b/>
          <w:color w:val="000000"/>
          <w:sz w:val="28"/>
        </w:rPr>
        <w:t>16.1 启动与部署类</w:t>
      </w:r>
      <w:bookmarkEnd w:id="88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16-1 启动类问题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96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现象</w:t>
            </w:r>
          </w:p>
        </w:tc>
        <w:tc>
          <w:tcPr>
            <w:tcW w:type="dxa" w:w="61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原因与处理</w:t>
            </w:r>
          </w:p>
        </w:tc>
      </w:tr>
      <w:tr>
        <w:trPr>
          <w:cantSplit/>
        </w:trPr>
        <w:tc>
          <w:tcPr>
            <w:tcW w:type="dxa" w:w="296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前端打不开或 /api 请求失败</w:t>
            </w:r>
          </w:p>
        </w:tc>
        <w:tc>
          <w:tcPr>
            <w:tcW w:type="dxa" w:w="61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后端端口与前端代理不一致：前端 /api 代理固定指向 127.0.0.1:8789，需用 API_PORT=8789 npm run api 启动后端</w:t>
            </w:r>
          </w:p>
        </w:tc>
      </w:tr>
      <w:tr>
        <w:trPr>
          <w:cantSplit/>
        </w:trPr>
        <w:tc>
          <w:tcPr>
            <w:tcW w:type="dxa" w:w="296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容器镜像拉取失败</w:t>
            </w:r>
          </w:p>
        </w:tc>
        <w:tc>
          <w:tcPr>
            <w:tcW w:type="dxa" w:w="61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镜像站不可用时，用 Docker 构建参数 BUILD_IMAGE 和 RUNTIME_IMAGE 指定其他可访问镜像地址</w:t>
            </w:r>
          </w:p>
        </w:tc>
      </w:tr>
      <w:tr>
        <w:trPr>
          <w:cantSplit/>
        </w:trPr>
        <w:tc>
          <w:tcPr>
            <w:tcW w:type="dxa" w:w="296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健康检查不通过</w:t>
            </w:r>
          </w:p>
        </w:tc>
        <w:tc>
          <w:tcPr>
            <w:tcW w:type="dxa" w:w="61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分别检查 8788（Build）、8790（RES）、8791（CEP Build）、8792（CEP Runtime）健康地址，确认容器已启动</w:t>
            </w:r>
          </w:p>
        </w:tc>
      </w:tr>
      <w:tr>
        <w:trPr>
          <w:cantSplit/>
        </w:trPr>
        <w:tc>
          <w:tcPr>
            <w:tcW w:type="dxa" w:w="296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PostgreSQL 导入失败</w:t>
            </w:r>
          </w:p>
        </w:tc>
        <w:tc>
          <w:tcPr>
            <w:tcW w:type="dxa" w:w="610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目标库已有业务数据时 db:import-json 会拒绝执行；使用空库或清理后再导入</w:t>
            </w:r>
          </w:p>
        </w:tc>
      </w:tr>
    </w:tbl>
    <w:p>
      <w:pPr>
        <w:pStyle w:val="Heading2"/>
        <w:keepNext/>
        <w:spacing w:before="220" w:after="100"/>
      </w:pPr>
      <w:bookmarkStart w:id="89" w:name="_LarkToc00089"/>
      <w:r>
        <w:rPr>
          <w:rFonts w:ascii="Times New Roman" w:hAnsi="Times New Roman" w:eastAsia="黑体"/>
          <w:b/>
          <w:color w:val="000000"/>
          <w:sz w:val="28"/>
        </w:rPr>
        <w:t>16.2 操作与数据一致性类</w:t>
      </w:r>
      <w:bookmarkEnd w:id="89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16-2 操作类问题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现象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原因与处理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保存资产返回 409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并发冲突：他人已修改资产，修订号过期。读取服务器最新修订号后重新编辑，前端保留本地编辑由用户选择是否载入服务器版本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发布后继续编辑报修订号无效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发布与归档会推进修订号，需用新的修订号（如编译、提交、发布）继续操作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BOM 保存返回 409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BOM 使用 version 做乐观锁，PUT 需携带等于当前版本的 body.version，而非 revision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决策表整表失效、全部命中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空单元格语义是通配（不限制）：条件全空的行会命中所有输入。编辑时留意空单元格提示，必要时用内联比较符或显式条件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区间边界双命中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a..b 是闭区间、..b 等价于小于等于；需要严格边界时使用半开区间或内联比较符（如 &lt;0.8）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多个规则写同一字段结果被覆盖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同字段多写是确定性“后写覆盖”语义，执行顺序决定最终值；请通过规则流步骤顺序保证优先级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测试断言失败难以归因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查看报告中的规范化输入与 omittedFields：未提供的必填字段缺失会拒绝执行，可选字段保持未赋值</w:t>
            </w:r>
          </w:p>
        </w:tc>
      </w:tr>
      <w:tr>
        <w:trPr>
          <w:cantSplit/>
        </w:trPr>
        <w:tc>
          <w:tcPr>
            <w:tcW w:type="dxa" w:w="2639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必需套件未跑但 Release 失败</w:t>
            </w:r>
          </w:p>
        </w:tc>
        <w:tc>
          <w:tcPr>
            <w:tcW w:type="dxa" w:w="643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Release 门禁实时重跑当前项目同一目标的所有必需套件，历史成功报告不能替代当前版本重跑</w:t>
            </w:r>
          </w:p>
        </w:tc>
      </w:tr>
    </w:tbl>
    <w:p>
      <w:pPr>
        <w:pStyle w:val="Heading2"/>
        <w:keepNext/>
        <w:spacing w:before="220" w:after="100"/>
      </w:pPr>
      <w:bookmarkStart w:id="90" w:name="_LarkToc00090"/>
      <w:r>
        <w:rPr>
          <w:rFonts w:ascii="Times New Roman" w:hAnsi="Times New Roman" w:eastAsia="黑体"/>
          <w:b/>
          <w:color w:val="000000"/>
          <w:sz w:val="28"/>
        </w:rPr>
        <w:t>16.3 边界与容量提示</w:t>
      </w:r>
      <w:bookmarkEnd w:id="90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当前版本适合功能验证和中小规模规则库，仍存在全量项目摘要、完整 Rule Group 成员传输、非虚拟化列表以及同步组合 DRL 编译等限制。产品需求文档中的容量目标（如单项目 1 万条规则资产、单张决策表 1 万行等）是后续规模化专项的设计与压测目标，不代表当前版本已经达到，是否达标必须以可复现的基准报告为准。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RES 当前每步骤最多 100 次 firing，达到上限时返回 limitReached，测试套件视为失败、Release 门禁不能放行。规则流的 Rule Group 成员数量与实际命中次数是两个概念，大量规则可以只有少量命中。</w:t>
      </w:r>
    </w:p>
    <w:p>
      <w:pPr>
        <w:pStyle w:val="Heading1"/>
        <w:keepNext/>
        <w:spacing w:before="280" w:after="120"/>
      </w:pPr>
      <w:bookmarkStart w:id="91" w:name="_LarkToc00091"/>
      <w:r>
        <w:rPr>
          <w:rFonts w:ascii="Times New Roman" w:hAnsi="Times New Roman" w:eastAsia="黑体"/>
          <w:b/>
          <w:color w:val="000000"/>
          <w:sz w:val="32"/>
        </w:rPr>
        <w:t>附录 A 术语表</w:t>
      </w:r>
      <w:bookmarkEnd w:id="91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A-1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术语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DWX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Decision Workbench X 决策工作台，本产品的代号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BOM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Business Object Model，业务对象模型，字段字典与元数据源头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BAL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Business Action Language，业务动作语言，中文自然语言规则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DRL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Drools Rule Language，Drools 规则语言，编译产物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Package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规则包，规则与决策表的逻辑分组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Decision Table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决策表，类 Excel 网格的规则编写方式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RuleFlow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规则流，步骤与排他网关的编排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Group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规则组，规则流内批量引用规则包的步骤节点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EventStream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事件流资产，由检测语句组成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EPL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Esper Processing Language，Esper 事件处理语言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Change Set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变更集，评审与发布的最小单位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Release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不可变发布制品，含校验和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Execution Server，规则执行中心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Team Server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规则治理中心，管理资产、版本、审批、发布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Rule Designer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规则设计中心，Web 编辑体验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checksum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校验和，Release 的 SHA-256 指纹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quality gate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质量门禁，发布前必须通过的测试校验</w:t>
            </w:r>
          </w:p>
        </w:tc>
      </w:tr>
      <w:tr>
        <w:trPr>
          <w:cantSplit/>
        </w:trPr>
        <w:tc>
          <w:tcPr>
            <w:tcW w:type="dxa" w:w="2177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needsRepublish</w:t>
            </w:r>
          </w:p>
        </w:tc>
        <w:tc>
          <w:tcPr>
            <w:tcW w:type="dxa" w:w="6894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需要重新发布标记，依赖资产变化后触发</w:t>
            </w:r>
          </w:p>
        </w:tc>
      </w:tr>
    </w:tbl>
    <w:p>
      <w:pPr>
        <w:pStyle w:val="Heading1"/>
        <w:keepNext/>
        <w:spacing w:before="280" w:after="120"/>
      </w:pPr>
      <w:bookmarkStart w:id="92" w:name="_LarkToc00092"/>
      <w:r>
        <w:rPr>
          <w:rFonts w:ascii="Times New Roman" w:hAnsi="Times New Roman" w:eastAsia="黑体"/>
          <w:b/>
          <w:color w:val="000000"/>
          <w:sz w:val="32"/>
        </w:rPr>
        <w:t>附录 B 服务与端口汇总</w:t>
      </w:r>
      <w:bookmarkEnd w:id="92"/>
    </w:p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B-1 服务、端口与健康检查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服务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默认端口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健康检查地址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Team Server（API）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8787 / 8789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治理中心管理 API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前端开发服务器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5173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Web 工作台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Drools Build Service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8788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/health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设计时编译临时 DRL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独立 RES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8790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/health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规则执行中心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Build/Test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8791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/health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设计时编译与测试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Runtime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8792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/health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运行时执行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PostgreSQL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54329</w:t>
            </w:r>
          </w:p>
        </w:tc>
        <w:tc>
          <w:tcPr>
            <w:tcW w:type="dxa" w:w="1555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4341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数据库模式存储</w:t>
            </w:r>
          </w:p>
        </w:tc>
      </w:tr>
    </w:tbl>
    <w:p>
      <w:pPr>
        <w:keepNext/>
        <w:spacing w:before="8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B-2 关键执行接口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接口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/api/projects/:id/releases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创建项目 Release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/api/projects/:id/releases/:id/deploy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部署到指定环境（local）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/api/projects/:id/releases/:id/execute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管理端试运行代理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{RES}:8790/execute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业务系统直连执行规则 Release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{CEP}:8792/execute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CEP 同步执行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{CEP}:8792/events/{releaseId}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持续上报事件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 {CEP}:8792/webhook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异步告警推送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 /api/projects/:id/report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项目知识资产报告（自包含 HTML）</w:t>
            </w:r>
          </w:p>
        </w:tc>
      </w:tr>
      <w:tr>
        <w:trPr>
          <w:cantSplit/>
        </w:trPr>
        <w:tc>
          <w:tcPr>
            <w:tcW w:type="dxa" w:w="4898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 /api/system/storage</w:t>
            </w:r>
          </w:p>
        </w:tc>
        <w:tc>
          <w:tcPr>
            <w:tcW w:type="dxa" w:w="4173"/>
            <w:vAlign w:val="center"/>
          </w:tcPr>
          <w:p>
            <w:pPr>
              <w:spacing w:before="20" w:after="20" w:line="240" w:lineRule="auto"/>
              <w:ind w:firstLineChars="0" w:firstLine="0" w:left="0" w:right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查询当前存储模式</w:t>
            </w:r>
          </w:p>
        </w:tc>
      </w:tr>
    </w:tbl>
    <w:p>
      <w:pPr>
        <w:pStyle w:val="Heading1"/>
        <w:keepNext/>
        <w:spacing w:before="280" w:after="120"/>
      </w:pPr>
      <w:bookmarkStart w:id="93" w:name="_LarkToc00093"/>
      <w:r>
        <w:rPr>
          <w:rFonts w:ascii="Times New Roman" w:hAnsi="Times New Roman" w:eastAsia="黑体"/>
          <w:b/>
          <w:color w:val="000000"/>
          <w:sz w:val="32"/>
        </w:rPr>
        <w:t>附录 C 当前版本边界与限制</w:t>
      </w:r>
      <w:bookmarkEnd w:id="93"/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以下为本版本已知边界，使用前请知悉：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（1）部署与安全：当前为单工作空间、多项目原型；engine 与 res 服务仅供本机原型调用，尚未实现鉴权、签名、隔离与执行配额，不应暴露到公网；MVP 仅支持 local 环境部署；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（2）存储：JSON 与 PostgreSQL 两种模式均可使用，尚未实现工作空间级多租户隔离和备份恢复；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（3）协作：草稿所有权、字段级合并和实时协同尚未实现；自定义角色模型与服务账号管理尚未交付；可配置多级审批、Release 强制绑定批准变更集尚未交付；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（4）规则流：不是 BPMN 流程，不支持多级/并行网关、人工任务、定时器和补偿事务；人工任务与长事务后续集成 BPMN 引擎；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（5）CEP：已支持 5 类向导模板与时间驱动语句；缺席检测、双事件时序、连续次数、周期触发等模板为后续优先级；语句排序/拖动重排与派生输出字段向导化为后续范围；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（6）容量：当前适合功能验证和中小规模规则库；产品需求中的容量目标为设计目标，不代表当前版本已达到；</w:t>
      </w:r>
    </w:p>
    <w:p>
      <w:pPr>
        <w:spacing w:before="0" w:after="0" w:line="360" w:lineRule="auto"/>
        <w:jc w:val="both"/>
        <w:ind w:firstLineChars="200" w:firstLine="0"/>
      </w:pPr>
      <w:r>
        <w:rPr>
          <w:rFonts w:ascii="Times New Roman" w:hAnsi="Times New Roman" w:eastAsia="宋体"/>
          <w:color w:val="000000"/>
          <w:sz w:val="24"/>
        </w:rPr>
        <w:t>（7）执行语义：同字段多写采用确定性后写覆盖；可配置归并策略（取最大/最后/聚合）为后续待办；RES 每步骤最多 100 次 firing。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eastAsia="宋体"/>
        <w:color w:val="000000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79b488546de8e2fc221c9afea936411771e7e86378b44c021977c0ca71fce619:bf0fe1596afff2c1fa789588d9ae204d4751873c080d1fb755d54a955e2a4f8f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