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MINISTÉRIO DA DEFESA</w:t>
      </w:r>
    </w:p>
    <w:p>
      <w:pPr>
        <w:jc w:val="center"/>
      </w:pPr>
      <w:r>
        <w:rPr>
          <w:b w:val="0"/>
        </w:rPr>
        <w:t>COMANDO DA AERONÁUTICA</w:t>
      </w:r>
    </w:p>
    <w:p>
      <w:pPr>
        <w:jc w:val="center"/>
      </w:pPr>
      <w:r>
        <w:rPr>
          <w:b w:val="0"/>
        </w:rPr>
        <w:t>PARQUE DE MATERIAL AERONÁUTICO DE LAGOA SANTA</w:t>
      </w:r>
    </w:p>
    <w:p>
      <w:pPr>
        <w:jc w:val="center"/>
      </w:pPr>
      <w:r>
        <w:rPr>
          <w:b w:val="0"/>
        </w:rPr>
        <w:t>DIVISÃO TÉCNICA</w:t>
      </w:r>
    </w:p>
    <w:p/>
    <w:p>
      <w:pPr>
        <w:pStyle w:val="Title"/>
      </w:pPr>
      <w:r>
        <w:rPr>
          <w:color w:val="1F3A5F"/>
        </w:rPr>
        <w:t>Reunião Mensal de Acompanhamento</w:t>
      </w:r>
    </w:p>
    <w:p>
      <w:pPr>
        <w:pStyle w:val="Heading1"/>
      </w:pPr>
      <w:r>
        <w:rPr>
          <w:color w:val="1F3A5F"/>
        </w:rPr>
        <w:t>Ata de Reunião</w:t>
      </w:r>
    </w:p>
    <w:p>
      <w:pPr>
        <w:jc w:val="center"/>
      </w:pPr>
      <w:r>
        <w:rPr>
          <w:b w:val="0"/>
        </w:rPr>
        <w:t>Junho de 2026</w:t>
      </w:r>
    </w:p>
    <w:p>
      <w:pPr>
        <w:pStyle w:val="Heading1"/>
      </w:pPr>
      <w:r>
        <w:rPr>
          <w:color w:val="1F3A5F"/>
        </w:rPr>
        <w:t>Participantes</w:t>
      </w:r>
    </w:p>
    <w:p>
      <w:r>
        <w:rPr>
          <w:b w:val="0"/>
        </w:rPr>
        <w:t>Reuniram-se, em data referente ao mês de junho de 2026, representantes do Parque de Material Aeronáutico de Lagoa Santa (PAMALS) e da empresa Vee One Manutenção e Serviços Técnicos LTDA (contratada), para tratarem de assuntos relacionados às atividades de Suporte Logístico da frota de aeronaves C-98 da Força Aérea Brasileira, no âmbito do Contrato nº 005/CELOG-PAMALS/2025, tendo por referência os resultados apurados no mês de junho de 2026.</w:t>
      </w:r>
    </w:p>
    <w:p>
      <w:r>
        <w:rPr>
          <w:i/>
          <w:color w:val="990000"/>
        </w:rPr>
        <w:t>[Lista de participantes (PAMALS e Contratada) — revisar a partir da transcrição da reunião, ao final deste documento]</w:t>
      </w:r>
    </w:p>
    <w:p>
      <w:pPr>
        <w:pStyle w:val="Heading1"/>
      </w:pPr>
      <w:r>
        <w:rPr>
          <w:color w:val="1F3A5F"/>
        </w:rPr>
        <w:t>Prestação de Contas no Mês de Referência</w:t>
      </w:r>
    </w:p>
    <w:p>
      <w:r>
        <w:rPr>
          <w:b w:val="0"/>
        </w:rPr>
        <w:t>Os valores apresentados a seguir já contemplam a aplicação do Índice Final de Desempenho (IFD), conforme memória de cálculo constante na planilha da RMA 06/2026 – Módulo 1.</w:t>
      </w:r>
    </w:p>
    <w:tbl>
      <w:tblPr>
        <w:tblStyle w:val="TableGrid"/>
        <w:tblW w:type="auto" w:w="0"/>
        <w:tblLook w:firstColumn="1" w:firstRow="1" w:lastColumn="0" w:lastRow="0" w:noHBand="0" w:noVBand="1" w:val="04A0"/>
      </w:tblPr>
      <w:tblGrid>
        <w:gridCol w:w="4320"/>
        <w:gridCol w:w="4320"/>
      </w:tblGrid>
      <w:tr>
        <w:tc>
          <w:tcPr>
            <w:tcW w:type="dxa" w:w="4320"/>
          </w:tcPr>
          <w:p>
            <w:r>
              <w:rPr>
                <w:b/>
              </w:rPr>
              <w:t>Descrição</w:t>
            </w:r>
          </w:p>
        </w:tc>
        <w:tc>
          <w:tcPr>
            <w:tcW w:type="dxa" w:w="4320"/>
          </w:tcPr>
          <w:p>
            <w:r>
              <w:rPr>
                <w:b/>
              </w:rPr>
              <w:t>Valor</w:t>
            </w:r>
          </w:p>
        </w:tc>
      </w:tr>
      <w:tr>
        <w:tc>
          <w:tcPr>
            <w:tcW w:type="dxa" w:w="4320"/>
          </w:tcPr>
          <w:p>
            <w:r>
              <w:t>Módulo 1 Faturamento – Remunerado por Hora de Voo</w:t>
            </w:r>
          </w:p>
        </w:tc>
        <w:tc>
          <w:tcPr>
            <w:tcW w:type="dxa" w:w="4320"/>
          </w:tcPr>
          <w:p>
            <w:r>
              <w:t>R$ 1.340.865,98</w:t>
            </w:r>
          </w:p>
        </w:tc>
      </w:tr>
      <w:tr>
        <w:tc>
          <w:tcPr>
            <w:tcW w:type="dxa" w:w="4320"/>
          </w:tcPr>
          <w:p>
            <w:r>
              <w:t>Módulo 2 Faturamento – Orçamentos de Material (conforme orçamentos em aberto)</w:t>
            </w:r>
          </w:p>
        </w:tc>
        <w:tc>
          <w:tcPr>
            <w:tcW w:type="dxa" w:w="4320"/>
          </w:tcPr>
          <w:p>
            <w:r>
              <w:t>—</w:t>
            </w:r>
          </w:p>
        </w:tc>
      </w:tr>
      <w:tr>
        <w:tc>
          <w:tcPr>
            <w:tcW w:type="dxa" w:w="4320"/>
          </w:tcPr>
          <w:p>
            <w:r>
              <w:t>Módulo 3 Faturamento – GPS / Manuais (conforme orçamentos em aberto)</w:t>
            </w:r>
          </w:p>
        </w:tc>
        <w:tc>
          <w:tcPr>
            <w:tcW w:type="dxa" w:w="4320"/>
          </w:tcPr>
          <w:p>
            <w:r>
              <w:t>—</w:t>
            </w:r>
          </w:p>
        </w:tc>
      </w:tr>
    </w:tbl>
    <w:p>
      <w:r>
        <w:rPr>
          <w:b w:val="0"/>
        </w:rPr>
        <w:t>No que se refere ao Módulo 1, o valor discriminado da hora de voo corresponde a R$ 1.699,33, calculado com base nas horas efetivamente realizadas no período, totalizando 830 horas e 35 minutos. O valor bruto apurado foi de R$ 1.411.437,87. Aplicado o Índice Final de Desempenho (IFD) de 0,950, o valor final apurado para o Módulo 1 foi de R$ 1.340.865,98, com multa sobre itens entregues em atraso de R$ 0,00.</w:t>
      </w:r>
    </w:p>
    <w:p>
      <w:pPr>
        <w:pStyle w:val="Heading1"/>
      </w:pPr>
      <w:r>
        <w:rPr>
          <w:color w:val="1F3A5F"/>
        </w:rPr>
        <w:t>Relatos da Reunião</w:t>
      </w:r>
    </w:p>
    <w:p>
      <w:pPr>
        <w:pStyle w:val="Heading2"/>
      </w:pPr>
      <w:r>
        <w:rPr>
          <w:color w:val="1F3A5F"/>
        </w:rPr>
        <w:t>1. Abertura e Objetivo</w:t>
      </w:r>
    </w:p>
    <w:p>
      <w:r>
        <w:rPr>
          <w:b w:val="0"/>
        </w:rPr>
        <w:t>O Fiscal do Contrato deu início à reunião com a apresentação dos objetivos da RMA de junho, esclarecendo que a pauta contemplaria a média mensal de aeronaves montadas do Contrato nº 005/CELOG-PAMALS/2025, referente ao mês de junho de 2026, bem como demais informações pertinentes à execução contratual.</w:t>
      </w:r>
    </w:p>
    <w:p>
      <w:pPr>
        <w:pStyle w:val="Heading2"/>
      </w:pPr>
      <w:r>
        <w:rPr>
          <w:color w:val="1F3A5F"/>
        </w:rPr>
        <w:t>2. Visão Macro do Contrato e Indicadores de Desempenho</w:t>
      </w:r>
    </w:p>
    <w:p>
      <w:r>
        <w:rPr>
          <w:b w:val="0"/>
        </w:rPr>
        <w:t>Foi apresentada a visão macro do contrato, com ênfase nos indicadores de desempenho do período. A Tabela 1.2 (Média Mensal de Aeronaves Montadas – MMAM e Índice Final de Desempenho – IFD) foi exibida, contendo os registros diários das aeronaves da frota ao longo do mês de junho de 2026. Os resultados consolidados foram os seguintes:</w:t>
      </w:r>
    </w:p>
    <w:tbl>
      <w:tblPr>
        <w:tblStyle w:val="TableGrid"/>
        <w:tblW w:type="auto" w:w="0"/>
        <w:tblLook w:firstColumn="1" w:firstRow="1" w:lastColumn="0" w:lastRow="0" w:noHBand="0" w:noVBand="1" w:val="04A0"/>
      </w:tblPr>
      <w:tblGrid>
        <w:gridCol w:w="4320"/>
        <w:gridCol w:w="4320"/>
      </w:tblGrid>
      <w:tr>
        <w:tc>
          <w:tcPr>
            <w:tcW w:type="dxa" w:w="4320"/>
          </w:tcPr>
          <w:p>
            <w:r>
              <w:rPr>
                <w:b/>
              </w:rPr>
              <w:t>Indicador</w:t>
            </w:r>
          </w:p>
        </w:tc>
        <w:tc>
          <w:tcPr>
            <w:tcW w:type="dxa" w:w="4320"/>
          </w:tcPr>
          <w:p>
            <w:r>
              <w:rPr>
                <w:b/>
              </w:rPr>
              <w:t>Valor</w:t>
            </w:r>
          </w:p>
        </w:tc>
      </w:tr>
      <w:tr>
        <w:tc>
          <w:tcPr>
            <w:tcW w:type="dxa" w:w="4320"/>
          </w:tcPr>
          <w:p>
            <w:r>
              <w:t>Média Mensal de Aeronaves Montadas (MMAM)</w:t>
            </w:r>
          </w:p>
        </w:tc>
        <w:tc>
          <w:tcPr>
            <w:tcW w:type="dxa" w:w="4320"/>
          </w:tcPr>
          <w:p>
            <w:r>
              <w:t>90,43%</w:t>
            </w:r>
          </w:p>
        </w:tc>
      </w:tr>
      <w:tr>
        <w:tc>
          <w:tcPr>
            <w:tcW w:type="dxa" w:w="4320"/>
          </w:tcPr>
          <w:p>
            <w:r>
              <w:t>Pontuação Obtida (P)</w:t>
            </w:r>
          </w:p>
        </w:tc>
        <w:tc>
          <w:tcPr>
            <w:tcW w:type="dxa" w:w="4320"/>
          </w:tcPr>
          <w:p>
            <w:r>
              <w:t>624</w:t>
            </w:r>
          </w:p>
        </w:tc>
      </w:tr>
      <w:tr>
        <w:tc>
          <w:tcPr>
            <w:tcW w:type="dxa" w:w="4320"/>
          </w:tcPr>
          <w:p>
            <w:r>
              <w:t>Pontuação Máxima no Mês (PMAX)</w:t>
            </w:r>
          </w:p>
        </w:tc>
        <w:tc>
          <w:tcPr>
            <w:tcW w:type="dxa" w:w="4320"/>
          </w:tcPr>
          <w:p>
            <w:r>
              <w:t>690</w:t>
            </w:r>
          </w:p>
        </w:tc>
      </w:tr>
      <w:tr>
        <w:tc>
          <w:tcPr>
            <w:tcW w:type="dxa" w:w="4320"/>
          </w:tcPr>
          <w:p>
            <w:r>
              <w:t>Índice Final de Desempenho (IFD)</w:t>
            </w:r>
          </w:p>
        </w:tc>
        <w:tc>
          <w:tcPr>
            <w:tcW w:type="dxa" w:w="4320"/>
          </w:tcPr>
          <w:p>
            <w:r>
              <w:t>0,95</w:t>
            </w:r>
          </w:p>
        </w:tc>
      </w:tr>
    </w:tbl>
    <w:p>
      <w:pPr>
        <w:pStyle w:val="Heading2"/>
      </w:pPr>
      <w:r>
        <w:rPr>
          <w:color w:val="1F3A5F"/>
        </w:rPr>
        <w:t>3. Aeronaves com Desempenho Negativo – Emergências</w:t>
      </w:r>
    </w:p>
    <w:p>
      <w:r>
        <w:rPr>
          <w:b w:val="0"/>
        </w:rPr>
        <w:t>Na sequência, foram apresentadas as aeronaves que apresentaram desempenho negativo no período, com detalhamento das emergências registradas por matrícula, conforme abaixo:</w:t>
      </w:r>
    </w:p>
    <w:p>
      <w:r>
        <w:rPr>
          <w:b/>
        </w:rPr>
        <w:t>Aeronave FAB 2719</w:t>
      </w:r>
    </w:p>
    <w:p>
      <w:pPr>
        <w:pStyle w:val="ListBullet"/>
      </w:pPr>
      <w:r>
        <w:t>Emg nº 685260012256 – PN B100-06 (COUPLING, Cat. C): Emg iniciada em 25/06/2026, informada em 25/06/2026, prazo de entrega 06/07/2026, DPE VEE ONE —. Antecipação: 5 dia(s). Emergencia atendida conforme recibo 514/FAB/26. Godoy 01/07/2026.</w:t>
      </w:r>
    </w:p>
    <w:p>
      <w:r>
        <w:rPr>
          <w:b/>
        </w:rPr>
        <w:t>Aeronave FAB 2721</w:t>
      </w:r>
    </w:p>
    <w:p>
      <w:pPr>
        <w:pStyle w:val="ListBullet"/>
      </w:pPr>
      <w:r>
        <w:t>Emg nº 329260019148 – PN 060-0017-00 (FLIGHT DIR HOR, Cat. R): Emg iniciada em 08/06/2026, informada em 09/06/2026, prazo de entrega 20/06/2026, DPE VEE ONE —. Atraso: 2 dia(s). Emergência passou era do 2709 e foi transferida para o 2721 em 11/06. Ramon 12/06/26.  AWB 12742258241 Volume retirado na loja GOLLOG - BSB por Mario Jorge Costa em 22/06/2026 - Godoy 23/06/2026.</w:t>
      </w:r>
    </w:p>
    <w:p>
      <w:r>
        <w:rPr>
          <w:b/>
        </w:rPr>
        <w:t>Aeronave FAB 2723</w:t>
      </w:r>
    </w:p>
    <w:p>
      <w:pPr>
        <w:pStyle w:val="ListBullet"/>
      </w:pPr>
      <w:r>
        <w:t>Emg nº 419260000555 – PN 3244897-4 (FUEL CONTROL UNIT, Cat. R): Emg iniciada em 22/06/2026, informada em 23/06/2026, prazo de entrega 04/07/2026, DPE VEE ONE —. Antecipação: 2 dia(s). Recibo 532/FAB/26 assinado em 02/07. Ramon 06/07/26.</w:t>
      </w:r>
    </w:p>
    <w:p>
      <w:r>
        <w:rPr>
          <w:b/>
        </w:rPr>
        <w:t>Aeronave FAB 2729</w:t>
      </w:r>
    </w:p>
    <w:p>
      <w:pPr>
        <w:pStyle w:val="ListBullet"/>
      </w:pPr>
      <w:r>
        <w:t>Emg nº 685260012257 – PN B100-06 (COUPLING, Cat. C): Emg iniciada em 25/06/2026, informada em 25/06/2026, prazo de entrega 06/07/2026, DPE VEE ONE —. Antecipação: 5 dia(s). Emergencia atendida conforme recibo 514/FAB/26. Godoy 01/07/2026.</w:t>
      </w:r>
    </w:p>
    <w:p>
      <w:r>
        <w:rPr>
          <w:b/>
        </w:rPr>
        <w:t>Aeronave FAB 2737</w:t>
      </w:r>
    </w:p>
    <w:p>
      <w:pPr>
        <w:pStyle w:val="ListBullet"/>
      </w:pPr>
      <w:r>
        <w:t>Emg nº 313260018317 – PN 40SP-100 (CELL BATTERY, Cat. C): Emg iniciada em 08/06/2026, informada em 09/06/2026, prazo de entrega 20/06/2026, DPE VEE ONE —. Antecipação: 5 dia(s). Emerg. alterada de IPLR para MPCA. Godoy 09/06/26. Emg retornou para IPLR em 10/06. Ramon 11/06/26 Emd cancelada em 15/06, pois a anv ficou disponível.</w:t>
      </w:r>
    </w:p>
    <w:p>
      <w:r>
        <w:rPr>
          <w:b/>
        </w:rPr>
        <w:t>Aeronave FAB 2738</w:t>
      </w:r>
    </w:p>
    <w:p>
      <w:pPr>
        <w:pStyle w:val="ListBullet"/>
      </w:pPr>
      <w:r>
        <w:t>Emg nº 313260018292 – PN 40SP-100 (CELL BATTERY, Cat. C): Emg iniciada em 03/06/2026, informada em 03/06/2026, prazo de entrega 14/06/2026, DPE VEE ONE —. Antecipação: 2 dia(s). Volume retirado na loja GOLLOG - QMA por Francisca keltilen em 08/06 - Godoy 10/06/26. item entregue no Recibo 445/FAB/26 - Godoy 12/06/26.</w:t>
      </w:r>
    </w:p>
    <w:p>
      <w:pPr>
        <w:pStyle w:val="ListBullet"/>
      </w:pPr>
      <w:r>
        <w:t>Emg nº 313260018322 – PN 1H75-21 (PRESSURE REGULATOR, Cat. T): Emg iniciada em 09/06/2026, informada em 10/06/2026, prazo de entrega 21/06/2026, DPE VEE ONE —. Antecipação: 9 dia(s). AWB 127-4061 6170. Recibo 468/FAB/26 AWB 127-4061 6170 entregue em 12/06/26. Ramon 17/06/26. Emg concluída pelo operador. Ramon 18/06/26.</w:t>
      </w:r>
    </w:p>
    <w:p>
      <w:pPr>
        <w:pStyle w:val="ListBullet"/>
      </w:pPr>
      <w:r>
        <w:t>Emg nº 313260018413 – PN MS25182-2 (CONNECTOR,PLUG,ELECT, Cat. C): Emg iniciada em 12/06/2026, informada em 12/06/2026, prazo de entrega 23/06/2026, DPE VEE ONE —. Atraso: 6 dia(s). AWB 127-4324 3174. AWB 127-4324 3174 entregue em 29/06. Ramon 30/06/26</w:t>
      </w:r>
    </w:p>
    <w:p>
      <w:r>
        <w:rPr>
          <w:b/>
        </w:rPr>
        <w:t>Aeronave FAB 2739</w:t>
      </w:r>
    </w:p>
    <w:p>
      <w:pPr>
        <w:pStyle w:val="ListBullet"/>
      </w:pPr>
      <w:r>
        <w:t>Emg nº 396260016517 – PN 3244809-1 (FUEL CONTROL,MAIN,TU, Cat. R): Emg iniciada em 11/06/2026, informada em 11/06/2026, prazo de entrega 22/06/2026, DPE VEE ONE —. Atraso: 9 dia(s). Informar o número do Recibo. Godoy 30/06/2026. Item recebido em 26/06 através do termo 020/GLOG-BE/2026, porém foram identificadas discrepância, foi aberto AT para o PAMA-SP para verificar a possibilidade de uso ou não da FCU. No dia 30/06 a emergência foi dada como atendida, porém ainda sem resposta se será necessário atendimento de outra FCU ou não. Ramon 01/07/26. Como foi aberto FCU para verificar a possibilidade de utlizar e a empresa ficou aguardando resposta da Engenharia junto ao operador vou considerar montado da entrega até a resposta da engenharia.Foi enviado a resposta do assessormanto a empresa e considerar desmontada a partir do dia 07/07/26. 1T Wallace</w:t>
      </w:r>
    </w:p>
    <w:p>
      <w:pPr>
        <w:pStyle w:val="Heading2"/>
      </w:pPr>
      <w:r>
        <w:rPr>
          <w:color w:val="1F3A5F"/>
        </w:rPr>
        <w:t>4. Horas de Voo e Valor Contratual</w:t>
      </w:r>
    </w:p>
    <w:p>
      <w:r>
        <w:rPr>
          <w:b w:val="0"/>
        </w:rPr>
        <w:t>Foi apresentado o extrato de horas de voo do período, totalizando 830 horas e 35 minutos voadas e 789 horas e 3 minutos faturadas. O valor unitário da hora de voo utilizado foi de R$ 1.699,33, resultando em um valor bruto de R$ 1.411.437,87. Aplicado o IFD de 0,950, o valor final do Módulo 1 apurado foi de R$ 1.340.865,98, com multa por itens entregues em atraso de R$ 0,00.</w:t>
      </w:r>
    </w:p>
    <w:p>
      <w:pPr>
        <w:pStyle w:val="Heading2"/>
      </w:pPr>
      <w:r>
        <w:rPr>
          <w:color w:val="1F3A5F"/>
        </w:rPr>
        <w:t>5. Notas Fiscais e Status de Pagamento</w:t>
      </w:r>
    </w:p>
    <w:p>
      <w:r>
        <w:rPr>
          <w:b w:val="0"/>
        </w:rPr>
        <w:t>Situação geral do contrato: valor total pendente de faturamento de R$ 10.859.430,44. 2 nota(s) fiscal(is) com valor pendente de pagamento: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Referência</w:t>
            </w:r>
          </w:p>
        </w:tc>
        <w:tc>
          <w:tcPr>
            <w:tcW w:type="dxa" w:w="1728"/>
          </w:tcPr>
          <w:p>
            <w:r>
              <w:rPr>
                <w:b/>
              </w:rPr>
              <w:t>NF</w:t>
            </w:r>
          </w:p>
        </w:tc>
        <w:tc>
          <w:tcPr>
            <w:tcW w:type="dxa" w:w="1728"/>
          </w:tcPr>
          <w:p>
            <w:r>
              <w:rPr>
                <w:b/>
              </w:rPr>
              <w:t>Valor</w:t>
            </w:r>
          </w:p>
        </w:tc>
        <w:tc>
          <w:tcPr>
            <w:tcW w:type="dxa" w:w="1728"/>
          </w:tcPr>
          <w:p>
            <w:r>
              <w:rPr>
                <w:b/>
              </w:rPr>
              <w:t>Pendente</w:t>
            </w:r>
          </w:p>
        </w:tc>
        <w:tc>
          <w:tcPr>
            <w:tcW w:type="dxa" w:w="1728"/>
          </w:tcPr>
          <w:p>
            <w:r>
              <w:rPr>
                <w:b/>
              </w:rPr>
              <w:t>Situação</w:t>
            </w:r>
          </w:p>
        </w:tc>
      </w:tr>
      <w:tr>
        <w:tc>
          <w:tcPr>
            <w:tcW w:type="dxa" w:w="1728"/>
          </w:tcPr>
          <w:p>
            <w:r>
              <w:t>Módulo II – Orçamento 01/26</w:t>
            </w:r>
          </w:p>
        </w:tc>
        <w:tc>
          <w:tcPr>
            <w:tcW w:type="dxa" w:w="1728"/>
          </w:tcPr>
          <w:p>
            <w:r>
              <w:t>nan</w:t>
            </w:r>
          </w:p>
        </w:tc>
        <w:tc>
          <w:tcPr>
            <w:tcW w:type="dxa" w:w="1728"/>
          </w:tcPr>
          <w:p>
            <w:r>
              <w:t>—</w:t>
            </w:r>
          </w:p>
        </w:tc>
        <w:tc>
          <w:tcPr>
            <w:tcW w:type="dxa" w:w="1728"/>
          </w:tcPr>
          <w:p>
            <w:r>
              <w:t>R$ 15.854,78</w:t>
            </w:r>
          </w:p>
        </w:tc>
        <w:tc>
          <w:tcPr>
            <w:tcW w:type="dxa" w:w="1728"/>
          </w:tcPr>
          <w:p>
            <w:r>
              <w:t>Pendente</w:t>
            </w:r>
          </w:p>
        </w:tc>
      </w:tr>
      <w:tr>
        <w:tc>
          <w:tcPr>
            <w:tcW w:type="dxa" w:w="1728"/>
          </w:tcPr>
          <w:p>
            <w:r>
              <w:t>Módulo II – Orçamento 03/26</w:t>
            </w:r>
          </w:p>
        </w:tc>
        <w:tc>
          <w:tcPr>
            <w:tcW w:type="dxa" w:w="1728"/>
          </w:tcPr>
          <w:p>
            <w:r>
              <w:t>nan</w:t>
            </w:r>
          </w:p>
        </w:tc>
        <w:tc>
          <w:tcPr>
            <w:tcW w:type="dxa" w:w="1728"/>
          </w:tcPr>
          <w:p>
            <w:r>
              <w:t>—</w:t>
            </w:r>
          </w:p>
        </w:tc>
        <w:tc>
          <w:tcPr>
            <w:tcW w:type="dxa" w:w="1728"/>
          </w:tcPr>
          <w:p>
            <w:r>
              <w:t>R$ 24.962,38</w:t>
            </w:r>
          </w:p>
        </w:tc>
        <w:tc>
          <w:tcPr>
            <w:tcW w:type="dxa" w:w="1728"/>
          </w:tcPr>
          <w:p>
            <w:r>
              <w:t>Pendente</w:t>
            </w:r>
          </w:p>
        </w:tc>
      </w:tr>
    </w:tbl>
    <w:p>
      <w:pPr>
        <w:pStyle w:val="Heading2"/>
      </w:pPr>
      <w:r>
        <w:rPr>
          <w:color w:val="1F3A5F"/>
        </w:rPr>
        <w:t>6. Módulos 2 e 3 – Orçamentos</w:t>
      </w:r>
    </w:p>
    <w:p>
      <w:r>
        <w:rPr>
          <w:i/>
          <w:color w:val="990000"/>
        </w:rPr>
        <w:t>[Discussão sobre orçamentos dos Módulos 2 e 3 — revisar a partir da transcrição da reunião, ao final deste documento]</w:t>
      </w:r>
    </w:p>
    <w:p>
      <w:pPr>
        <w:pStyle w:val="Heading2"/>
      </w:pPr>
      <w:r>
        <w:rPr>
          <w:color w:val="1F3A5F"/>
        </w:rPr>
        <w:t>7. Controle de Empréstimos e Devoluções</w:t>
      </w:r>
    </w:p>
    <w:p>
      <w:r>
        <w:rPr>
          <w:b w:val="0"/>
        </w:rPr>
        <w:t>Foi apresentado o controle de empréstimos de materiais realizados no mês de junho de 2026: 48 linha(s) de pedido, totalizando 294 de quantidade (soma da coluna Quantidade de cada linha). O detalhamento de PN, nomenclatura, quantidade, pedido/emergência, motivo, aeronave atendida e destino consta no Anexo A desta ata.</w:t>
      </w:r>
    </w:p>
    <w:p>
      <w:pPr>
        <w:pStyle w:val="Heading2"/>
      </w:pPr>
      <w:r>
        <w:rPr>
          <w:color w:val="1F3A5F"/>
        </w:rPr>
        <w:t>8. Controle de Reparáveis</w:t>
      </w:r>
    </w:p>
    <w:p>
      <w:r>
        <w:rPr>
          <w:b w:val="0"/>
        </w:rPr>
        <w:t>Foi retomado o assunto do controle de reparáveis: 324 Ordem(ns) de Serviço em aberto no momento da extração. O controle completo consta no Anexo B desta ata.</w:t>
      </w:r>
    </w:p>
    <w:p>
      <w:pPr>
        <w:pStyle w:val="Heading2"/>
      </w:pPr>
      <w:r>
        <w:rPr>
          <w:color w:val="1F3A5F"/>
        </w:rPr>
        <w:t>9. Apuração de Entregas – IMR</w:t>
      </w:r>
    </w:p>
    <w:p>
      <w:r>
        <w:rPr>
          <w:b w:val="0"/>
        </w:rPr>
        <w:t>Foram apresentados os dados da apuração de entregas do período: de 39 entregas previstas, 29 foram realizadas no prazo, resultando em um índice de 74,36%.</w:t>
      </w:r>
    </w:p>
    <w:p>
      <w:pPr>
        <w:pStyle w:val="Heading2"/>
      </w:pPr>
      <w:r>
        <w:rPr>
          <w:color w:val="1F3A5F"/>
        </w:rPr>
        <w:t>10. Controle do MAPEM e devoluções de itens emprestados</w:t>
      </w:r>
    </w:p>
    <w:p>
      <w:r>
        <w:rPr>
          <w:i/>
          <w:color w:val="990000"/>
        </w:rPr>
        <w:t>[Discussão sobre MAPEM e devoluções — revisar a partir da transcrição da reunião, ao final deste documento]</w:t>
      </w:r>
    </w:p>
    <w:p>
      <w:pPr>
        <w:pStyle w:val="Heading2"/>
      </w:pPr>
      <w:r>
        <w:rPr>
          <w:color w:val="1F3A5F"/>
        </w:rPr>
        <w:t>11. Encerramento</w:t>
      </w:r>
    </w:p>
    <w:p>
      <w:r>
        <w:rPr>
          <w:i/>
          <w:color w:val="990000"/>
        </w:rPr>
        <w:t>[Observações de encerramento — revisar a partir da transcrição da reunião, ao final deste documento]</w:t>
      </w:r>
    </w:p>
    <w:p>
      <w:pPr>
        <w:pStyle w:val="Heading1"/>
      </w:pPr>
      <w:r>
        <w:rPr>
          <w:color w:val="1F3A5F"/>
        </w:rPr>
        <w:t>Pendências e Encaminhamentos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Nº</w:t>
            </w:r>
          </w:p>
        </w:tc>
        <w:tc>
          <w:tcPr>
            <w:tcW w:type="dxa" w:w="2160"/>
          </w:tcPr>
          <w:p>
            <w:r>
              <w:rPr>
                <w:b/>
              </w:rPr>
              <w:t>Pendência / Encaminhamento</w:t>
            </w:r>
          </w:p>
        </w:tc>
        <w:tc>
          <w:tcPr>
            <w:tcW w:type="dxa" w:w="2160"/>
          </w:tcPr>
          <w:p>
            <w:r>
              <w:rPr>
                <w:b/>
              </w:rPr>
              <w:t>Responsável</w:t>
            </w:r>
          </w:p>
        </w:tc>
        <w:tc>
          <w:tcPr>
            <w:tcW w:type="dxa" w:w="2160"/>
          </w:tcPr>
          <w:p>
            <w:r>
              <w:rPr>
                <w:b/>
              </w:rPr>
              <w:t>Prazo</w:t>
            </w:r>
          </w:p>
        </w:tc>
      </w:tr>
      <w:tr>
        <w:tc>
          <w:tcPr>
            <w:tcW w:type="dxa" w:w="2160"/>
          </w:tcPr>
          <w:p>
            <w:r>
              <w:t>1</w:t>
            </w:r>
          </w:p>
        </w:tc>
        <w:tc>
          <w:tcPr>
            <w:tcW w:type="dxa" w:w="2160"/>
          </w:tcPr>
          <w:p>
            <w:r>
              <w:t>[revisar a partir da transcrição da reunião]</w:t>
            </w:r>
          </w:p>
        </w:tc>
        <w:tc>
          <w:tcPr>
            <w:tcW w:type="dxa" w:w="2160"/>
          </w:tcPr>
          <w:p>
            <w:r>
              <w:t>—</w:t>
            </w:r>
          </w:p>
        </w:tc>
        <w:tc>
          <w:tcPr>
            <w:tcW w:type="dxa" w:w="2160"/>
          </w:tcPr>
          <w:p>
            <w:r>
              <w:t>—</w:t>
            </w:r>
          </w:p>
        </w:tc>
      </w:tr>
    </w:tbl>
    <w:p>
      <w:r>
        <w:br w:type="page"/>
      </w:r>
    </w:p>
    <w:p>
      <w:pPr>
        <w:pStyle w:val="Heading1"/>
      </w:pPr>
      <w:r>
        <w:rPr>
          <w:color w:val="1F3A5F"/>
        </w:rPr>
        <w:t>Assinaturas</w:t>
      </w:r>
    </w:p>
    <w:p>
      <w:r>
        <w:rPr>
          <w:b w:val="0"/>
        </w:rPr>
        <w:t>Representante do PAMALS:</w:t>
      </w:r>
    </w:p>
    <w:p>
      <w:r>
        <w:rPr>
          <w:b w:val="0"/>
        </w:rPr>
        <w:t>________________________________________</w:t>
      </w:r>
    </w:p>
    <w:p>
      <w:r>
        <w:rPr>
          <w:b w:val="0"/>
        </w:rPr>
        <w:t>Fiscal do Contrato</w:t>
      </w:r>
    </w:p>
    <w:p/>
    <w:p>
      <w:r>
        <w:rPr>
          <w:b w:val="0"/>
        </w:rPr>
        <w:t>Representante da Contratada:</w:t>
      </w:r>
    </w:p>
    <w:p>
      <w:r>
        <w:rPr>
          <w:b w:val="0"/>
        </w:rPr>
        <w:t>________________________________________</w:t>
      </w:r>
    </w:p>
    <w:p>
      <w:r>
        <w:rPr>
          <w:b w:val="0"/>
        </w:rPr>
        <w:t>Preposto – VEE-ONE Manutenção e Serviços Técnicos LTDA</w:t>
      </w:r>
    </w:p>
    <w:p>
      <w:r>
        <w:br w:type="page"/>
      </w:r>
    </w:p>
    <w:p>
      <w:pPr>
        <w:pStyle w:val="Heading1"/>
      </w:pPr>
      <w:r>
        <w:rPr>
          <w:color w:val="1F3A5F"/>
        </w:rPr>
        <w:t>ANEXO A — Controle de Devoluções (Empréstimos do mês)</w:t>
      </w:r>
    </w:p>
    <w:p>
      <w:r>
        <w:rPr>
          <w:b/>
        </w:rPr>
        <w:t>Contrato nº 005/CELOG-PAMALS/2025 — Junho de 2026</w:t>
      </w:r>
    </w:p>
    <w:p>
      <w:r>
        <w:rPr>
          <w:b w:val="0"/>
        </w:rPr>
        <w:t>(página 1 de 2)</w:t>
      </w:r>
    </w:p>
    <w:p>
      <w:r>
        <w:drawing>
          <wp:inline xmlns:a="http://schemas.openxmlformats.org/drawingml/2006/main" xmlns:pic="http://schemas.openxmlformats.org/drawingml/2006/picture">
            <wp:extent cx="5943600" cy="4381061"/>
            <wp:docPr id="1" name="Picture 1"/>
            <wp:cNvGraphicFramePr>
              <a:graphicFrameLocks noChangeAspect="1"/>
            </wp:cNvGraphicFramePr>
            <a:graphic>
              <a:graphicData uri="http://schemas.openxmlformats.org/drawingml/2006/picture">
                <pic:pic>
                  <pic:nvPicPr>
                    <pic:cNvPr id="0" name="_anexo_a_emprestimos_2026-06_1.png"/>
                    <pic:cNvPicPr/>
                  </pic:nvPicPr>
                  <pic:blipFill>
                    <a:blip r:embed="rId9"/>
                    <a:stretch>
                      <a:fillRect/>
                    </a:stretch>
                  </pic:blipFill>
                  <pic:spPr>
                    <a:xfrm>
                      <a:off x="0" y="0"/>
                      <a:ext cx="5943600" cy="4381061"/>
                    </a:xfrm>
                    <a:prstGeom prst="rect"/>
                  </pic:spPr>
                </pic:pic>
              </a:graphicData>
            </a:graphic>
          </wp:inline>
        </w:drawing>
      </w:r>
    </w:p>
    <w:p>
      <w:r>
        <w:br w:type="page"/>
      </w:r>
    </w:p>
    <w:p>
      <w:r>
        <w:rPr>
          <w:b w:val="0"/>
        </w:rPr>
        <w:t>(página 2 de 2)</w:t>
      </w:r>
    </w:p>
    <w:p>
      <w:r>
        <w:drawing>
          <wp:inline xmlns:a="http://schemas.openxmlformats.org/drawingml/2006/main" xmlns:pic="http://schemas.openxmlformats.org/drawingml/2006/picture">
            <wp:extent cx="5943600" cy="381344"/>
            <wp:docPr id="2" name="Picture 2"/>
            <wp:cNvGraphicFramePr>
              <a:graphicFrameLocks noChangeAspect="1"/>
            </wp:cNvGraphicFramePr>
            <a:graphic>
              <a:graphicData uri="http://schemas.openxmlformats.org/drawingml/2006/picture">
                <pic:pic>
                  <pic:nvPicPr>
                    <pic:cNvPr id="0" name="_anexo_a_emprestimos_2026-06_2.png"/>
                    <pic:cNvPicPr/>
                  </pic:nvPicPr>
                  <pic:blipFill>
                    <a:blip r:embed="rId10"/>
                    <a:stretch>
                      <a:fillRect/>
                    </a:stretch>
                  </pic:blipFill>
                  <pic:spPr>
                    <a:xfrm>
                      <a:off x="0" y="0"/>
                      <a:ext cx="5943600" cy="381344"/>
                    </a:xfrm>
                    <a:prstGeom prst="rect"/>
                  </pic:spPr>
                </pic:pic>
              </a:graphicData>
            </a:graphic>
          </wp:inline>
        </w:drawing>
      </w:r>
    </w:p>
    <w:p>
      <w:r>
        <w:br w:type="page"/>
      </w:r>
    </w:p>
    <w:p>
      <w:pPr>
        <w:pStyle w:val="Heading1"/>
      </w:pPr>
      <w:r>
        <w:rPr>
          <w:color w:val="1F3A5F"/>
        </w:rPr>
        <w:t>ANEXO B — Controle de Reparáveis (C-98, em aberto)</w:t>
      </w:r>
    </w:p>
    <w:p>
      <w:r>
        <w:rPr>
          <w:b/>
        </w:rPr>
        <w:t>Contrato nº 005/CELOG-PAMALS/2025 — extraído em 13/07/2026</w:t>
      </w:r>
    </w:p>
    <w:p>
      <w:r>
        <w:rPr>
          <w:b w:val="0"/>
        </w:rPr>
        <w:t>(página 1 de 8)</w:t>
      </w:r>
    </w:p>
    <w:p>
      <w:r>
        <w:drawing>
          <wp:inline xmlns:a="http://schemas.openxmlformats.org/drawingml/2006/main" xmlns:pic="http://schemas.openxmlformats.org/drawingml/2006/picture">
            <wp:extent cx="5943600" cy="4383256"/>
            <wp:docPr id="3" name="Picture 3"/>
            <wp:cNvGraphicFramePr>
              <a:graphicFrameLocks noChangeAspect="1"/>
            </wp:cNvGraphicFramePr>
            <a:graphic>
              <a:graphicData uri="http://schemas.openxmlformats.org/drawingml/2006/picture">
                <pic:pic>
                  <pic:nvPicPr>
                    <pic:cNvPr id="0" name="_anexo_b_reparaveis_2026-06_1.png"/>
                    <pic:cNvPicPr/>
                  </pic:nvPicPr>
                  <pic:blipFill>
                    <a:blip r:embed="rId11"/>
                    <a:stretch>
                      <a:fillRect/>
                    </a:stretch>
                  </pic:blipFill>
                  <pic:spPr>
                    <a:xfrm>
                      <a:off x="0" y="0"/>
                      <a:ext cx="5943600" cy="4383256"/>
                    </a:xfrm>
                    <a:prstGeom prst="rect"/>
                  </pic:spPr>
                </pic:pic>
              </a:graphicData>
            </a:graphic>
          </wp:inline>
        </w:drawing>
      </w:r>
    </w:p>
    <w:p>
      <w:r>
        <w:br w:type="page"/>
      </w:r>
    </w:p>
    <w:p>
      <w:r>
        <w:rPr>
          <w:b w:val="0"/>
        </w:rPr>
        <w:t>(página 2 de 8)</w:t>
      </w:r>
    </w:p>
    <w:p>
      <w:r>
        <w:drawing>
          <wp:inline xmlns:a="http://schemas.openxmlformats.org/drawingml/2006/main" xmlns:pic="http://schemas.openxmlformats.org/drawingml/2006/picture">
            <wp:extent cx="5943600" cy="4383256"/>
            <wp:docPr id="4" name="Picture 4"/>
            <wp:cNvGraphicFramePr>
              <a:graphicFrameLocks noChangeAspect="1"/>
            </wp:cNvGraphicFramePr>
            <a:graphic>
              <a:graphicData uri="http://schemas.openxmlformats.org/drawingml/2006/picture">
                <pic:pic>
                  <pic:nvPicPr>
                    <pic:cNvPr id="0" name="_anexo_b_reparaveis_2026-06_2.png"/>
                    <pic:cNvPicPr/>
                  </pic:nvPicPr>
                  <pic:blipFill>
                    <a:blip r:embed="rId12"/>
                    <a:stretch>
                      <a:fillRect/>
                    </a:stretch>
                  </pic:blipFill>
                  <pic:spPr>
                    <a:xfrm>
                      <a:off x="0" y="0"/>
                      <a:ext cx="5943600" cy="4383256"/>
                    </a:xfrm>
                    <a:prstGeom prst="rect"/>
                  </pic:spPr>
                </pic:pic>
              </a:graphicData>
            </a:graphic>
          </wp:inline>
        </w:drawing>
      </w:r>
    </w:p>
    <w:p>
      <w:r>
        <w:br w:type="page"/>
      </w:r>
    </w:p>
    <w:p>
      <w:r>
        <w:rPr>
          <w:b w:val="0"/>
        </w:rPr>
        <w:t>(página 3 de 8)</w:t>
      </w:r>
    </w:p>
    <w:p>
      <w:r>
        <w:drawing>
          <wp:inline xmlns:a="http://schemas.openxmlformats.org/drawingml/2006/main" xmlns:pic="http://schemas.openxmlformats.org/drawingml/2006/picture">
            <wp:extent cx="5943600" cy="4381061"/>
            <wp:docPr id="5" name="Picture 5"/>
            <wp:cNvGraphicFramePr>
              <a:graphicFrameLocks noChangeAspect="1"/>
            </wp:cNvGraphicFramePr>
            <a:graphic>
              <a:graphicData uri="http://schemas.openxmlformats.org/drawingml/2006/picture">
                <pic:pic>
                  <pic:nvPicPr>
                    <pic:cNvPr id="0" name="_anexo_b_reparaveis_2026-06_3.png"/>
                    <pic:cNvPicPr/>
                  </pic:nvPicPr>
                  <pic:blipFill>
                    <a:blip r:embed="rId13"/>
                    <a:stretch>
                      <a:fillRect/>
                    </a:stretch>
                  </pic:blipFill>
                  <pic:spPr>
                    <a:xfrm>
                      <a:off x="0" y="0"/>
                      <a:ext cx="5943600" cy="4381061"/>
                    </a:xfrm>
                    <a:prstGeom prst="rect"/>
                  </pic:spPr>
                </pic:pic>
              </a:graphicData>
            </a:graphic>
          </wp:inline>
        </w:drawing>
      </w:r>
    </w:p>
    <w:p>
      <w:r>
        <w:br w:type="page"/>
      </w:r>
    </w:p>
    <w:p>
      <w:r>
        <w:rPr>
          <w:b w:val="0"/>
        </w:rPr>
        <w:t>(página 4 de 8)</w:t>
      </w:r>
    </w:p>
    <w:p>
      <w:r>
        <w:drawing>
          <wp:inline xmlns:a="http://schemas.openxmlformats.org/drawingml/2006/main" xmlns:pic="http://schemas.openxmlformats.org/drawingml/2006/picture">
            <wp:extent cx="5943600" cy="4383256"/>
            <wp:docPr id="6" name="Picture 6"/>
            <wp:cNvGraphicFramePr>
              <a:graphicFrameLocks noChangeAspect="1"/>
            </wp:cNvGraphicFramePr>
            <a:graphic>
              <a:graphicData uri="http://schemas.openxmlformats.org/drawingml/2006/picture">
                <pic:pic>
                  <pic:nvPicPr>
                    <pic:cNvPr id="0" name="_anexo_b_reparaveis_2026-06_4.png"/>
                    <pic:cNvPicPr/>
                  </pic:nvPicPr>
                  <pic:blipFill>
                    <a:blip r:embed="rId14"/>
                    <a:stretch>
                      <a:fillRect/>
                    </a:stretch>
                  </pic:blipFill>
                  <pic:spPr>
                    <a:xfrm>
                      <a:off x="0" y="0"/>
                      <a:ext cx="5943600" cy="4383256"/>
                    </a:xfrm>
                    <a:prstGeom prst="rect"/>
                  </pic:spPr>
                </pic:pic>
              </a:graphicData>
            </a:graphic>
          </wp:inline>
        </w:drawing>
      </w:r>
    </w:p>
    <w:p>
      <w:r>
        <w:br w:type="page"/>
      </w:r>
    </w:p>
    <w:p>
      <w:r>
        <w:rPr>
          <w:b w:val="0"/>
        </w:rPr>
        <w:t>(página 5 de 8)</w:t>
      </w:r>
    </w:p>
    <w:p>
      <w:r>
        <w:drawing>
          <wp:inline xmlns:a="http://schemas.openxmlformats.org/drawingml/2006/main" xmlns:pic="http://schemas.openxmlformats.org/drawingml/2006/picture">
            <wp:extent cx="5943600" cy="4383256"/>
            <wp:docPr id="7" name="Picture 7"/>
            <wp:cNvGraphicFramePr>
              <a:graphicFrameLocks noChangeAspect="1"/>
            </wp:cNvGraphicFramePr>
            <a:graphic>
              <a:graphicData uri="http://schemas.openxmlformats.org/drawingml/2006/picture">
                <pic:pic>
                  <pic:nvPicPr>
                    <pic:cNvPr id="0" name="_anexo_b_reparaveis_2026-06_5.png"/>
                    <pic:cNvPicPr/>
                  </pic:nvPicPr>
                  <pic:blipFill>
                    <a:blip r:embed="rId15"/>
                    <a:stretch>
                      <a:fillRect/>
                    </a:stretch>
                  </pic:blipFill>
                  <pic:spPr>
                    <a:xfrm>
                      <a:off x="0" y="0"/>
                      <a:ext cx="5943600" cy="4383256"/>
                    </a:xfrm>
                    <a:prstGeom prst="rect"/>
                  </pic:spPr>
                </pic:pic>
              </a:graphicData>
            </a:graphic>
          </wp:inline>
        </w:drawing>
      </w:r>
    </w:p>
    <w:p>
      <w:r>
        <w:br w:type="page"/>
      </w:r>
    </w:p>
    <w:p>
      <w:r>
        <w:rPr>
          <w:b w:val="0"/>
        </w:rPr>
        <w:t>(página 6 de 8)</w:t>
      </w:r>
    </w:p>
    <w:p>
      <w:r>
        <w:drawing>
          <wp:inline xmlns:a="http://schemas.openxmlformats.org/drawingml/2006/main" xmlns:pic="http://schemas.openxmlformats.org/drawingml/2006/picture">
            <wp:extent cx="5943600" cy="4383256"/>
            <wp:docPr id="8" name="Picture 8"/>
            <wp:cNvGraphicFramePr>
              <a:graphicFrameLocks noChangeAspect="1"/>
            </wp:cNvGraphicFramePr>
            <a:graphic>
              <a:graphicData uri="http://schemas.openxmlformats.org/drawingml/2006/picture">
                <pic:pic>
                  <pic:nvPicPr>
                    <pic:cNvPr id="0" name="_anexo_b_reparaveis_2026-06_6.png"/>
                    <pic:cNvPicPr/>
                  </pic:nvPicPr>
                  <pic:blipFill>
                    <a:blip r:embed="rId16"/>
                    <a:stretch>
                      <a:fillRect/>
                    </a:stretch>
                  </pic:blipFill>
                  <pic:spPr>
                    <a:xfrm>
                      <a:off x="0" y="0"/>
                      <a:ext cx="5943600" cy="4383256"/>
                    </a:xfrm>
                    <a:prstGeom prst="rect"/>
                  </pic:spPr>
                </pic:pic>
              </a:graphicData>
            </a:graphic>
          </wp:inline>
        </w:drawing>
      </w:r>
    </w:p>
    <w:p>
      <w:r>
        <w:br w:type="page"/>
      </w:r>
    </w:p>
    <w:p>
      <w:r>
        <w:rPr>
          <w:b w:val="0"/>
        </w:rPr>
        <w:t>(página 7 de 8)</w:t>
      </w:r>
    </w:p>
    <w:p>
      <w:r>
        <w:drawing>
          <wp:inline xmlns:a="http://schemas.openxmlformats.org/drawingml/2006/main" xmlns:pic="http://schemas.openxmlformats.org/drawingml/2006/picture">
            <wp:extent cx="5943600" cy="4383256"/>
            <wp:docPr id="9" name="Picture 9"/>
            <wp:cNvGraphicFramePr>
              <a:graphicFrameLocks noChangeAspect="1"/>
            </wp:cNvGraphicFramePr>
            <a:graphic>
              <a:graphicData uri="http://schemas.openxmlformats.org/drawingml/2006/picture">
                <pic:pic>
                  <pic:nvPicPr>
                    <pic:cNvPr id="0" name="_anexo_b_reparaveis_2026-06_7.png"/>
                    <pic:cNvPicPr/>
                  </pic:nvPicPr>
                  <pic:blipFill>
                    <a:blip r:embed="rId17"/>
                    <a:stretch>
                      <a:fillRect/>
                    </a:stretch>
                  </pic:blipFill>
                  <pic:spPr>
                    <a:xfrm>
                      <a:off x="0" y="0"/>
                      <a:ext cx="5943600" cy="4383256"/>
                    </a:xfrm>
                    <a:prstGeom prst="rect"/>
                  </pic:spPr>
                </pic:pic>
              </a:graphicData>
            </a:graphic>
          </wp:inline>
        </w:drawing>
      </w:r>
    </w:p>
    <w:p>
      <w:r>
        <w:br w:type="page"/>
      </w:r>
    </w:p>
    <w:p>
      <w:r>
        <w:rPr>
          <w:b w:val="0"/>
        </w:rPr>
        <w:t>(página 8 de 8)</w:t>
      </w:r>
    </w:p>
    <w:p>
      <w:r>
        <w:drawing>
          <wp:inline xmlns:a="http://schemas.openxmlformats.org/drawingml/2006/main" xmlns:pic="http://schemas.openxmlformats.org/drawingml/2006/picture">
            <wp:extent cx="5943600" cy="952882"/>
            <wp:docPr id="10" name="Picture 10"/>
            <wp:cNvGraphicFramePr>
              <a:graphicFrameLocks noChangeAspect="1"/>
            </wp:cNvGraphicFramePr>
            <a:graphic>
              <a:graphicData uri="http://schemas.openxmlformats.org/drawingml/2006/picture">
                <pic:pic>
                  <pic:nvPicPr>
                    <pic:cNvPr id="0" name="_anexo_b_reparaveis_2026-06_8.png"/>
                    <pic:cNvPicPr/>
                  </pic:nvPicPr>
                  <pic:blipFill>
                    <a:blip r:embed="rId18"/>
                    <a:stretch>
                      <a:fillRect/>
                    </a:stretch>
                  </pic:blipFill>
                  <pic:spPr>
                    <a:xfrm>
                      <a:off x="0" y="0"/>
                      <a:ext cx="5943600" cy="952882"/>
                    </a:xfrm>
                    <a:prstGeom prst="rect"/>
                  </pic:spPr>
                </pic:pic>
              </a:graphicData>
            </a:graphic>
          </wp:inline>
        </w:drawing>
      </w:r>
    </w:p>
    <w:p>
      <w:r>
        <w:br w:type="page"/>
      </w:r>
    </w:p>
    <w:p>
      <w:pPr>
        <w:pStyle w:val="Heading1"/>
      </w:pPr>
      <w:r>
        <w:rPr>
          <w:color w:val="1F3A5F"/>
        </w:rPr>
        <w:t>Transcrição da Reunião (rascunho automático — revisar)</w:t>
      </w:r>
    </w:p>
    <w:p>
      <w:r>
        <w:rPr>
          <w:b w:val="0"/>
        </w:rPr>
        <w:t>Transcrição gerada automaticamente a partir do áudio da reunião (Whisper, local). Pode conter erros de nomes/termos técnicos — usar como referência pra completar as seções marcadas acima, não como texto final.</w:t>
      </w:r>
    </w:p>
    <w:p>
      <w:r>
        <w:rPr>
          <w:b w:val="0"/>
        </w:rPr>
        <w:t>﻿Foi iniciada a apresentação da RMA estavam presentes o preposto da empresa Paulo O a nova a nova representante da empresa a D. O Resende e o Cláudio os preposição da Laa Santa e o representantes da FB o Tenente Wallace fiscal e o sargento Ramon auxiliar. O objetivo foi apresentar a minha dimensão da aerálise do mês de junho foi apresentado um extrato Do mês onde a média mensal de aeronaves montadas foi 90,29 pontuação máxima obtida 623.  Pouação obtida 623 de 690 índice de final desempenho 095. Aí eu passei pelas aeronaves conforme slide Fabio 27 09 com as emergências relacionadas com 2721 que tá em negrito é a segunda então e a você avalia a A emergência 19148 final e aí ela passou ela foi até o dia 11 né aí depois foi o 2721 vamo ler emergências do 21 Leia as emergências do Fábio 2723 leia as emergências do Fábio 2729 leia as emergências do Fábio 2738 e leia as emergências do Fábio 2739 sobre o 2739 apesar dela ter sido cancelada pelo próprio operador no dia um do sete ela foi recebida no dia 20 no dia 26/6 através do recibo 02 Gog Belém mas assim teve a questão da depois né que o pessoal recebeu observou algumas discrepâncias. Mas essas discrepâncias elas passaram por análise da engenharia de São Paulo então por conta disso né esse a empresa não sabe a Fabio não sabia se ia utilizar aquela UFCU ou não eu achei justo como tá montada até aquela data específica né por conta que eu não falei nada com a empresa ela então ela achou que tinha recebido Apesar de saber que ia nos bastidores ela sabia dessa discrepância aí e aí voltou apresentou o índice desempenta total de novo teve 83035. aplicando o índice 1.340.863 e 42.  Foi apresentado as notas fiscais o status dosmes o proposto perguntou sobre as notas de liquidação eu falei que eu vou tentar mandar pra eles quais são essas notas de liquidados ali pra que eu sei que gera uma confusão lá de pagamento foi apresentado um extrato geral mas pouco visual dos do das coisas tão pendentes então é só o módulo um módulo sobre o módulo dois né a gente tem aí guardando os itens né é o orçamento zero de 2026 e eu enviei o orçamento 03 de 2026 também foi uma aprovação parcial não sei se o texto ficou correto só tirei o os conjuntos de de frei os dois no valor de4.962 38 acho que houve uma confusão de valores mas eu estou à disposição para corrigir se eu tiver feito errado também. Foi apresentado os empréstimos em junho Do mês de junho e aí eu apresentei um panorama geral onde estava escrito total de itens mas onde lê total de itens é o total de linhas total de pedidos né não tá atado ao total de pedidos né então teve Com relacionado aos empréstimos né. Eu fiquei de disponibilizar também pra empresa além dos prepostos que estão em sede que já tenha essa essa planilha.  O fiscal acha que o Roberto Carlos já tem essa essa planilha aí também. Os reparáveis que apresentado tem 323 em oS mas dessas 323 aí tem algumas que já foram entregues pela própria a própria já colocou antes que elas elas estão a princípio em iOS 214 né lembrando aí da que tudo que for sair em iOS a partir do dia um do sete a gente vai cobrar aí o O TAT e os que não estão a S o prep ainda tá definindo aí vem entregando os itens que tão com eles né que já passou o tempo. Então aí teve foi apresentado aí as emergências entregues entregues ou concluídos no mês né a porcentagem então teve um total de R$ 39 entregas 29 no prazo totalizando aí um QD mensal de 74.  O preposto ele passou a falar ele falou sobre É citou um caso da FCU ele fez a leitura do FCU de um relatório da Lipe falando que o item con ele tá incompleto ele fica mais caro ele exemplificou com ele com um caso específico de um d dum SN fez a leitura completa. mostrando como que a FC os chega né o o fiscal falou que a o estado de saída da da FCU pra empresa reparar ela tem que reparar do jeito que ela pegar e entrar em condições mas uma vez que ela entregou o item em condições se aquele item apresentado defeito o item ele tem que se recolhido completo se a empresa entregou completo e devolver completo né e se isso não tá acontecendo tá errado a gente vai a gente vai A gente vai é buscar corrigir né e a orientar os operadores e aí foi foi lida uma proposta de Mapem que a gente vai analisar que a gente tem que ver ali quais são as implicações que a gente tem pra pra aquele mapaem. sem mais nada foi aproveitado a oportunidade para apresentar a Desiree a nova colaboradora da empresa. Não tendo mais nada mais nada a se falar foi pra terminada a reunião.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