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Exercícios - Aula 02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Exercícios sobre vetor:</w:t>
      </w:r>
    </w:p>
    <w:tbl>
      <w:tblPr>
        <w:tblStyle w:val="SombreamentoClaro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3239"/>
        <w:gridCol w:w="25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ID</w:t>
            </w:r>
          </w:p>
        </w:tc>
        <w:tc>
          <w:tcPr>
            <w:tcW w:w="3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Nome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Disponível em: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1172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Substituição em Vetor 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1173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Preenchimento de Vetor 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1174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Seleçao em Vetor 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1175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Troca em Vetor 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1176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Fibonacci em Vetor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1177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Preenchimento de Vetor II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1178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Preenchimento de Vetor III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1179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Preenchimento de Vetor IV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1180</w:t>
            </w:r>
          </w:p>
        </w:tc>
        <w:tc>
          <w:tcPr>
            <w:tcW w:w="3239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Menor e Posição</w:t>
            </w:r>
          </w:p>
        </w:tc>
        <w:tc>
          <w:tcPr>
            <w:tcW w:w="252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Exercícios sobre matriz:</w:t>
      </w:r>
    </w:p>
    <w:tbl>
      <w:tblPr>
        <w:tblStyle w:val="SombreamentoClaro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3239"/>
        <w:gridCol w:w="25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ID</w:t>
            </w:r>
          </w:p>
        </w:tc>
        <w:tc>
          <w:tcPr>
            <w:tcW w:w="3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Nome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1" w:name="_GoBack1"/>
            <w:bookmarkEnd w:id="1"/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Disponível em: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1181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Linha da Matriz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1183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Acima da Diagonal Principal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1185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Acima da Diagonal Secundária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1187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Área Superior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1189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Área Esquerda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1435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Matriz Quadrada 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1478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Matriz Quadrada II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/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1557</w:t>
            </w:r>
          </w:p>
        </w:tc>
        <w:tc>
          <w:tcPr>
            <w:tcW w:w="323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2" w:name="__DdeLink__113_1899865970"/>
            <w:bookmarkEnd w:id="2"/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Matriz Quadrada III</w:t>
            </w:r>
          </w:p>
        </w:tc>
        <w:tc>
          <w:tcPr>
            <w:tcW w:w="2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color w:val="000000" w:themeColor="text1" w:themeShade="bf"/>
                <w:sz w:val="24"/>
                <w:szCs w:val="24"/>
              </w:rPr>
              <w:t>1827</w:t>
            </w:r>
          </w:p>
        </w:tc>
        <w:tc>
          <w:tcPr>
            <w:tcW w:w="3239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Matriz Quadrada IV</w:t>
            </w:r>
          </w:p>
        </w:tc>
        <w:tc>
          <w:tcPr>
            <w:tcW w:w="252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 w:themeColor="text1" w:themeShade="bf"/>
                <w:sz w:val="24"/>
                <w:szCs w:val="24"/>
              </w:rPr>
              <w:t>URI Online Judge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91b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691b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LibreOffice/5.2.3.3$Linux_X86_64 LibreOffice_project/20m0$Build-3</Application>
  <Pages>1</Pages>
  <Words>151</Words>
  <Characters>737</Characters>
  <CharactersWithSpaces>825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2016-12-01T21:40:00Z</dcterms:created>
  <dc:creator>Palloma</dc:creator>
  <dc:description/>
  <dc:language>pt-BR</dc:language>
  <cp:lastModifiedBy/>
  <dcterms:modified xsi:type="dcterms:W3CDTF">2016-12-05T20:57:36Z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