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POC Test Cases — Data Platform Validation</w:t>
      </w:r>
    </w:p>
    <w:p>
      <w:pPr>
        <w:pStyle w:val="CoverLogo"/>
      </w:pPr>
      <w:r>
        <w:drawing>
          <wp:inline>
            <wp:extent cx="1295999" cy="132045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huawei-logo-cove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13204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verText"/>
      </w:pPr>
      <w:r>
        <w:t xml:space="preserve">Huawei Technologies CO., LTD</w:t>
      </w:r>
    </w:p>
    <w:p>
      <w:pPr>
        <w:pStyle w:val="CoverMeta"/>
      </w:pPr>
      <w:r>
        <w:t xml:space="preserve">v2.1.0 — 2026-09-13 11:23</w:t>
      </w:r>
    </w:p>
    <w:p>
      <w:r>
        <w:br w:type="page"/>
      </w:r>
    </w:p>
    <w:p>
      <w:pPr>
        <w:pStyle w:val="TOCTitle"/>
      </w:pPr>
      <w:r>
        <w:t xml:space="preserve">Contents</w:t>
      </w:r>
    </w:p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  <w:instrText xml:space="preserve"> TOC \o "1-3" \h \z \u </w:instrText>
            <w:fldChar w:fldCharType="separate"/>
            <w:fldChar w:fldCharType="end"/>
          </w:r>
        </w:p>
      </w:sdtContent>
    </w:sdt>
    <w:p>
      <w:r>
        <w:br w:type="page"/>
      </w:r>
    </w:p>
    <w:tbl>
      <w:tblPr>
        <w:tblW w:w="9638" w:type="dxa"/>
        <w:tblLayout w:type="fixed"/>
        <w:tblBorders>
          <w:top w:val="none" w:sz="0" w:space="0" w:color="auto"/>
          <w:left w:val="single" w:sz="24" w:space="0" w:color="1565C0"/>
          <w:bottom w:val="none" w:sz="0" w:space="0" w:color="auto"/>
          <w:right w:val="none" w:sz="0" w:space="0" w:color="auto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638" w:type="dxa"/>
            <w:shd w:val="clear" w:color="auto" w:fill="E3F2FD"/>
          </w:tcPr>
          <w:p>
            <w:r>
              <w:rPr>
                <w:rFonts w:ascii="HarmonyOS Sans" w:hAnsi="HarmonyOS Sans"/>
                <w:b/>
                <w:color w:val="1565C0"/>
                <w:sz w:val="21"/>
                <w:szCs w:val="21"/>
              </w:rPr>
              <w:t>Info</w:t>
            </w:r>
          </w:p>
          <w:p>
            <w:pPr>
              <w:pStyle w:val="BodyText"/>
            </w:pPr>
            <w:r>
              <w:t xml:space="preserve">This document demonstrates the</w:t>
            </w:r>
            <w:r>
              <w:t xml:space="preserve"> </w:t>
            </w:r>
            <w:r>
              <w:rPr>
                <w:rStyle w:val="VerbatimChar"/>
              </w:rPr>
              <w:t xml:space="preserve">testbook</w:t>
            </w:r>
            <w:r>
              <w:t xml:space="preserve"> </w:t>
            </w:r>
            <w:r>
              <w:t xml:space="preserve">template (</w:t>
            </w:r>
            <w:r>
              <w:rPr>
                <w:rStyle w:val="VerbatimChar"/>
              </w:rPr>
              <w:t xml:space="preserve">testbook.cls</w:t>
            </w:r>
            <w:r>
              <w:t xml:space="preserve">) for</w:t>
            </w:r>
            <w:r>
              <w:t xml:space="preserve"> </w:t>
            </w:r>
            <w:r>
              <w:t xml:space="preserve">Huawei Cloud POC/acceptance test case documents. It exercises all available</w:t>
            </w:r>
            <w:r>
              <w:t xml:space="preserve"> </w:t>
            </w:r>
            <w:r>
              <w:t xml:space="preserve">commands and environments: cover page, table of contents, test case environment</w:t>
            </w:r>
            <w:r>
              <w:t xml:space="preserve"> </w:t>
            </w:r>
            <w:r>
              <w:t xml:space="preserve">with all field commands, mini header bars, testprocedure environment with</w:t>
            </w:r>
            <w:r>
              <w:t xml:space="preserve"> </w:t>
            </w:r>
            <w:r>
              <w:t xml:space="preserve">step-by-step actions, objectives block, code blocks, images, callouts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warning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infobox</w:t>
            </w:r>
            <w:r>
              <w:t xml:space="preserve">), tables, badge,</w:t>
            </w:r>
            <w:r>
              <w:t xml:space="preserve"> </w:t>
            </w:r>
            <w:r>
              <w:t xml:space="preserve">menu paths, weblinks, notes, param references, test summary table,</w:t>
            </w:r>
            <w:r>
              <w:t xml:space="preserve"> </w:t>
            </w:r>
            <w:r>
              <w:t xml:space="preserve">result badges, and changelog.</w:t>
            </w:r>
          </w:p>
        </w:tc>
      </w:tr>
    </w:tbl>
    <w:p>
      <w:pPr>
        <w:spacing w:before="120" w:after="0"/>
      </w:pPr>
    </w:p>
    <w:p>
      <w:pPr>
        <w:pStyle w:val="Heading1"/>
        <w:pBdr>
          <w:bottom w:val="single" w:sz="12" w:space="2" w:color="C7000B"/>
        </w:pBdr>
        <w:tabs>
          <w:tab w:val="right" w:pos="9638"/>
        </w:tabs>
      </w:pPr>
      <w:bookmarkStart w:id="100" w:name="test-cases-description"/>
      <w:r>
        <w:rPr>
          <w:sz w:val="112"/>
          <w:szCs w:val="112"/>
        </w:rPr>
        <w:t xml:space="preserve">1</w:t>
      </w:r>
      <w:r>
        <w:tab/>
      </w:r>
      <w:r>
        <w:t xml:space="preserve">Test Cases Description</w:t>
      </w:r>
      <w:bookmarkEnd w:id="100"/>
    </w:p>
    <w:p>
      <w:pPr>
        <w:pStyle w:val="BodyText"/>
      </w:pPr>
      <w:r>
        <w:rPr>
          <w:bCs/>
          <w:b/>
        </w:rPr>
        <w:t xml:space="preserve">General Objective:</w:t>
      </w:r>
      <w:r>
        <w:t xml:space="preserve"> </w:t>
      </w:r>
      <w:r>
        <w:t xml:space="preserve">Validate the Huawei Cloud Data Platform deployment for the</w:t>
      </w:r>
      <w:r>
        <w:t xml:space="preserve"> </w:t>
      </w:r>
      <w:r>
        <w:t xml:space="preserve">POC environment, ensuring that all core services (DataArts Studio, MRS,</w:t>
      </w:r>
      <w:r>
        <w:t xml:space="preserve"> </w:t>
      </w:r>
      <w:r>
        <w:t xml:space="preserve">OBS, VPC) are provisioned correctly, accessible, and functioning as</w:t>
      </w:r>
      <w:r>
        <w:t xml:space="preserve"> </w:t>
      </w:r>
      <w:r>
        <w:t xml:space="preserve">specified in the solution architecture.</w:t>
      </w:r>
    </w:p>
    <w:p>
      <w:pPr>
        <w:pStyle w:val="BodyText"/>
      </w:pPr>
      <w:r>
        <w:rPr>
          <w:bCs/>
          <w:b/>
        </w:rPr>
        <w:t xml:space="preserve">Prerequisites:</w:t>
      </w:r>
      <w:r>
        <w:t xml:space="preserve"> </w:t>
      </w:r>
    </w:p>
    <w:p>
      <w:pPr>
        <w:numPr>
          <w:ilvl w:val="0"/>
          <w:numId w:val="1001"/>
        </w:numPr>
      </w:pPr>
      <w:r>
        <w:t xml:space="preserve">Huawei Cloud account with IAM admin privileges in the</w:t>
      </w:r>
      <w:r>
        <w:t xml:space="preserve"> </w:t>
      </w:r>
      <w:r>
        <w:rPr>
          <w:rStyle w:val="VerbatimChar"/>
        </w:rPr>
        <w:t xml:space="preserve">sa-brazil-1</w:t>
      </w:r>
      <w:r>
        <w:t xml:space="preserve"> </w:t>
      </w:r>
      <w:r>
        <w:t xml:space="preserve">region.</w:t>
      </w:r>
    </w:p>
    <w:p>
      <w:pPr>
        <w:numPr>
          <w:ilvl w:val="0"/>
          <w:numId w:val="1001"/>
        </w:numPr>
      </w:pPr>
      <w:r>
        <w:t xml:space="preserve">VPC, subnet, and security groups already created by the infrastructure team.</w:t>
      </w:r>
    </w:p>
    <w:p>
      <w:pPr>
        <w:numPr>
          <w:ilvl w:val="0"/>
          <w:numId w:val="1001"/>
        </w:numPr>
      </w:pPr>
      <w:r>
        <w:t xml:space="preserve">DataArts Studio instance (Dayu) provisioned and licensed.</w:t>
      </w:r>
    </w:p>
    <w:p>
      <w:pPr>
        <w:numPr>
          <w:ilvl w:val="0"/>
          <w:numId w:val="1001"/>
        </w:numPr>
      </w:pPr>
      <w:r>
        <w:t xml:space="preserve">MRS cluster deployed with the required component stack (HDFS, YARN, Spark, Hive).</w:t>
      </w:r>
    </w:p>
    <w:p>
      <w:pPr>
        <w:numPr>
          <w:ilvl w:val="0"/>
          <w:numId w:val="1001"/>
        </w:numPr>
      </w:pPr>
      <w:r>
        <w:t xml:space="preserve">OBS bucket created and accessible with the designated IAM policy.</w:t>
      </w:r>
    </w:p>
    <w:p>
      <w:pPr>
        <w:numPr>
          <w:ilvl w:val="0"/>
          <w:numId w:val="1001"/>
        </w:numPr>
      </w:pPr>
      <w:r>
        <w:t xml:space="preserve">Test execution environment with network connectivity to the Huawei Cloud Console.</w:t>
      </w:r>
    </w:p>
    <w:p>
      <w:pPr>
        <w:numPr>
          <w:ilvl w:val="0"/>
          <w:numId w:val="1001"/>
        </w:numPr>
      </w:pPr>
      <w:r>
        <w:rPr>
          <w:rStyle w:val="VerbatimChar"/>
        </w:rPr>
        <w:t xml:space="preserve">latexmk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terraform</w:t>
      </w:r>
      <w:r>
        <w:t xml:space="preserve"> </w:t>
      </w:r>
      <w:r>
        <w:t xml:space="preserve">CLI tools installed locally.</w:t>
      </w:r>
    </w:p>
    <w:p>
      <w:pPr>
        <w:pStyle w:val="ObjectivesRule"/>
      </w:pPr>
      <w:r>
        <w:t xml:space="preserve">​</w:t>
      </w:r>
    </w:p>
    <w:p>
      <w:pPr>
        <w:pStyle w:val="Heading2"/>
      </w:pPr>
      <w:bookmarkStart w:id="101" w:name="test-scope"/>
      <w:r>
        <w:t xml:space="preserve">1.1</w:t>
      </w:r>
      <w:r>
        <w:t xml:space="preserve"> Test Scope</w:t>
      </w:r>
      <w:bookmarkEnd w:id="101"/>
    </w:p>
    <w:tbl>
      <w:tblPr>
        <w:tblW w:w="9638" w:type="dxa"/>
        <w:tblLayout w:type="fixed"/>
        <w:tblBorders>
          <w:top w:val="single" w:sz="4" w:space="0" w:color="C7000B"/>
          <w:left w:val="single" w:sz="4" w:space="0" w:color="C7000B"/>
          <w:bottom w:val="single" w:sz="4" w:space="0" w:color="C7000B"/>
          <w:right w:val="single" w:sz="4" w:space="0" w:color="C7000B"/>
          <w:insideH w:val="single" w:sz="4" w:space="0" w:color="C7000B"/>
          <w:insideV w:val="single" w:sz="4" w:space="0" w:color="C7000B"/>
        </w:tblBorders>
        <w:tblCellMar>
          <w:left w:w="100" w:type="dxa"/>
          <w:right w:w="100" w:type="dxa"/>
        </w:tblCellMar>
      </w:tblPr>
      <w:tr>
        <w:trPr>
          <w:tblHeader/>
        </w:trPr>
        <w:tc>
          <w:tcPr>
            <w:shd w:val="clear" w:color="auto" w:fill="C7000B"/>
          </w:tcPr>
          <w:p>
            <w:pPr>
              <w:jc w:val="center"/>
            </w:pPr>
            <w:r>
              <w:rPr>
                <w:rFonts w:ascii="HarmonyOS Sans" w:hAnsi="HarmonyOS Sans"/>
                <w:b/>
                <w:color w:val="FFFFFF"/>
                <w:sz w:val="18"/>
                <w:szCs w:val="18"/>
              </w:rPr>
              <w:t>Domain</w:t>
            </w:r>
          </w:p>
        </w:tc>
        <w:tc>
          <w:tcPr>
            <w:shd w:val="clear" w:color="auto" w:fill="C7000B"/>
          </w:tcPr>
          <w:p>
            <w:pPr>
              <w:jc w:val="center"/>
            </w:pPr>
            <w:r>
              <w:rPr>
                <w:rFonts w:ascii="HarmonyOS Sans" w:hAnsi="HarmonyOS Sans"/>
                <w:b/>
                <w:color w:val="FFFFFF"/>
                <w:sz w:val="18"/>
                <w:szCs w:val="18"/>
              </w:rPr>
              <w:t>What Should Be Observed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Platform Architecture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Core services are deployed, healthy, and reachable via the Console API.</w:t>
            </w:r>
          </w:p>
        </w:tc>
      </w:tr>
      <w:tr>
        <w:tc>
          <w:tcPr>
            <w:shd w:val="clear" w:color="auto" w:fill="F6F8FA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Data Engineering</w:t>
            </w:r>
          </w:p>
        </w:tc>
        <w:tc>
          <w:tcPr>
            <w:shd w:val="clear" w:color="auto" w:fill="F6F8FA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DataArts Studio pipelines can ingest, transform, and load data into the target storage.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Data Storage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OBS buckets and MRS HDFS accept writes/reads with correct permissions.</w:t>
            </w:r>
          </w:p>
        </w:tc>
      </w:tr>
      <w:tr>
        <w:tc>
          <w:tcPr>
            <w:shd w:val="clear" w:color="auto" w:fill="F6F8FA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Security</w:t>
            </w:r>
          </w:p>
        </w:tc>
        <w:tc>
          <w:tcPr>
            <w:shd w:val="clear" w:color="auto" w:fill="F6F8FA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IAM policies, VPC isolation, and security group rules enforce the intended access control.</w:t>
            </w:r>
          </w:p>
        </w:tc>
      </w:tr>
    </w:tbl>
    <w:p>
      <w:pPr>
        <w:pStyle w:val="Heading2"/>
      </w:pPr>
      <w:bookmarkStart w:id="102" w:name="preconditions-and-preparations"/>
      <w:r>
        <w:t xml:space="preserve">1.2</w:t>
      </w:r>
      <w:r>
        <w:t xml:space="preserve"> Preconditions and Preparations</w:t>
      </w:r>
      <w:bookmarkEnd w:id="102"/>
    </w:p>
    <w:p>
      <w:pPr>
        <w:numPr>
          <w:ilvl w:val="0"/>
          <w:numId w:val="1002"/>
        </w:numPr>
      </w:pPr>
      <w:r>
        <w:t xml:space="preserve">All infrastructure resources must be provisioned via Terraform and the</w:t>
      </w:r>
      <w:r>
        <w:t xml:space="preserve"> </w:t>
      </w:r>
      <w:r>
        <w:rPr>
          <w:rStyle w:val="VerbatimChar"/>
        </w:rPr>
        <w:t xml:space="preserve">terraform apply</w:t>
      </w:r>
      <w:r>
        <w:t xml:space="preserve"> </w:t>
      </w:r>
      <w:r>
        <w:t xml:space="preserve">output must show zero errors.</w:t>
      </w:r>
    </w:p>
    <w:p>
      <w:pPr>
        <w:numPr>
          <w:ilvl w:val="0"/>
          <w:numId w:val="1002"/>
        </w:numPr>
      </w:pPr>
      <w:r>
        <w:t xml:space="preserve">The MRS cluster must be in</w:t>
      </w:r>
      <w:r>
        <w:t xml:space="preserve"> </w:t>
      </w:r>
      <w:r>
        <w:rPr>
          <w:bCs/>
          <w:b/>
        </w:rPr>
        <w:t xml:space="preserve">Running</w:t>
      </w:r>
      <w:r>
        <w:t xml:space="preserve"> </w:t>
      </w:r>
      <w:r>
        <w:t xml:space="preserve">state before any data engineering test case is executed.</w:t>
      </w:r>
    </w:p>
    <w:p>
      <w:pPr>
        <w:numPr>
          <w:ilvl w:val="0"/>
          <w:numId w:val="1002"/>
        </w:numPr>
      </w:pPr>
      <w:r>
        <w:t xml:space="preserve">Test data files (CSV/JSON) must be uploaded to the designated OBS bucket prior to pipeline execution.</w:t>
      </w:r>
    </w:p>
    <w:p>
      <w:pPr>
        <w:numPr>
          <w:ilvl w:val="0"/>
          <w:numId w:val="1002"/>
        </w:numPr>
      </w:pPr>
      <w:r>
        <w:t xml:space="preserve">Each tester must have a personal IAM account with the</w:t>
      </w:r>
      <w:r>
        <w:t xml:space="preserve"> </w:t>
      </w:r>
      <w:r>
        <w:rPr>
          <w:bCs/>
          <w:b/>
        </w:rPr>
        <w:t xml:space="preserve">Dayu_User</w:t>
      </w:r>
      <w:r>
        <w:t xml:space="preserve"> </w:t>
      </w:r>
      <w:r>
        <w:t xml:space="preserve">role assigned in DataArts Studio.</w:t>
      </w:r>
    </w:p>
    <w:p>
      <w:pPr>
        <w:numPr>
          <w:ilvl w:val="0"/>
          <w:numId w:val="1002"/>
        </w:numPr>
      </w:pPr>
      <w:r>
        <w:t xml:space="preserve">Network firewall rules must allow inbound TCP 22 (SSH) and TCP 443 (HTTPS) from the test execution subnet.</w:t>
      </w:r>
    </w:p>
    <w:p>
      <w:pPr>
        <w:pStyle w:val="FirstParagraph"/>
      </w:pPr>
      <w:r>
        <w:rPr>
          <w:iCs/>
          <w:i/>
        </w:rPr>
        <w:t xml:space="preserve">Ensure the test execution environment has the correct timezone set to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America/Sao_Paulo</w:t>
      </w:r>
      <w:r>
        <w:rPr>
          <w:iCs/>
          <w:i/>
        </w:rPr>
        <w:t xml:space="preserve"> </w:t>
      </w:r>
      <w:r>
        <w:rPr>
          <w:iCs/>
          <w:i/>
        </w:rPr>
        <w:t xml:space="preserve">(GMT-3) so that log timestamps align with the Huawei Cloud Console.</w:t>
      </w:r>
    </w:p>
    <w:p>
      <w:pPr>
        <w:pStyle w:val="SourceCode"/>
      </w:pPr>
      <w:r>
        <w:rPr>
          <w:rStyle w:val="CommentTok"/>
        </w:rPr>
        <w:t xml:space="preserve"># Verify CLI tools are installed</w:t>
      </w:r>
      <w:r>
        <w:br/>
      </w:r>
      <w:r>
        <w:rPr>
          <w:rStyle w:val="ExtensionTok"/>
        </w:rPr>
        <w:t xml:space="preserve">terraform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 xml:space="preserve">obsutil</w:t>
      </w:r>
      <w:r>
        <w:rPr>
          <w:rStyle w:val="NormalTok"/>
        </w:rPr>
        <w:t xml:space="preserve"> version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version </w:t>
      </w:r>
      <w:r>
        <w:rPr>
          <w:rStyle w:val="AttributeTok"/>
        </w:rPr>
        <w:t xml:space="preserve">--client</w:t>
      </w:r>
    </w:p>
    <w:tbl>
      <w:tblPr>
        <w:tblW w:w="9638" w:type="dxa"/>
        <w:tblLayout w:type="fixed"/>
        <w:tblBorders>
          <w:top w:val="none" w:sz="0" w:space="0" w:color="auto"/>
          <w:left w:val="single" w:sz="24" w:space="0" w:color="2E7D32"/>
          <w:bottom w:val="none" w:sz="0" w:space="0" w:color="auto"/>
          <w:right w:val="none" w:sz="0" w:space="0" w:color="auto"/>
        </w:tblBorders>
        <w:tblCellMar>
          <w:top w:w="120" w:type="dxa"/>
          <w:left w:w="160" w:type="dxa"/>
          <w:bottom w:w="120" w:type="dxa"/>
          <w:right w:w="160" w:type="dxa"/>
        </w:tblCellMar>
      </w:tblPr>
      <w:tr>
        <w:tc>
          <w:tcPr>
            <w:tcW w:w="9638" w:type="dxa"/>
            <w:shd w:val="clear" w:color="auto" w:fill="E8F5E9"/>
          </w:tcPr>
          <w:p>
            <w:r>
              <w:rPr>
                <w:rFonts w:ascii="HarmonyOS Sans" w:hAnsi="HarmonyOS Sans"/>
                <w:b/>
                <w:color w:val="2E7D32"/>
                <w:sz w:val="21"/>
                <w:szCs w:val="21"/>
              </w:rPr>
              <w:t>Tip</w:t>
            </w:r>
          </w:p>
          <w:p>
            <w:pPr>
              <w:pStyle w:val="FirstParagraph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terraform plan</w:t>
            </w:r>
            <w:r>
              <w:t xml:space="preserve"> </w:t>
            </w:r>
            <w:r>
              <w:t xml:space="preserve">before</w:t>
            </w:r>
            <w:r>
              <w:t xml:space="preserve"> </w:t>
            </w:r>
            <w:r>
              <w:rPr>
                <w:rStyle w:val="VerbatimChar"/>
              </w:rPr>
              <w:t xml:space="preserve">terraform apply</w:t>
            </w:r>
            <w:r>
              <w:t xml:space="preserve"> </w:t>
            </w:r>
            <w:r>
              <w:t xml:space="preserve">to preview</w:t>
            </w:r>
            <w:r>
              <w:t xml:space="preserve"> </w:t>
            </w:r>
            <w:r>
              <w:t xml:space="preserve">infrastructure changes and avoid unintended resource modifications.</w:t>
            </w:r>
          </w:p>
        </w:tc>
      </w:tr>
    </w:tbl>
    <w:p>
      <w:pPr>
        <w:spacing w:before="120" w:after="0"/>
      </w:pPr>
    </w:p>
    <w:p>
      <w:pPr>
        <w:pStyle w:val="Heading2"/>
      </w:pPr>
      <w:bookmarkStart w:id="103" w:name="acceptance-method"/>
      <w:r>
        <w:t xml:space="preserve">1.3</w:t>
      </w:r>
      <w:r>
        <w:t xml:space="preserve"> Acceptance Method</w:t>
      </w:r>
      <w:bookmarkEnd w:id="103"/>
    </w:p>
    <w:tbl>
      <w:tblPr>
        <w:tblW w:w="9638" w:type="dxa"/>
        <w:tblLayout w:type="fixed"/>
        <w:tblBorders>
          <w:top w:val="single" w:sz="4" w:space="0" w:color="C7000B"/>
          <w:left w:val="single" w:sz="4" w:space="0" w:color="C7000B"/>
          <w:bottom w:val="single" w:sz="4" w:space="0" w:color="C7000B"/>
          <w:right w:val="single" w:sz="4" w:space="0" w:color="C7000B"/>
          <w:insideH w:val="single" w:sz="4" w:space="0" w:color="C7000B"/>
          <w:insideV w:val="single" w:sz="4" w:space="0" w:color="C7000B"/>
        </w:tblBorders>
        <w:tblCellMar>
          <w:left w:w="100" w:type="dxa"/>
          <w:right w:w="100" w:type="dxa"/>
        </w:tblCellMar>
      </w:tblPr>
      <w:tr>
        <w:trPr>
          <w:tblHeader/>
        </w:trPr>
        <w:tc>
          <w:tcPr>
            <w:shd w:val="clear" w:color="auto" w:fill="C7000B"/>
          </w:tcPr>
          <w:p>
            <w:pPr>
              <w:jc w:val="center"/>
            </w:pPr>
            <w:r>
              <w:rPr>
                <w:rFonts w:ascii="HarmonyOS Sans" w:hAnsi="HarmonyOS Sans"/>
                <w:b/>
                <w:color w:val="FFFFFF"/>
                <w:sz w:val="18"/>
                <w:szCs w:val="18"/>
              </w:rPr>
              <w:t>Result</w:t>
            </w:r>
          </w:p>
        </w:tc>
        <w:tc>
          <w:tcPr>
            <w:shd w:val="clear" w:color="auto" w:fill="C7000B"/>
          </w:tcPr>
          <w:p>
            <w:pPr>
              <w:jc w:val="center"/>
            </w:pPr>
            <w:r>
              <w:rPr>
                <w:rFonts w:ascii="HarmonyOS Sans" w:hAnsi="HarmonyOS Sans"/>
                <w:b/>
                <w:color w:val="FFFFFF"/>
                <w:sz w:val="18"/>
                <w:szCs w:val="18"/>
              </w:rPr>
              <w:t>Explanation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Satisfied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The test case passes fully --- observed behavior matches the expected result with no deviations.</w:t>
            </w:r>
          </w:p>
        </w:tc>
      </w:tr>
      <w:tr>
        <w:tc>
          <w:tcPr>
            <w:shd w:val="clear" w:color="auto" w:fill="F6F8FA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Satisfied but with reservations</w:t>
            </w:r>
          </w:p>
        </w:tc>
        <w:tc>
          <w:tcPr>
            <w:shd w:val="clear" w:color="auto" w:fill="F6F8FA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The test case passes but minor deviations were observed that do not impact the POC objectives (documented in Remarks).</w:t>
            </w:r>
          </w:p>
        </w:tc>
      </w:tr>
      <w:tr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Not satisfied</w:t>
            </w:r>
          </w:p>
        </w:tc>
        <w:tc>
          <w:tcPr>
            <w:shd w:val="clear" w:color="auto" w:fill="FFFFFF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The test case fails --- observed behavior does not match the expected result. A defect report must be filed.</w:t>
            </w:r>
          </w:p>
        </w:tc>
      </w:tr>
      <w:tr>
        <w:tc>
          <w:tcPr>
            <w:shd w:val="clear" w:color="auto" w:fill="F6F8FA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Untested</w:t>
            </w:r>
          </w:p>
        </w:tc>
        <w:tc>
          <w:tcPr>
            <w:shd w:val="clear" w:color="auto" w:fill="F6F8FA"/>
          </w:tcPr>
          <w:p>
            <w:pPr>
              <w:jc w:val="center"/>
            </w:pPr>
            <w:r>
              <w:rPr>
                <w:rFonts w:ascii="HarmonyOS Sans" w:hAnsi="HarmonyOS Sans"/>
                <w:sz w:val="18"/>
                <w:szCs w:val="18"/>
              </w:rPr>
              <w:t>The test case could not be executed due to blocking dependencies or environment issues.</w:t>
            </w:r>
          </w:p>
        </w:tc>
      </w:tr>
    </w:tbl>
    <w:p>
      <w:pPr>
        <w:pStyle w:val="Heading2"/>
      </w:pPr>
      <w:bookmarkStart w:id="104" w:name="test-case-summary"/>
      <w:r>
        <w:t xml:space="preserve">1.4</w:t>
      </w:r>
      <w:r>
        <w:t xml:space="preserve"> Test Case Summary</w:t>
      </w:r>
      <w:bookmarkEnd w:id="104"/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MRS cluster deployment and health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OBS bucket creation and accessibility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VPC and security group 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DataArts Studio workspace creation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data ingestion pipeline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Spark SQL query on MRS cluster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IAM policy enforcement on OBS buckets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DataArts Studio data masking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Terraform infrastructure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test data upload to 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</w:tr>
    </w:tbl>
    <w:p>
      <w:r>
        <w:br w:type="page"/>
      </w:r>
    </w:p>
    <w:p>
      <w:pPr>
        <w:pStyle w:val="Heading1"/>
        <w:pBdr>
          <w:bottom w:val="single" w:sz="12" w:space="2" w:color="C7000B"/>
        </w:pBdr>
        <w:tabs>
          <w:tab w:val="right" w:pos="9638"/>
        </w:tabs>
      </w:pPr>
      <w:bookmarkStart w:id="105" w:name="platform-architecture"/>
      <w:r>
        <w:rPr>
          <w:sz w:val="112"/>
          <w:szCs w:val="112"/>
        </w:rPr>
        <w:t xml:space="preserve">2</w:t>
      </w:r>
      <w:r>
        <w:tab/>
      </w:r>
      <w:r>
        <w:t xml:space="preserve">Platform Architecture</w:t>
      </w:r>
      <w:bookmarkEnd w:id="105"/>
    </w:p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TC-001: Verify MRS cluster deployment and health</w:t>
      </w:r>
    </w:p>
    <w:p>
      <w:pPr>
        <w:pStyle w:val="DefinitionTerm"/>
      </w:pPr>
      <w:r>
        <w:t xml:space="preserve">Objective</w:t>
      </w:r>
    </w:p>
    <w:p>
      <w:pPr>
        <w:pStyle w:val="Definition"/>
      </w:pPr>
      <w:r>
        <w:t xml:space="preserve">Confirm that the MapReduce Service (MRS) cluster is deployed</w:t>
      </w:r>
      <w:r>
        <w:t xml:space="preserve"> </w:t>
      </w:r>
      <w:r>
        <w:t xml:space="preserve">with the required components (HDFS, YARN, Spark, Hive) and all nodes</w:t>
      </w:r>
      <w:r>
        <w:t xml:space="preserve"> </w:t>
      </w:r>
      <w:r>
        <w:t xml:space="preserve">report a healthy status.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Terraform infrastructure apply completed successfully.</w:t>
      </w:r>
      <w:r>
        <w:t xml:space="preserve"> </w:t>
      </w:r>
      <w:r>
        <w:t xml:space="preserve">MRS cluster ID is available in the Terraform output.</w:t>
      </w:r>
      <w:r>
        <w:t xml:space="preserve"> </w:t>
      </w:r>
      <w:r>
        <w:t xml:space="preserve">IAM user has MRS_Viewer or higher role.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Procedure</w:t>
      </w:r>
    </w:p>
    <w:p>
      <w:pPr>
        <w:numPr>
          <w:ilvl w:val="0"/>
          <w:numId w:val="1003"/>
        </w:numPr>
        <w:pStyle w:val="Compact"/>
      </w:pPr>
      <w:r>
        <w:t xml:space="preserve">Log in to the Huawei Cloud Console</w:t>
      </w:r>
    </w:p>
    <w:p>
      <w:pPr>
        <w:numPr>
          <w:ilvl w:val="0"/>
          <w:numId w:val="1003"/>
        </w:numPr>
        <w:pStyle w:val="Compact"/>
      </w:pPr>
      <w:r>
        <w:t xml:space="preserve">Navigate to Console, MapReduce Service, Clusters</w:t>
      </w:r>
    </w:p>
    <w:p>
      <w:pPr>
        <w:numPr>
          <w:ilvl w:val="0"/>
          <w:numId w:val="1003"/>
        </w:numPr>
        <w:pStyle w:val="Compact"/>
      </w:pPr>
      <w:r>
        <w:t xml:space="preserve">Locate cluster mrs-poc-cluster</w:t>
      </w:r>
    </w:p>
    <w:p>
      <w:pPr>
        <w:numPr>
          <w:ilvl w:val="0"/>
          <w:numId w:val="1003"/>
        </w:numPr>
        <w:pStyle w:val="Compact"/>
      </w:pPr>
      <w:r>
        <w:t xml:space="preserve">Verify cluster status</w:t>
      </w:r>
    </w:p>
    <w:p>
      <w:pPr>
        <w:numPr>
          <w:ilvl w:val="0"/>
          <w:numId w:val="1003"/>
        </w:numPr>
        <w:pStyle w:val="Compact"/>
      </w:pPr>
      <w:r>
        <w:t xml:space="preserve">Review Component tab</w:t>
      </w:r>
    </w:p>
    <w:p>
      <w:pPr>
        <w:numPr>
          <w:ilvl w:val="0"/>
          <w:numId w:val="1003"/>
        </w:numPr>
        <w:pStyle w:val="Compact"/>
      </w:pPr>
      <w:r>
        <w:t xml:space="preserve">Review Node tab</w:t>
      </w:r>
    </w:p>
    <w:p>
      <w:pPr>
        <w:pStyle w:val="DefinitionTerm"/>
      </w:pPr>
      <w:r>
        <w:t xml:space="preserve">Expected Result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Cluster status is Running.</w:t>
      </w:r>
      <w:r>
        <w:t xml:space="preserve"> </w:t>
      </w:r>
      <w:r>
        <w:t xml:space="preserve">All four components (HDFS, YARN, Spark, Hive) are listed with status Normal.</w:t>
      </w:r>
      <w:r>
        <w:t xml:space="preserve"> </w:t>
      </w:r>
      <w:r>
        <w:t xml:space="preserve">All nodes report status Running with no alarms.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Test Result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t xml:space="preserve">Remarks</w:t>
      </w:r>
    </w:p>
    <w:p>
      <w:pPr>
        <w:pStyle w:val="Definition"/>
      </w:pPr>
      <w:r>
        <w:t xml:space="preserve">If any component shows Abnormal, check the MRS alarm page before marking the result.</w:t>
      </w:r>
    </w:p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TC-002: Verify OBS bucket creation and accessibility</w:t>
      </w:r>
    </w:p>
    <w:p>
      <w:pPr>
        <w:pStyle w:val="DefinitionTerm"/>
      </w:pPr>
      <w:r>
        <w:t xml:space="preserve">Objective</w:t>
      </w:r>
    </w:p>
    <w:p>
      <w:pPr>
        <w:pStyle w:val="Definition"/>
      </w:pPr>
      <w:r>
        <w:t xml:space="preserve">Confirm that the Object Storage Service (OBS) bucket used</w:t>
      </w:r>
      <w:r>
        <w:t xml:space="preserve"> </w:t>
      </w:r>
      <w:r>
        <w:t xml:space="preserve">for the POC data lake is created, has the correct storage class, and</w:t>
      </w:r>
      <w:r>
        <w:t xml:space="preserve"> </w:t>
      </w:r>
      <w:r>
        <w:t xml:space="preserve">is accessible with the designated IAM policy.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OBS bucket name is defined in the Terraform configuration.</w:t>
      </w:r>
      <w:r>
        <w:t xml:space="preserve"> </w:t>
      </w:r>
      <w:r>
        <w:t xml:space="preserve">IAM policy granting read/write access to the bucket is attached to the test user.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Procedure</w:t>
      </w:r>
    </w:p>
    <w:p>
      <w:pPr>
        <w:numPr>
          <w:ilvl w:val="0"/>
          <w:numId w:val="1004"/>
        </w:numPr>
        <w:pStyle w:val="Compact"/>
      </w:pPr>
      <w:r>
        <w:t xml:space="preserve">Log in to the Console</w:t>
      </w:r>
    </w:p>
    <w:p>
      <w:pPr>
        <w:numPr>
          <w:ilvl w:val="0"/>
          <w:numId w:val="1004"/>
        </w:numPr>
        <w:pStyle w:val="Compact"/>
      </w:pPr>
      <w:r>
        <w:t xml:space="preserve">Navigate to Console, Object Storage Service</w:t>
      </w:r>
    </w:p>
    <w:p>
      <w:pPr>
        <w:numPr>
          <w:ilvl w:val="0"/>
          <w:numId w:val="1004"/>
        </w:numPr>
        <w:pStyle w:val="Compact"/>
      </w:pPr>
      <w:r>
        <w:t xml:space="preserve">Locate the bucket (e.g. poc-datalake-raw)</w:t>
      </w:r>
    </w:p>
    <w:p>
      <w:pPr>
        <w:numPr>
          <w:ilvl w:val="0"/>
          <w:numId w:val="1004"/>
        </w:numPr>
        <w:pStyle w:val="Compact"/>
      </w:pPr>
      <w:r>
        <w:t xml:space="preserve">Verify the storage class is Standard</w:t>
      </w:r>
    </w:p>
    <w:p>
      <w:pPr>
        <w:numPr>
          <w:ilvl w:val="0"/>
          <w:numId w:val="1004"/>
        </w:numPr>
        <w:pStyle w:val="Compact"/>
      </w:pPr>
      <w:r>
        <w:t xml:space="preserve">Upload a test file (test-upload.txt) to the bucket</w:t>
      </w:r>
    </w:p>
    <w:p>
      <w:pPr>
        <w:numPr>
          <w:ilvl w:val="0"/>
          <w:numId w:val="1004"/>
        </w:numPr>
        <w:pStyle w:val="Compact"/>
      </w:pPr>
      <w:r>
        <w:t xml:space="preserve">Download the file and compare its content with the original</w:t>
      </w:r>
    </w:p>
    <w:p>
      <w:pPr>
        <w:numPr>
          <w:ilvl w:val="0"/>
          <w:numId w:val="1004"/>
        </w:numPr>
        <w:pStyle w:val="Compact"/>
      </w:pPr>
      <w:r>
        <w:t xml:space="preserve">Delete the test file</w:t>
      </w:r>
    </w:p>
    <w:p>
      <w:pPr>
        <w:pStyle w:val="DefinitionTerm"/>
      </w:pPr>
      <w:r>
        <w:t xml:space="preserve">Expected Result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Bucket exists with storage class Standard.</w:t>
      </w:r>
      <w:r>
        <w:t xml:space="preserve"> </w:t>
      </w:r>
      <w:r>
        <w:t xml:space="preserve">File upload completes without error.</w:t>
      </w:r>
      <w:r>
        <w:t xml:space="preserve"> </w:t>
      </w:r>
      <w:r>
        <w:t xml:space="preserve">Downloaded file content matches the original.</w:t>
      </w:r>
      <w:r>
        <w:t xml:space="preserve"> </w:t>
      </w:r>
      <w:r>
        <w:t xml:space="preserve">File deletion succeeds.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Test Result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t xml:space="preserve">Remarks</w:t>
      </w:r>
    </w:p>
    <w:p>
      <w:pPr>
        <w:pStyle w:val="Definition"/>
      </w:pPr>
      <w:r>
        <w:t xml:space="preserve">OBS eventual consistency may cause a brief delay before a newly uploaded object appears in listings.</w:t>
      </w:r>
    </w:p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TC-003: Verify VPC and security group configuration</w:t>
      </w:r>
    </w:p>
    <w:p>
      <w:pPr>
        <w:pStyle w:val="DefinitionTerm"/>
      </w:pPr>
      <w:r>
        <w:t xml:space="preserve">Objective</w:t>
      </w:r>
    </w:p>
    <w:p>
      <w:pPr>
        <w:pStyle w:val="Definition"/>
      </w:pPr>
      <w:r>
        <w:t xml:space="preserve">Confirm that the VPC, subnet, and security groups are</w:t>
      </w:r>
      <w:r>
        <w:t xml:space="preserve"> </w:t>
      </w:r>
      <w:r>
        <w:t xml:space="preserve">configured according to the network architecture diagram, with the</w:t>
      </w:r>
      <w:r>
        <w:t xml:space="preserve"> </w:t>
      </w:r>
      <w:r>
        <w:t xml:space="preserve">correct CIDR blocks and inbound/outbound rules.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VPC and subnet IDs are available from the Terraform output.</w:t>
      </w:r>
      <w:r>
        <w:t xml:space="preserve"> </w:t>
      </w:r>
      <w:r>
        <w:t xml:space="preserve">Security group names are documented in the solution architecture.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Procedure</w:t>
      </w:r>
    </w:p>
    <w:p>
      <w:pPr>
        <w:numPr>
          <w:ilvl w:val="0"/>
          <w:numId w:val="1005"/>
        </w:numPr>
        <w:pStyle w:val="Compact"/>
      </w:pPr>
      <w:r>
        <w:t xml:space="preserve">Log in to the Console</w:t>
      </w:r>
    </w:p>
    <w:p>
      <w:pPr>
        <w:numPr>
          <w:ilvl w:val="0"/>
          <w:numId w:val="1005"/>
        </w:numPr>
        <w:pStyle w:val="Compact"/>
      </w:pPr>
      <w:r>
        <w:t xml:space="preserve">Navigate to Console, Virtual Private Cloud, VPCs</w:t>
      </w:r>
    </w:p>
    <w:p>
      <w:pPr>
        <w:numPr>
          <w:ilvl w:val="0"/>
          <w:numId w:val="1005"/>
        </w:numPr>
        <w:pStyle w:val="Compact"/>
      </w:pPr>
      <w:r>
        <w:t xml:space="preserve">Locate the VPC (e.g. vpc-poc) and verify its CIDR block matches the architecture (e.g. 10.0.0.0/16)</w:t>
      </w:r>
    </w:p>
    <w:p>
      <w:pPr>
        <w:numPr>
          <w:ilvl w:val="0"/>
          <w:numId w:val="1005"/>
        </w:numPr>
        <w:pStyle w:val="Compact"/>
      </w:pPr>
      <w:r>
        <w:t xml:space="preserve">Click the subnet and verify its CIDR (e.g. 10.0.1.0/24)</w:t>
      </w:r>
    </w:p>
    <w:p>
      <w:pPr>
        <w:numPr>
          <w:ilvl w:val="0"/>
          <w:numId w:val="1005"/>
        </w:numPr>
        <w:pStyle w:val="Compact"/>
      </w:pPr>
      <w:r>
        <w:t xml:space="preserve">Navigate to Security Groups and verify inbound rules: TCP 22 from the bastion subnet, TCP 443 from the corporate proxy</w:t>
      </w:r>
    </w:p>
    <w:p>
      <w:pPr>
        <w:numPr>
          <w:ilvl w:val="0"/>
          <w:numId w:val="1005"/>
        </w:numPr>
        <w:pStyle w:val="Compact"/>
      </w:pPr>
      <w:r>
        <w:t xml:space="preserve">Verify outbound rules allow all traffic (default)</w:t>
      </w:r>
    </w:p>
    <w:p>
      <w:pPr>
        <w:pStyle w:val="DefinitionTerm"/>
      </w:pPr>
      <w:r>
        <w:t xml:space="preserve">Expected Result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VPC CIDR is 10.0.0.0/16.</w:t>
      </w:r>
      <w:r>
        <w:t xml:space="preserve"> </w:t>
      </w:r>
      <w:r>
        <w:t xml:space="preserve">Subnet CIDR is 10.0.1.0/24.</w:t>
      </w:r>
      <w:r>
        <w:t xml:space="preserve"> </w:t>
      </w:r>
      <w:r>
        <w:t xml:space="preserve">Inbound rules match the architecture: TCP 22 and TCP 443 from the specified sources.</w:t>
      </w:r>
      <w:r>
        <w:t xml:space="preserve"> </w:t>
      </w:r>
      <w:r>
        <w:t xml:space="preserve">Outbound allows all traffic.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Test Result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t xml:space="preserve">Remarks</w:t>
      </w:r>
    </w:p>
    <w:p>
      <w:pPr>
        <w:pStyle w:val="Definition"/>
      </w:pPr>
      <w:r>
        <w:t xml:space="preserve">If the security group has additional rules beyond the architecture spec, document them in the Remarks field.</w:t>
      </w:r>
    </w:p>
    <w:p>
      <w:r>
        <w:br w:type="page"/>
      </w:r>
    </w:p>
    <w:p>
      <w:pPr>
        <w:pStyle w:val="Heading1"/>
        <w:pBdr>
          <w:bottom w:val="single" w:sz="12" w:space="2" w:color="C7000B"/>
        </w:pBdr>
        <w:tabs>
          <w:tab w:val="right" w:pos="9638"/>
        </w:tabs>
      </w:pPr>
      <w:bookmarkStart w:id="106" w:name="data-engineering"/>
      <w:r>
        <w:rPr>
          <w:sz w:val="112"/>
          <w:szCs w:val="112"/>
        </w:rPr>
        <w:t xml:space="preserve">3</w:t>
      </w:r>
      <w:r>
        <w:tab/>
      </w:r>
      <w:r>
        <w:t xml:space="preserve">Data Engineering</w:t>
      </w:r>
      <w:bookmarkEnd w:id="106"/>
    </w:p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TC-004: Verify DataArts Studio workspace creation</w:t>
      </w:r>
    </w:p>
    <w:p>
      <w:pPr>
        <w:pStyle w:val="DefinitionTerm"/>
      </w:pPr>
      <w:r>
        <w:t xml:space="preserve">Objective</w:t>
      </w:r>
    </w:p>
    <w:p>
      <w:pPr>
        <w:pStyle w:val="Definition"/>
      </w:pPr>
      <w:r>
        <w:t xml:space="preserve">Confirm that the DataArts Studio (Dayu) instance is</w:t>
      </w:r>
      <w:r>
        <w:t xml:space="preserve"> </w:t>
      </w:r>
      <w:r>
        <w:t xml:space="preserve">provisioned, the workspace is accessible, and the designated IAM</w:t>
      </w:r>
      <w:r>
        <w:t xml:space="preserve"> </w:t>
      </w:r>
      <w:r>
        <w:t xml:space="preserve">users can log in with the Dayu_User role.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DataArts Studio instance is provisioned and its status is Running.</w:t>
      </w:r>
      <w:r>
        <w:t xml:space="preserve"> </w:t>
      </w:r>
      <w:r>
        <w:t xml:space="preserve">Test IAM user has the Dayu_User role assigned.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Procedure</w:t>
      </w:r>
    </w:p>
    <w:p>
      <w:pPr>
        <w:numPr>
          <w:ilvl w:val="0"/>
          <w:numId w:val="1006"/>
        </w:numPr>
        <w:pStyle w:val="Compact"/>
      </w:pPr>
      <w:r>
        <w:t xml:space="preserve">Log in to the Console with the test IAM user</w:t>
      </w:r>
    </w:p>
    <w:p>
      <w:pPr>
        <w:numPr>
          <w:ilvl w:val="0"/>
          <w:numId w:val="1006"/>
        </w:numPr>
        <w:pStyle w:val="Compact"/>
      </w:pPr>
      <w:r>
        <w:t xml:space="preserve">Navigate to Console, DataArts Studio, Workspaces</w:t>
      </w:r>
    </w:p>
    <w:p>
      <w:pPr>
        <w:numPr>
          <w:ilvl w:val="0"/>
          <w:numId w:val="1006"/>
        </w:numPr>
        <w:pStyle w:val="Compact"/>
      </w:pPr>
      <w:r>
        <w:t xml:space="preserve">Locate the workspace (e.g. poc-workspace)</w:t>
      </w:r>
    </w:p>
    <w:p>
      <w:pPr>
        <w:numPr>
          <w:ilvl w:val="0"/>
          <w:numId w:val="1006"/>
        </w:numPr>
        <w:pStyle w:val="Compact"/>
      </w:pPr>
      <w:r>
        <w:t xml:space="preserve">Click Access Workspace to open the DataArts Studio console</w:t>
      </w:r>
    </w:p>
    <w:p>
      <w:pPr>
        <w:numPr>
          <w:ilvl w:val="0"/>
          <w:numId w:val="1006"/>
        </w:numPr>
        <w:pStyle w:val="Compact"/>
      </w:pPr>
      <w:r>
        <w:t xml:space="preserve">Verify the left navigation panel loads with the expected modules: Data Integration, Data Development, Data Architecture</w:t>
      </w:r>
    </w:p>
    <w:p>
      <w:pPr>
        <w:pStyle w:val="DefinitionTerm"/>
      </w:pPr>
      <w:r>
        <w:t xml:space="preserve">Expected Result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Workspace is listed and accessible.</w:t>
      </w:r>
      <w:r>
        <w:t xml:space="preserve"> </w:t>
      </w:r>
      <w:r>
        <w:t xml:space="preserve">DataArts Studio console opens without errors.</w:t>
      </w:r>
      <w:r>
        <w:t xml:space="preserve"> </w:t>
      </w:r>
      <w:r>
        <w:t xml:space="preserve">All three modules (Data Integration, Data Development, Data Architecture) are visible in the navigation.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Test Result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t xml:space="preserve">Remarks</w:t>
      </w:r>
    </w:p>
    <w:p>
      <w:pPr>
        <w:pStyle w:val="Definition"/>
      </w:pPr>
      <w:r>
        <w:t xml:space="preserve">If the workspace fails to load, check the Dayu instance status and the IAM role assignment.</w:t>
      </w:r>
    </w:p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TC-005: Verify data ingestion pipeline execution</w:t>
      </w:r>
    </w:p>
    <w:p>
      <w:pPr>
        <w:pStyle w:val="DefinitionTerm"/>
      </w:pPr>
      <w:r>
        <w:t xml:space="preserve">Objective</w:t>
      </w:r>
    </w:p>
    <w:p>
      <w:pPr>
        <w:pStyle w:val="Definition"/>
      </w:pPr>
      <w:r>
        <w:t xml:space="preserve">Confirm that a DataArts Studio batch pipeline can</w:t>
      </w:r>
      <w:r>
        <w:t xml:space="preserve"> </w:t>
      </w:r>
      <w:r>
        <w:t xml:space="preserve">successfully ingest CSV data from OBS, apply a basic transformation,</w:t>
      </w:r>
      <w:r>
        <w:t xml:space="preserve"> </w:t>
      </w:r>
      <w:r>
        <w:t xml:space="preserve">and write the result to the target OBS path.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TC-004 completed (DataArts Studio workspace accessible).</w:t>
      </w:r>
      <w:r>
        <w:t xml:space="preserve"> </w:t>
      </w:r>
      <w:r>
        <w:t xml:space="preserve">Source CSV file (customers.csv) exists in the OBS raw bucket.</w:t>
      </w:r>
      <w:r>
        <w:t xml:space="preserve"> </w:t>
      </w:r>
      <w:r>
        <w:t xml:space="preserve">Target OBS path (poc-datalake-curated/customers/) is configured.</w:t>
      </w:r>
      <w:r>
        <w:t xml:space="preserve"> </w:t>
      </w:r>
      <w:r>
        <w:t xml:space="preserve">Pipeline pl-ingest-customers is published in DataArts Studio.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Procedure</w:t>
      </w:r>
    </w:p>
    <w:p>
      <w:pPr>
        <w:numPr>
          <w:ilvl w:val="0"/>
          <w:numId w:val="1007"/>
        </w:numPr>
        <w:pStyle w:val="Compact"/>
      </w:pPr>
      <w:r>
        <w:t xml:space="preserve">Navigate to Data Development in DataArts Studio</w:t>
      </w:r>
    </w:p>
    <w:p>
      <w:pPr>
        <w:numPr>
          <w:ilvl w:val="0"/>
          <w:numId w:val="1007"/>
        </w:numPr>
        <w:pStyle w:val="Compact"/>
      </w:pPr>
      <w:r>
        <w:t xml:space="preserve">Locate pipeline pl-ingest-customers</w:t>
      </w:r>
    </w:p>
    <w:p>
      <w:pPr>
        <w:numPr>
          <w:ilvl w:val="0"/>
          <w:numId w:val="1007"/>
        </w:numPr>
        <w:pStyle w:val="Compact"/>
      </w:pPr>
      <w:r>
        <w:t xml:space="preserve">Click Run to execute the pipeline</w:t>
      </w:r>
    </w:p>
    <w:p>
      <w:pPr>
        <w:numPr>
          <w:ilvl w:val="0"/>
          <w:numId w:val="1007"/>
        </w:numPr>
        <w:pStyle w:val="Compact"/>
      </w:pPr>
      <w:r>
        <w:t xml:space="preserve">Wait for pipeline status (timeout: 10 min)</w:t>
      </w:r>
    </w:p>
    <w:p>
      <w:pPr>
        <w:numPr>
          <w:ilvl w:val="0"/>
          <w:numId w:val="1007"/>
        </w:numPr>
        <w:pStyle w:val="Compact"/>
      </w:pPr>
      <w:r>
        <w:t xml:space="preserve">Verify output file in OBS</w:t>
      </w:r>
    </w:p>
    <w:p>
      <w:pPr>
        <w:numPr>
          <w:ilvl w:val="0"/>
          <w:numId w:val="1007"/>
        </w:numPr>
        <w:pStyle w:val="Compact"/>
      </w:pPr>
      <w:r>
        <w:t xml:space="preserve">Download and verify row count</w:t>
      </w:r>
    </w:p>
    <w:p>
      <w:pPr>
        <w:pStyle w:val="DefinitionTerm"/>
      </w:pPr>
      <w:r>
        <w:t xml:space="preserve">Expected Result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Pipeline execution completes with status Success.</w:t>
      </w:r>
      <w:r>
        <w:t xml:space="preserve"> </w:t>
      </w:r>
      <w:r>
        <w:t xml:space="preserve">Output file is created in the target OBS path.</w:t>
      </w:r>
      <w:r>
        <w:t xml:space="preserve"> </w:t>
      </w:r>
      <w:r>
        <w:t xml:space="preserve">Row count of the output file matches the source file.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Test Result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t xml:space="preserve">Remarks</w:t>
      </w:r>
    </w:p>
    <w:p>
      <w:pPr>
        <w:pStyle w:val="Definition"/>
      </w:pPr>
      <w:r>
        <w:t xml:space="preserve">Pipeline execution time varies with data volume. For the POC, the source file contains approximately 10,000 rows.</w:t>
      </w:r>
    </w:p>
    <w:p>
      <w:pPr>
        <w:pStyle w:val="Heading2"/>
      </w:pPr>
      <w:r>
        <w:rPr>
          <w:rStyle w:val="SectionNumber"/>
        </w:rPr>
        <w:t xml:space="preserve">0.6</w:t>
      </w:r>
      <w:r>
        <w:tab/>
      </w:r>
      <w:r>
        <w:t xml:space="preserve">TC-006: Verify Spark SQL query on MRS cluster</w:t>
      </w:r>
    </w:p>
    <w:p>
      <w:pPr>
        <w:pStyle w:val="DefinitionTerm"/>
      </w:pPr>
      <w:r>
        <w:t xml:space="preserve">Objective</w:t>
      </w:r>
    </w:p>
    <w:p>
      <w:pPr>
        <w:pStyle w:val="Definition"/>
      </w:pPr>
      <w:r>
        <w:t xml:space="preserve">Confirm that a Spark SQL query can be executed on the</w:t>
      </w:r>
      <w:r>
        <w:t xml:space="preserve"> </w:t>
      </w:r>
      <w:r>
        <w:t xml:space="preserve">MRS cluster to read data from a Hive table and return correct</w:t>
      </w:r>
      <w:r>
        <w:t xml:space="preserve"> </w:t>
      </w:r>
      <w:r>
        <w:t xml:space="preserve">results, validating the integration between MRS and the data lake.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TC-001 completed (MRS cluster healthy).</w:t>
      </w:r>
      <w:r>
        <w:t xml:space="preserve"> </w:t>
      </w:r>
      <w:r>
        <w:t xml:space="preserve">Hive table poc_db.customers exists and contains data loaded by the ingestion pipeline.</w:t>
      </w:r>
      <w:r>
        <w:t xml:space="preserve"> </w:t>
      </w:r>
      <w:r>
        <w:t xml:space="preserve">SSH access to the MRS master node is configured.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Procedure</w:t>
      </w:r>
    </w:p>
    <w:p>
      <w:pPr>
        <w:numPr>
          <w:ilvl w:val="0"/>
          <w:numId w:val="1008"/>
        </w:numPr>
        <w:pStyle w:val="Compact"/>
      </w:pPr>
      <w:r>
        <w:t xml:space="preserve">SSH into the MRS master node</w:t>
      </w:r>
    </w:p>
    <w:p>
      <w:pPr>
        <w:numPr>
          <w:ilvl w:val="0"/>
          <w:numId w:val="1008"/>
        </w:numPr>
        <w:pStyle w:val="Compact"/>
      </w:pPr>
      <w:r>
        <w:t xml:space="preserve">Run the Spark SQL CLI: spark-sql –master yarn -{}-conf spark.sql.hive.convertMetastoreOrc=true -e “SELECT COUNT(*) FROM poc_db.customers;”</w:t>
      </w:r>
    </w:p>
    <w:p>
      <w:pPr>
        <w:numPr>
          <w:ilvl w:val="0"/>
          <w:numId w:val="1008"/>
        </w:numPr>
        <w:pStyle w:val="Compact"/>
      </w:pPr>
      <w:r>
        <w:t xml:space="preserve">Verify the returned count matches the expected row count (10,000)</w:t>
      </w:r>
    </w:p>
    <w:p>
      <w:pPr>
        <w:numPr>
          <w:ilvl w:val="0"/>
          <w:numId w:val="1008"/>
        </w:numPr>
        <w:pStyle w:val="Compact"/>
      </w:pPr>
      <w:r>
        <w:t xml:space="preserve">Run a sample query to verify data integrity: spark-sql –master yarn -e</w:t>
      </w:r>
      <w:r>
        <w:t xml:space="preserve"> </w:t>
      </w:r>
      <w:r>
        <w:t xml:space="preserve">“</w:t>
      </w:r>
      <w:r>
        <w:t xml:space="preserve">SELECT customer_id, name FROM poc_db.customers LIMIT 5;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Confirm the query returns 5 rows with non-null values</w:t>
      </w:r>
    </w:p>
    <w:p>
      <w:pPr>
        <w:pStyle w:val="DefinitionTerm"/>
      </w:pPr>
      <w:r>
        <w:t xml:space="preserve">Expected Result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COUNT(*) returns 10,000.</w:t>
      </w:r>
      <w:r>
        <w:t xml:space="preserve"> </w:t>
      </w:r>
      <w:r>
        <w:t xml:space="preserve">The sample query returns 5 rows with valid customer_id and name values.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Test Result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t xml:space="preserve">Remarks</w:t>
      </w:r>
    </w:p>
    <w:p>
      <w:pPr>
        <w:pStyle w:val="Definition"/>
      </w:pPr>
      <w:r>
        <w:t xml:space="preserve">If the Spark SQL CLI is not available, use the MRS Spark2x component’s web UI to submit the query instead.</w:t>
      </w:r>
    </w:p>
    <w:p>
      <w:r>
        <w:br w:type="page"/>
      </w:r>
    </w:p>
    <w:p>
      <w:pPr>
        <w:pStyle w:val="Heading1"/>
        <w:pBdr>
          <w:bottom w:val="single" w:sz="12" w:space="2" w:color="C7000B"/>
        </w:pBdr>
        <w:tabs>
          <w:tab w:val="right" w:pos="9638"/>
        </w:tabs>
      </w:pPr>
      <w:bookmarkStart w:id="107" w:name="security-and-access-control"/>
      <w:r>
        <w:rPr>
          <w:sz w:val="112"/>
          <w:szCs w:val="112"/>
        </w:rPr>
        <w:t xml:space="preserve">4</w:t>
      </w:r>
      <w:r>
        <w:tab/>
      </w:r>
      <w:r>
        <w:t xml:space="preserve">Security and Access Control</w:t>
      </w:r>
      <w:bookmarkEnd w:id="107"/>
    </w:p>
    <w:p>
      <w:pPr>
        <w:pStyle w:val="Heading2"/>
      </w:pPr>
      <w:r>
        <w:rPr>
          <w:rStyle w:val="SectionNumber"/>
        </w:rPr>
        <w:t xml:space="preserve">0.7</w:t>
      </w:r>
      <w:r>
        <w:tab/>
      </w:r>
      <w:r>
        <w:t xml:space="preserve">TC-007: Verify IAM policy enforcement on OBS buckets</w:t>
      </w:r>
    </w:p>
    <w:p>
      <w:pPr>
        <w:pStyle w:val="DefinitionTerm"/>
      </w:pPr>
      <w:r>
        <w:t xml:space="preserve">Objective</w:t>
      </w:r>
    </w:p>
    <w:p>
      <w:pPr>
        <w:pStyle w:val="Definition"/>
      </w:pPr>
      <w:r>
        <w:t xml:space="preserve">Confirm that IAM policies correctly restrict OBS bucket</w:t>
      </w:r>
      <w:r>
        <w:t xml:space="preserve"> </w:t>
      </w:r>
      <w:r>
        <w:t xml:space="preserve">access — authorized users can read/write while unauthorized users are</w:t>
      </w:r>
      <w:r>
        <w:t xml:space="preserve"> </w:t>
      </w:r>
      <w:r>
        <w:t xml:space="preserve">denied, and the bucket policy matches the principle of least privilege.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OBS bucket poc-datalake-raw exists with the designated IAM policy.</w:t>
      </w:r>
      <w:r>
        <w:t xml:space="preserve"> </w:t>
      </w:r>
      <w:r>
        <w:t xml:space="preserve">Two test IAM users: one with OBS_ReadWrite role, one with no OBS permissions.</w:t>
      </w:r>
      <w:r>
        <w:t xml:space="preserve"> </w:t>
      </w:r>
      <w:r>
        <w:t xml:space="preserve">obsutil CLI configured for both users.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Procedure</w:t>
      </w:r>
    </w:p>
    <w:p>
      <w:pPr>
        <w:numPr>
          <w:ilvl w:val="0"/>
          <w:numId w:val="1009"/>
        </w:numPr>
        <w:pStyle w:val="Compact"/>
      </w:pPr>
      <w:r>
        <w:t xml:space="preserve">Using the authorized user, upload a test file to poc-datalake-raw</w:t>
      </w:r>
    </w:p>
    <w:p>
      <w:pPr>
        <w:numPr>
          <w:ilvl w:val="0"/>
          <w:numId w:val="1009"/>
        </w:numPr>
        <w:pStyle w:val="Compact"/>
      </w:pPr>
      <w:r>
        <w:t xml:space="preserve">Using the authorized user, download and verify the file content</w:t>
      </w:r>
    </w:p>
    <w:p>
      <w:pPr>
        <w:numPr>
          <w:ilvl w:val="0"/>
          <w:numId w:val="1009"/>
        </w:numPr>
        <w:pStyle w:val="Compact"/>
      </w:pPr>
      <w:r>
        <w:t xml:space="preserve">Using the unauthorized user, attempt to upload a file — verify the request is denied (HTTP 403)</w:t>
      </w:r>
    </w:p>
    <w:p>
      <w:pPr>
        <w:numPr>
          <w:ilvl w:val="0"/>
          <w:numId w:val="1009"/>
        </w:numPr>
        <w:pStyle w:val="Compact"/>
      </w:pPr>
      <w:r>
        <w:t xml:space="preserve">Using the unauthorized user, attempt to list objects in the bucket — verify the request is denied</w:t>
      </w:r>
    </w:p>
    <w:p>
      <w:pPr>
        <w:numPr>
          <w:ilvl w:val="0"/>
          <w:numId w:val="1009"/>
        </w:numPr>
        <w:pStyle w:val="Compact"/>
      </w:pPr>
      <w:r>
        <w:t xml:space="preserve">Review the bucket policy in the Console at Console, Object Storage Service, Bucket Policies and confirm it grants only the intended permissions</w:t>
      </w:r>
    </w:p>
    <w:p>
      <w:pPr>
        <w:pStyle w:val="DefinitionTerm"/>
      </w:pPr>
      <w:r>
        <w:t xml:space="preserve">Expected Result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Authorized user can upload and download successfully.</w:t>
      </w:r>
      <w:r>
        <w:t xml:space="preserve"> </w:t>
      </w:r>
      <w:r>
        <w:t xml:space="preserve">Unauthorized user receives HTTP 403 on both upload and list operations.</w:t>
      </w:r>
      <w:r>
        <w:t xml:space="preserve"> </w:t>
      </w:r>
      <w:r>
        <w:t xml:space="preserve">Bucket policy grants only the intended read/write permissions to the designated roles.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Test Result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t xml:space="preserve">Remarks</w:t>
      </w:r>
    </w:p>
    <w:p>
      <w:pPr>
        <w:pStyle w:val="Definition"/>
      </w:pPr>
      <w:r>
        <w:t xml:space="preserve">Check the Cloud Trail logs if access denial is not returned as expected — there may be a policy inheritance from the project or domain level.</w:t>
      </w:r>
    </w:p>
    <w:p>
      <w:pPr>
        <w:pStyle w:val="Heading2"/>
      </w:pPr>
      <w:r>
        <w:rPr>
          <w:rStyle w:val="SectionNumber"/>
        </w:rPr>
        <w:t xml:space="preserve">0.8</w:t>
      </w:r>
      <w:r>
        <w:tab/>
      </w:r>
      <w:r>
        <w:t xml:space="preserve">TC-008: Verify DataArts Studio data masking rule</w:t>
      </w:r>
    </w:p>
    <w:p>
      <w:pPr>
        <w:pStyle w:val="DefinitionTerm"/>
      </w:pPr>
      <w:r>
        <w:t xml:space="preserve">Objective</w:t>
      </w:r>
    </w:p>
    <w:p>
      <w:pPr>
        <w:pStyle w:val="Definition"/>
      </w:pPr>
      <w:r>
        <w:t xml:space="preserve">Confirm that sensitive data columns (e.g. PII fields) are</w:t>
      </w:r>
      <w:r>
        <w:t xml:space="preserve"> </w:t>
      </w:r>
      <w:r>
        <w:t xml:space="preserve">masked according to the DataArts Studio data masking rule when queried</w:t>
      </w:r>
      <w:r>
        <w:t xml:space="preserve"> </w:t>
      </w:r>
      <w:r>
        <w:t xml:space="preserve">by non-admin users.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TC-004 completed (DataArts Studio workspace accessible).</w:t>
      </w:r>
      <w:r>
        <w:t xml:space="preserve"> </w:t>
      </w:r>
      <w:r>
        <w:t xml:space="preserve">Data masking rule configured for column customers.ssn (Social Security Number).</w:t>
      </w:r>
      <w:r>
        <w:t xml:space="preserve"> </w:t>
      </w:r>
      <w:r>
        <w:t xml:space="preserve">Test user has Dayu_User role (not admin).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Procedure</w:t>
      </w:r>
    </w:p>
    <w:p>
      <w:pPr>
        <w:numPr>
          <w:ilvl w:val="0"/>
          <w:numId w:val="1010"/>
        </w:numPr>
        <w:pStyle w:val="Compact"/>
      </w:pPr>
      <w:r>
        <w:t xml:space="preserve">In the DataArts Studio console, navigate to Data Architecture $$ Data Masking</w:t>
      </w:r>
    </w:p>
    <w:p>
      <w:pPr>
        <w:numPr>
          <w:ilvl w:val="0"/>
          <w:numId w:val="1010"/>
        </w:numPr>
        <w:pStyle w:val="Compact"/>
      </w:pPr>
      <w:r>
        <w:t xml:space="preserve">Verify the masking rule for customers.ssn is active and uses the Mask All strategy</w:t>
      </w:r>
    </w:p>
    <w:p>
      <w:pPr>
        <w:numPr>
          <w:ilvl w:val="0"/>
          <w:numId w:val="1010"/>
        </w:numPr>
        <w:pStyle w:val="Compact"/>
      </w:pPr>
      <w:r>
        <w:t xml:space="preserve">Query the customers table as the test user via DataArts Studio SQL console</w:t>
      </w:r>
    </w:p>
    <w:p>
      <w:pPr>
        <w:numPr>
          <w:ilvl w:val="0"/>
          <w:numId w:val="1010"/>
        </w:numPr>
        <w:pStyle w:val="Compact"/>
      </w:pPr>
      <w:r>
        <w:t xml:space="preserve">Verify the ssn column returns masked values (e.g. *********) instead of real data</w:t>
      </w:r>
    </w:p>
    <w:p>
      <w:pPr>
        <w:numPr>
          <w:ilvl w:val="0"/>
          <w:numId w:val="1010"/>
        </w:numPr>
        <w:pStyle w:val="Compact"/>
      </w:pPr>
      <w:r>
        <w:t xml:space="preserve">Query the same table as an admin user and verify real values are returned</w:t>
      </w:r>
    </w:p>
    <w:p>
      <w:pPr>
        <w:pStyle w:val="DefinitionTerm"/>
      </w:pPr>
      <w:r>
        <w:t xml:space="preserve">Expected Result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Masking rule is active for customers.ssn.</w:t>
      </w:r>
      <w:r>
        <w:t xml:space="preserve"> </w:t>
      </w:r>
      <w:r>
        <w:t xml:space="preserve">Non-admin user sees masked values in the ssn column.</w:t>
      </w:r>
      <w:r>
        <w:t xml:space="preserve"> </w:t>
      </w:r>
      <w:r>
        <w:t xml:space="preserve">Admin user sees real values in the ssn column.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Test Result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t xml:space="preserve">Remarks</w:t>
      </w:r>
    </w:p>
    <w:p>
      <w:pPr>
        <w:pStyle w:val="Definition"/>
      </w:pPr>
      <w:r>
        <w:t xml:space="preserve">Data masking rules apply at query time — the underlying data in OBS/HDFS is not modified.</w:t>
      </w:r>
    </w:p>
    <w:p>
      <w:r>
        <w:br w:type="page"/>
      </w:r>
    </w:p>
    <w:p>
      <w:pPr>
        <w:pStyle w:val="Heading1"/>
        <w:pBdr>
          <w:bottom w:val="single" w:sz="12" w:space="2" w:color="C7000B"/>
        </w:pBdr>
        <w:tabs>
          <w:tab w:val="right" w:pos="9638"/>
        </w:tabs>
      </w:pPr>
      <w:bookmarkStart w:id="108" w:name="environment-setup-and-tooling"/>
      <w:r>
        <w:rPr>
          <w:sz w:val="112"/>
          <w:szCs w:val="112"/>
        </w:rPr>
        <w:t xml:space="preserve">5</w:t>
      </w:r>
      <w:r>
        <w:tab/>
      </w:r>
      <w:r>
        <w:t xml:space="preserve">Environment Setup and Tooling</w:t>
      </w:r>
      <w:bookmarkEnd w:id="108"/>
    </w:p>
    <w:p>
      <w:pPr>
        <w:pStyle w:val="Heading2"/>
      </w:pPr>
      <w:r>
        <w:rPr>
          <w:rStyle w:val="SectionNumber"/>
        </w:rPr>
        <w:t xml:space="preserve">0.9</w:t>
      </w:r>
      <w:r>
        <w:tab/>
      </w:r>
      <w:r>
        <w:t xml:space="preserve">TC-009: Verify Terraform infrastructure deployment</w:t>
      </w:r>
    </w:p>
    <w:p>
      <w:pPr>
        <w:pStyle w:val="DefinitionTerm"/>
      </w:pPr>
      <w:r>
        <w:t xml:space="preserve">Objective</w:t>
      </w:r>
    </w:p>
    <w:p>
      <w:pPr>
        <w:pStyle w:val="Definition"/>
      </w:pPr>
      <w:r>
        <w:t xml:space="preserve">Confirm that the Terraform configuration deploys all</w:t>
      </w:r>
      <w:r>
        <w:t xml:space="preserve"> </w:t>
      </w:r>
      <w:r>
        <w:t xml:space="preserve">required infrastructure resources (VPC, MRS, OBS, DataArts Studio)</w:t>
      </w:r>
      <w:r>
        <w:t xml:space="preserve"> </w:t>
      </w:r>
      <w:r>
        <w:t xml:space="preserve">without errors and the state file reflects the expected resources.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terraform CLI installed (version $$ 1.0).</w:t>
      </w:r>
      <w:r>
        <w:t xml:space="preserve"> </w:t>
      </w:r>
      <w:r>
        <w:t xml:space="preserve">AK/SK credentials configured via environment variables or provider.tf.</w:t>
      </w:r>
      <w:r>
        <w:t xml:space="preserve"> </w:t>
      </w:r>
      <w:r>
        <w:t xml:space="preserve">Terraform configuration files in the project directory.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Procedure</w:t>
      </w:r>
    </w:p>
    <w:p>
      <w:pPr>
        <w:numPr>
          <w:ilvl w:val="0"/>
          <w:numId w:val="1011"/>
        </w:numPr>
        <w:pStyle w:val="Compact"/>
      </w:pPr>
      <w:r>
        <w:t xml:space="preserve">Navigate to the Terraform project directory</w:t>
      </w:r>
    </w:p>
    <w:p>
      <w:pPr>
        <w:numPr>
          <w:ilvl w:val="0"/>
          <w:numId w:val="1011"/>
        </w:numPr>
        <w:pStyle w:val="Compact"/>
      </w:pPr>
      <w:r>
        <w:t xml:space="preserve">Run terraform init to initialize the working directory</w:t>
      </w:r>
    </w:p>
    <w:p>
      <w:pPr>
        <w:numPr>
          <w:ilvl w:val="0"/>
          <w:numId w:val="1011"/>
        </w:numPr>
        <w:pStyle w:val="Compact"/>
      </w:pPr>
      <w:r>
        <w:t xml:space="preserve">Run terraform plan and review the planned changes — confirm all expected resources are listed</w:t>
      </w:r>
    </w:p>
    <w:p>
      <w:pPr>
        <w:numPr>
          <w:ilvl w:val="0"/>
          <w:numId w:val="1011"/>
        </w:numPr>
        <w:pStyle w:val="Compact"/>
      </w:pPr>
      <w:r>
        <w:t xml:space="preserve">Run terraform apply -auto-approve and wait for completion</w:t>
      </w:r>
    </w:p>
    <w:p>
      <w:pPr>
        <w:numPr>
          <w:ilvl w:val="0"/>
          <w:numId w:val="1011"/>
        </w:numPr>
        <w:pStyle w:val="Compact"/>
      </w:pPr>
      <w:r>
        <w:t xml:space="preserve">Run terraform output and verify all output values are populated</w:t>
      </w:r>
    </w:p>
    <w:p>
      <w:pPr>
        <w:numPr>
          <w:ilvl w:val="0"/>
          <w:numId w:val="1011"/>
        </w:numPr>
        <w:pStyle w:val="Compact"/>
      </w:pPr>
      <w:r>
        <w:t xml:space="preserve">Run terraform state list and confirm the resource count matches the architecture</w:t>
      </w:r>
    </w:p>
    <w:p>
      <w:pPr>
        <w:pStyle w:val="DefinitionTerm"/>
      </w:pPr>
      <w:r>
        <w:t xml:space="preserve">Expected Result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terraform apply completes with no errors.</w:t>
      </w:r>
      <w:r>
        <w:t xml:space="preserve"> </w:t>
      </w:r>
      <w:r>
        <w:t xml:space="preserve">All output values are populated (cluster ID, bucket name, VPC ID).</w:t>
      </w:r>
      <w:r>
        <w:t xml:space="preserve"> </w:t>
      </w:r>
      <w:r>
        <w:t xml:space="preserve">Resource count in state matches the architecture specification.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Test Result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t xml:space="preserve">Remarks</w:t>
      </w:r>
    </w:p>
    <w:p>
      <w:pPr>
        <w:pStyle w:val="Definition"/>
      </w:pPr>
      <w:r>
        <w:t xml:space="preserve">If terraform apply fails, check the AK/SK credentials and the sa-brazil-1 region quota limits.</w:t>
      </w:r>
    </w:p>
    <w:p>
      <w:pPr>
        <w:pStyle w:val="Heading2"/>
      </w:pPr>
      <w:r>
        <w:rPr>
          <w:rStyle w:val="SectionNumber"/>
        </w:rPr>
        <w:t xml:space="preserve">0.10</w:t>
      </w:r>
      <w:r>
        <w:tab/>
      </w:r>
      <w:r>
        <w:t xml:space="preserve">TC-010: Verify test data upload to OBS</w:t>
      </w:r>
    </w:p>
    <w:p>
      <w:pPr>
        <w:pStyle w:val="DefinitionTerm"/>
      </w:pPr>
      <w:r>
        <w:t xml:space="preserve">Objective</w:t>
      </w:r>
    </w:p>
    <w:p>
      <w:pPr>
        <w:pStyle w:val="Definition"/>
      </w:pPr>
      <w:r>
        <w:t xml:space="preserve">Confirm that all required test data files (CSV, JSON) can</w:t>
      </w:r>
      <w:r>
        <w:t xml:space="preserve"> </w:t>
      </w:r>
      <w:r>
        <w:t xml:space="preserve">be uploaded to the designated OBS bucket and are accessible by the</w:t>
      </w:r>
      <w:r>
        <w:t xml:space="preserve"> </w:t>
      </w:r>
      <w:r>
        <w:t xml:space="preserve">DataArts Studio pipeline.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TC-002 completed (OBS bucket accessible).</w:t>
      </w:r>
      <w:r>
        <w:t xml:space="preserve"> </w:t>
      </w:r>
      <w:r>
        <w:t xml:space="preserve">Test data files prepared in the local directory ./test-data/.</w:t>
      </w:r>
      <w:r>
        <w:t xml:space="preserve"> </w:t>
      </w:r>
      <w:r>
        <w:t xml:space="preserve">obsutil CLI configured with the test user credentials.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Procedure</w:t>
      </w:r>
    </w:p>
    <w:p>
      <w:pPr>
        <w:numPr>
          <w:ilvl w:val="0"/>
          <w:numId w:val="1012"/>
        </w:numPr>
        <w:pStyle w:val="Compact"/>
      </w:pPr>
      <w:r>
        <w:t xml:space="preserve">List the local test data files and verify their integrity (row count, schema)</w:t>
      </w:r>
    </w:p>
    <w:p>
      <w:pPr>
        <w:numPr>
          <w:ilvl w:val="0"/>
          <w:numId w:val="1012"/>
        </w:numPr>
        <w:pStyle w:val="Compact"/>
      </w:pPr>
      <w:r>
        <w:t xml:space="preserve">Upload all files to the OBS raw bucket using obsutil</w:t>
      </w:r>
    </w:p>
    <w:p>
      <w:pPr>
        <w:numPr>
          <w:ilvl w:val="0"/>
          <w:numId w:val="1012"/>
        </w:numPr>
        <w:pStyle w:val="Compact"/>
      </w:pPr>
      <w:r>
        <w:t xml:space="preserve">Verify each file exists in OBS by listing the bucket contents</w:t>
      </w:r>
    </w:p>
    <w:p>
      <w:pPr>
        <w:numPr>
          <w:ilvl w:val="0"/>
          <w:numId w:val="1012"/>
        </w:numPr>
        <w:pStyle w:val="Compact"/>
      </w:pPr>
      <w:r>
        <w:t xml:space="preserve">Download a sample file from OBS and compare it with the local original (checksum)</w:t>
      </w:r>
    </w:p>
    <w:p>
      <w:pPr>
        <w:numPr>
          <w:ilvl w:val="0"/>
          <w:numId w:val="1012"/>
        </w:numPr>
        <w:pStyle w:val="Compact"/>
      </w:pPr>
      <w:r>
        <w:t xml:space="preserve">In DataArts Studio, verify the data source connection can read the uploaded files</w:t>
      </w:r>
    </w:p>
    <w:p>
      <w:pPr>
        <w:pStyle w:val="DefinitionTerm"/>
      </w:pPr>
      <w:r>
        <w:t xml:space="preserve">Expected Result</w:t>
      </w:r>
    </w:p>
    <w:p>
      <w:pPr>
        <w:pStyle w:val="Definition"/>
      </w:pPr>
      <w:r>
        <w:t xml:space="preserve">testlist</w:t>
      </w:r>
      <w:r>
        <w:t xml:space="preserve"> </w:t>
      </w:r>
      <w:r>
        <w:t xml:space="preserve">All test data files are uploaded without errors.</w:t>
      </w:r>
      <w:r>
        <w:t xml:space="preserve"> </w:t>
      </w:r>
      <w:r>
        <w:t xml:space="preserve">Bucket listing shows all uploaded files with correct sizes.</w:t>
      </w:r>
      <w:r>
        <w:t xml:space="preserve"> </w:t>
      </w:r>
      <w:r>
        <w:t xml:space="preserve">Downloaded file checksum matches the local original.</w:t>
      </w:r>
      <w:r>
        <w:t xml:space="preserve"> </w:t>
      </w:r>
      <w:r>
        <w:t xml:space="preserve">DataArts Studio data source connection can read the files.</w:t>
      </w:r>
      <w:r>
        <w:t xml:space="preserve"> </w:t>
      </w:r>
      <w:r>
        <w:t xml:space="preserve">testlist</w:t>
      </w:r>
    </w:p>
    <w:p>
      <w:pPr>
        <w:pStyle w:val="DefinitionTerm"/>
      </w:pPr>
      <w:r>
        <w:t xml:space="preserve">Test Result</w:t>
      </w:r>
    </w:p>
    <w:p>
      <w:pPr>
        <w:pStyle w:val="Definition"/>
      </w:pPr>
      <w:r>
        <w:t xml:space="preserve">Pass</w:t>
      </w:r>
    </w:p>
    <w:p>
      <w:pPr>
        <w:pStyle w:val="DefinitionTerm"/>
      </w:pPr>
      <w:r>
        <w:t xml:space="preserve">Remarks</w:t>
      </w:r>
    </w:p>
    <w:p>
      <w:pPr>
        <w:pStyle w:val="Definition"/>
      </w:pPr>
      <w:r>
        <w:t xml:space="preserve">Large files ($&gt;$1 GB) should be uploaded using the OBS multipart upload feature for better reliability.</w:t>
      </w:r>
    </w:p>
    <w:p>
      <w:pPr>
        <w:pStyle w:val="FirstParagraph"/>
      </w:pPr>
      <w:r>
        <w:rPr>
          <w:iCs/>
          <w:i/>
        </w:rPr>
        <w:t xml:space="preserve">[Image placeholder: Screenshot of the test execution dashboard showing all test case results]</w:t>
      </w:r>
    </w:p>
    <w:p>
      <w:r>
        <w:br w:type="page"/>
      </w:r>
    </w:p>
    <w:p>
      <w:pPr>
        <w:pStyle w:val="Heading1"/>
        <w:pBdr>
          <w:bottom w:val="single" w:sz="12" w:space="2" w:color="C7000B"/>
        </w:pBdr>
        <w:tabs>
          <w:tab w:val="right" w:pos="9638"/>
        </w:tabs>
      </w:pPr>
      <w:bookmarkStart w:id="109" w:name="sec-changelog"/>
      <w:r>
        <w:rPr>
          <w:sz w:val="112"/>
          <w:szCs w:val="112"/>
        </w:rPr>
        <w:t xml:space="preserve">6</w:t>
      </w:r>
      <w:r>
        <w:tab/>
      </w:r>
      <w:r>
        <w:t xml:space="preserve">Changelog</w:t>
      </w:r>
      <w:bookmarkEnd w:id="109"/>
    </w:p>
    <w:p>
      <w:pPr>
        <w:pBdr>
          <w:bottom w:val="single" w:sz="4" w:space="1" w:color="000000"/>
        </w:pBdr>
        <w:spacing w:after="120"/>
      </w:pPr>
    </w:p>
    <w:p>
      <w:pPr>
        <w:tabs>
          <w:tab w:val="right" w:pos="9638"/>
        </w:tabs>
      </w:pPr>
      <w:r>
        <w:rPr>
          <w:b/>
        </w:rPr>
        <w:t xml:space="preserve">2.1.0</w:t>
      </w:r>
      <w:r>
        <w:tab/>
      </w:r>
      <w:r>
        <w:rPr>
          <w:i/>
        </w:rPr>
        <w:t xml:space="preserve">2026-09-13</w:t>
      </w:r>
    </w:p>
    <w:p>
      <w:pPr>
        <w:pStyle w:val="BodyText"/>
      </w:pPr>
      <w:r>
        <w:t xml:space="preserve">Changed teststeps from tabular table to auto-numbered paragraphs.</w:t>
      </w:r>
      <w:r>
        <w:t xml:space="preserve"> </w:t>
      </w:r>
      <w:r>
        <w:rPr>
          <w:rStyle w:val="VerbatimChar"/>
        </w:rPr>
        <w:t xml:space="preserve">\teststep</w:t>
      </w:r>
      <w:r>
        <w:t xml:space="preserve"> </w:t>
      </w:r>
      <w:r>
        <w:t xml:space="preserve">now takes 1 arg (action only). Images, code blocks, and callouts can be placed freely between steps.</w:t>
      </w:r>
    </w:p>
    <w:p>
      <w:pPr>
        <w:tabs>
          <w:tab w:val="right" w:pos="9638"/>
        </w:tabs>
      </w:pPr>
      <w:r>
        <w:rPr>
          <w:b/>
        </w:rPr>
        <w:t xml:space="preserve">2.0.0</w:t>
      </w:r>
      <w:r>
        <w:tab/>
      </w:r>
      <w:r>
        <w:rPr>
          <w:i/>
        </w:rPr>
        <w:t xml:space="preserve">2026-09-13</w:t>
      </w:r>
    </w:p>
    <w:p>
      <w:pPr>
        <w:pStyle w:val="BodyText"/>
      </w:pPr>
      <w:r>
        <w:t xml:space="preserve">Redesigned testcase layout: full-width mini header bars for each field, testprocedure environment with 2-column step table, field order updated (Test Result before Remarks).</w:t>
      </w:r>
    </w:p>
    <w:p>
      <w:pPr>
        <w:tabs>
          <w:tab w:val="right" w:pos="9638"/>
        </w:tabs>
      </w:pPr>
      <w:r>
        <w:rPr>
          <w:b/>
        </w:rPr>
        <w:t xml:space="preserve">1.1.0</w:t>
      </w:r>
      <w:r>
        <w:tab/>
      </w:r>
      <w:r>
        <w:rPr>
          <w:i/>
        </w:rPr>
        <w:t xml:space="preserve">2026-09-13</w:t>
      </w:r>
    </w:p>
    <w:p>
      <w:pPr>
        <w:pStyle w:val="BodyText"/>
      </w:pPr>
      <w:r>
        <w:t xml:space="preserve">Added comprehensive feature demonstrations: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tip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infobox</w:t>
      </w:r>
      <w:r>
        <w:t xml:space="preserve"> </w:t>
      </w:r>
      <w:r>
        <w:t xml:space="preserve">callouts;</w:t>
      </w:r>
      <w:r>
        <w:t xml:space="preserve"> </w:t>
      </w:r>
      <w:r>
        <w:rPr>
          <w:rStyle w:val="VerbatimChar"/>
        </w:rPr>
        <w:t xml:space="preserve">code</w:t>
      </w:r>
      <w:r>
        <w:t xml:space="preserve"> </w:t>
      </w:r>
      <w:r>
        <w:t xml:space="preserve">blocks;</w:t>
      </w:r>
      <w:r>
        <w:t xml:space="preserve"> </w:t>
      </w:r>
      <w:r>
        <w:rPr>
          <w:rStyle w:val="VerbatimChar"/>
        </w:rPr>
        <w:t xml:space="preserve">badge</w:t>
      </w:r>
      <w:r>
        <w:t xml:space="preserve">;</w:t>
      </w:r>
      <w:r>
        <w:t xml:space="preserve"> </w:t>
      </w:r>
      <w:r>
        <w:rPr>
          <w:rStyle w:val="VerbatimChar"/>
        </w:rPr>
        <w:t xml:space="preserve">weblink</w:t>
      </w:r>
      <w:r>
        <w:t xml:space="preserve">;</w:t>
      </w:r>
      <w:r>
        <w:t xml:space="preserve"> </w:t>
      </w:r>
      <w:r>
        <w:rPr>
          <w:rStyle w:val="VerbatimChar"/>
        </w:rPr>
        <w:t xml:space="preserve">note</w:t>
      </w:r>
      <w:r>
        <w:t xml:space="preserve">;</w:t>
      </w:r>
      <w:r>
        <w:t xml:space="preserve"> </w:t>
      </w:r>
      <w:r>
        <w:rPr>
          <w:rStyle w:val="VerbatimChar"/>
        </w:rPr>
        <w:t xml:space="preserve">param</w:t>
      </w:r>
      <w:r>
        <w:t xml:space="preserve">;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,</w:t>
      </w:r>
      <w:r>
        <w:t xml:space="preserve"> </w:t>
      </w:r>
      <w:r>
        <w:rPr>
          <w:rStyle w:val="VerbatimChar"/>
        </w:rPr>
        <w:t xml:space="preserve">imagecap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imageplaceholder</w:t>
      </w:r>
      <w:r>
        <w:t xml:space="preserve">;</w:t>
      </w:r>
      <w:r>
        <w:t xml:space="preserve"> </w:t>
      </w:r>
      <w:r>
        <w:rPr>
          <w:rStyle w:val="VerbatimChar"/>
        </w:rPr>
        <w:t xml:space="preserve">menu</w:t>
      </w:r>
      <w:r>
        <w:t xml:space="preserve"> </w:t>
      </w:r>
      <w:r>
        <w:t xml:space="preserve">paths; and</w:t>
      </w:r>
      <w:r>
        <w:t xml:space="preserve"> </w:t>
      </w:r>
      <w:r>
        <w:rPr>
          <w:rStyle w:val="VerbatimChar"/>
        </w:rPr>
        <w:t xml:space="preserve">inlinecode</w:t>
      </w:r>
      <w:r>
        <w:t xml:space="preserve"> </w:t>
      </w:r>
      <w:r>
        <w:t xml:space="preserve">references.</w:t>
      </w:r>
    </w:p>
    <w:p>
      <w:pPr>
        <w:pStyle w:val="BodyText"/>
      </w:pPr>
      <w:r>
        <w:t xml:space="preserve">Added Security and Access Control test cases (TC-007, TC-008).</w:t>
      </w:r>
    </w:p>
    <w:p>
      <w:pPr>
        <w:pStyle w:val="BodyText"/>
      </w:pPr>
      <w:r>
        <w:t xml:space="preserve">Added Environment Setup and Tooling test cases (TC-009, TC-010).</w:t>
      </w:r>
    </w:p>
    <w:p>
      <w:pPr>
        <w:tabs>
          <w:tab w:val="right" w:pos="9638"/>
        </w:tabs>
      </w:pPr>
      <w:r>
        <w:rPr>
          <w:b/>
        </w:rPr>
        <w:t xml:space="preserve">1.0.0</w:t>
      </w:r>
      <w:r>
        <w:tab/>
      </w:r>
      <w:r>
        <w:rPr>
          <w:i/>
        </w:rPr>
        <w:t xml:space="preserve">2026-09-13</w:t>
      </w:r>
    </w:p>
    <w:p>
      <w:pPr>
        <w:pStyle w:val="BodyText"/>
      </w:pPr>
      <w:r>
        <w:t xml:space="preserve">Initial version.</w:t>
      </w:r>
    </w:p>
    <w:p>
      <w:pPr>
        <w:pStyle w:val="BodyText"/>
      </w:pPr>
      <w:r>
        <w:t xml:space="preserve">Added Platform Architecture test cases (TC-001 to TC-003).</w:t>
      </w:r>
    </w:p>
    <w:p>
      <w:pPr>
        <w:pStyle w:val="BodyText"/>
      </w:pPr>
      <w:r>
        <w:t xml:space="preserve">Added Data Engineering test cases (TC-004 to TC-006).</w:t>
      </w:r>
    </w:p>
    <w:p>
      <w:pPr>
        <w:pBdr>
          <w:top w:val="single" w:sz="4" w:space="1" w:color="000000"/>
        </w:pBdr>
      </w:pPr>
    </w:p>
    <w:sectPr>
      <w:headerReference r:id="rId9" w:type="default"/>
      <w:footerReference r:id="rId10" w:type="default"/>
      <w:pgSz w:h="16838" w:w="11906"/>
      <w:pgMar w:bottom="1701" w:left="1134" w:right="1134" w:top="1701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 xml:space="preserve"> PAGE </w:instrText>
    </w:r>
    <w:r>
      <w:rPr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HarmonyOS Sans" w:hAnsi="HarmonyOS Sans"/>
        <w:sz w:val="20"/>
      </w:rPr>
      <w:fldChar w:fldCharType="begin"/>
    </w:r>
    <w:r>
      <w:rPr>
        <w:rFonts w:ascii="HarmonyOS Sans" w:hAnsi="HarmonyOS Sans"/>
        <w:sz w:val="20"/>
      </w:rPr>
      <w:instrText xml:space="preserve"> STYLEREF "Title" \* MERGEFORMAT </w:instrText>
    </w:r>
    <w:r>
      <w:rPr>
        <w:rFonts w:ascii="HarmonyOS Sans" w:hAnsi="HarmonyOS Sans"/>
        <w:sz w:val="20"/>
      </w:rPr>
      <w:fldChar w:fldCharType="separate"/>
    </w:r>
    <w:r>
      <w:rPr>
        <w:rFonts w:ascii="HarmonyOS Sans" w:hAnsi="HarmonyOS Sans"/>
        <w:sz w:val="20"/>
      </w:rPr>
      <w:t>Document Title</w:t>
    </w:r>
    <w:r>
      <w:rPr>
        <w:rFonts w:ascii="HarmonyOS Sans" w:hAnsi="HarmonyOS Sans"/>
        <w:sz w:val="20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480" w:hanging="240"/>
      </w:pPr>
    </w:lvl>
    <w:lvl w:ilvl="1">
      <w:numFmt w:val="bullet"/>
      <w:lvlText w:val=" "/>
      <w:lvlJc w:val="left"/>
      <w:pPr>
        <w:ind w:left="960" w:hanging="240"/>
      </w:pPr>
    </w:lvl>
    <w:lvl w:ilvl="2">
      <w:numFmt w:val="bullet"/>
      <w:lvlText w:val=" "/>
      <w:lvlJc w:val="left"/>
      <w:pPr>
        <w:ind w:left="1440" w:hanging="24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480" w:hanging="240"/>
      </w:pPr>
    </w:lvl>
    <w:lvl w:ilvl="1">
      <w:numFmt w:val="bullet"/>
      <w:lvlText w:val="–"/>
      <w:lvlJc w:val="left"/>
      <w:pPr>
        <w:ind w:left="960" w:hanging="240"/>
      </w:pPr>
    </w:lvl>
    <w:lvl w:ilvl="2">
      <w:numFmt w:val="bullet"/>
      <w:lvlText w:val="•"/>
      <w:lvlJc w:val="left"/>
      <w:pPr>
        <w:ind w:left="1440" w:hanging="24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480" w:hanging="240"/>
      </w:pPr>
    </w:lvl>
    <w:lvl w:ilvl="1">
      <w:start w:val="1"/>
      <w:numFmt w:val="decimal"/>
      <w:lvlText w:val="%2."/>
      <w:lvlJc w:val="left"/>
      <w:pPr>
        <w:ind w:left="960" w:hanging="240"/>
      </w:pPr>
    </w:lvl>
    <w:lvl w:ilvl="2">
      <w:start w:val="1"/>
      <w:numFmt w:val="decimal"/>
      <w:lvlText w:val="%3."/>
      <w:lvlJc w:val="left"/>
      <w:pPr>
        <w:ind w:left="1440" w:hanging="24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HarmonyOS Sans" w:asciiTheme="minorHAnsi" w:cs="HarmonyOS Sans" w:cstheme="minorBidi" w:eastAsia="HarmonyOS Sans" w:eastAsiaTheme="minorHAnsi" w:hAnsi="HarmonyOS Sans" w:hAnsiTheme="minorHAnsi"/>
        <w:sz w:val="21"/>
        <w:szCs w:val="21"/>
        <w:lang w:bidi="ar-SA" w:eastAsia="en-US" w:val="en"/>
      </w:rPr>
    </w:rPrDefault>
    <w:pPrDefault>
      <w:pPr>
        <w:spacing w:after="80" w:line="280" w:lineRule="atLeast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sz w:val="21"/>
      <w:szCs w:val="21"/>
    </w:rPr>
    <w:pPr>
      <w:spacing w:after="80" w:line="280" w:lineRule="atLeast"/>
    </w:pPr>
  </w:style>
  <w:style w:styleId="BodyText" w:type="paragraph">
    <w:name w:val="Body Text"/>
    <w:basedOn w:val="Normal"/>
    <w:link w:val="BodyTextChar"/>
    <w:pPr>
      <w:spacing w:after="80" w:before="0"/>
    </w:pPr>
    <w:qFormat/>
  </w:style>
  <w:style w:customStyle="1" w:styleId="FirstParagraph" w:type="paragraph">
    <w:name w:val="First Paragraph"/>
    <w:basedOn w:val="BodyText"/>
    <w:next w:val="BodyText"/>
    <w:qFormat/>
    <w:pPr>
      <w:spacing w:after="80" w:before="0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560" w:before="1248"/>
      <w:jc w:val="center"/>
    </w:pPr>
    <w:rPr>
      <w:rFonts w:ascii="HarmonyOS Sans" w:hAnsi="HarmonyOS Sans"/>
      <w:b/>
      <w:bCs/>
      <w:color w:val="1F2328"/>
      <w:sz w:val="72"/>
      <w:szCs w:val="72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pBdr>
        <w:bottom w:val="single" w:sz="12" w:space="1" w:color="C7000B"/>
      </w:pBdr>
      <w:spacing w:after="600" w:before="0"/>
      <w:outlineLvl w:val="0"/>
    </w:pPr>
    <w:rPr>
      <w:rFonts w:ascii="HarmonyOS Sans" w:hAnsi="HarmonyOS Sans"/>
      <w:b/>
      <w:bCs/>
      <w:color w:val="1F2328"/>
      <w:sz w:val="40"/>
      <w:szCs w:val="40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600"/>
      <w:outlineLvl w:val="1"/>
    </w:pPr>
    <w:rPr>
      <w:rFonts w:ascii="HarmonyOS Sans" w:hAnsi="HarmonyOS Sans"/>
      <w:color w:val="1F2328"/>
      <w:sz w:val="36"/>
      <w:szCs w:val="36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80" w:before="200"/>
      <w:outlineLvl w:val="2"/>
    </w:pPr>
    <w:rPr>
      <w:rFonts w:ascii="HarmonyOS Sans" w:hAnsi="HarmonyOS Sans"/>
      <w:color w:val="1F2328"/>
      <w:sz w:val="32"/>
      <w:szCs w:val="32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80" w:before="160"/>
      <w:outlineLvl w:val="3"/>
    </w:pPr>
    <w:rPr>
      <w:rFonts w:ascii="HarmonyOS Sans" w:hAnsi="HarmonyOS Sans"/>
      <w:color w:val="1F2328"/>
      <w:sz w:val="28"/>
      <w:szCs w:val="28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HarmonyOS Sans" w:hAnsi="HarmonyOS Sans"/>
      <w:iCs/>
      <w:color w:val="1F2328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HarmonyOS Sans" w:hAnsi="HarmonyOS Sans"/>
      <w:color w:val="1F2328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HarmonyOS Sans" w:hAnsi="HarmonyOS Sans"/>
      <w:color w:val="1F2328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HarmonyOS Sans" w:hAnsi="HarmonyOS Sans"/>
      <w:color w:val="1F2328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HarmonyOS Sans" w:hAnsi="HarmonyOS Sans"/>
      <w:color w:val="1F2328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120"/>
      <w:jc w:val="center"/>
    </w:pPr>
    <w:rPr>
      <w:i/>
      <w:rFonts w:ascii="HarmonyOS Sans" w:hAnsi="HarmonyOS Sans"/>
      <w:b/>
      <w:sz w:val="18"/>
      <w:szCs w:val="18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ascadia Code" w:hAnsi="Cascadia Code"/>
      <w:color w:val="1F2328"/>
      <w:sz w:val="20"/>
      <w:szCs w:val="20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rFonts w:ascii="HarmonyOS Sans" w:hAnsi="HarmonyOS Sans"/>
      <w:color w:val="0000FF"/>
      <w:sz w:val="21"/>
      <w:u w:val="non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  <w:pBdr>
        <w:bottom w:val="single" w:sz="4" w:space="1" w:color="000000"/>
      </w:pBdr>
    </w:pPr>
    <w:rPr>
      <w:rFonts w:ascii="HarmonyOS Sans" w:hAnsi="HarmonyOS Sans"/>
      <w:b/>
      <w:color w:val="1F2328"/>
      <w:sz w:val="44"/>
      <w:szCs w:val="44"/>
    </w:rPr>
  </w:style>
  <w:style w:customStyle="1" w:styleId="warning" w:type="paragraph">
    <w:name w:val="warning"/>
    <w:pPr>
      <w:pBdr>
        <w:left w:color="F57C00" w:space="4" w:sz="24" w:val="single"/>
      </w:pBdr>
      <w:shd w:fill="FFF8E1" w:val="clear"/>
      <w:ind w:left="283"/>
      <w:spacing w:before="120" w:after="120"/>
    </w:pPr>
  </w:style>
  <w:style w:customStyle="1" w:styleId="tip" w:type="paragraph">
    <w:name w:val="tip"/>
    <w:pPr>
      <w:pBdr>
        <w:left w:color="2E7D32" w:space="4" w:sz="24" w:val="single"/>
      </w:pBdr>
      <w:shd w:fill="E8F5E9" w:val="clear"/>
      <w:ind w:left="283"/>
      <w:spacing w:before="120" w:after="120"/>
    </w:pPr>
  </w:style>
  <w:style w:customStyle="1" w:styleId="infobox" w:type="paragraph">
    <w:name w:val="infobox"/>
    <w:pPr>
      <w:pBdr>
        <w:left w:color="1565C0" w:space="4" w:sz="24" w:val="single"/>
      </w:pBdr>
      <w:shd w:fill="E3F2FD" w:val="clear"/>
      <w:ind w:left="283"/>
      <w:spacing w:before="120" w:after="120"/>
    </w:pPr>
  </w:style>
  <w:style w:customStyle="1" w:styleId="objectives" w:type="paragraph">
    <w:name w:val="objectives"/>
  </w:style>
  <w:style w:customStyle="1" w:styleId="changelog" w:type="paragraph">
    <w:name w:val="changelog"/>
  </w:style>
  <w:style w:customStyle="1" w:styleId="hutable" w:type="paragraph">
    <w:name w:val="hutable"/>
  </w:style>
  <w:style w:customStyle="1" w:styleId="SourceCode" w:type="paragraph">
    <w:name w:val="Source Code"/>
    <w:pPr>
      <w:shd w:fill="F6F8FA" w:val="clear"/>
      <w:ind w:left="397" w:right="284"/>
      <w:spacing w:before="120" w:after="120"/>
    </w:pPr>
    <w:rPr>
      <w:rFonts w:ascii="Cascadia Code" w:hAnsi="Cascadia Code"/>
      <w:color w:val="1F2328"/>
      <w:sz w:val="20"/>
      <w:szCs w:val="20"/>
    </w:rPr>
  </w:style>
  <w:style w:customStyle="1" w:styleId="badge" w:type="character">
    <w:name w:val="badge"/>
    <w:rPr>
      <w:rFonts w:ascii="HarmonyOS Sans" w:hAnsi="HarmonyOS Sans"/>
      <w:b/>
      <w:color w:val="FFFFFF"/>
      <w:sz w:val="16"/>
      <w:shd w:fill="C7000B" w:val="clear" w:color="auto"/>
      <w:szCs w:val="16"/>
    </w:rPr>
  </w:style>
  <w:style w:customStyle="1" w:styleId="CoverLogo" w:type="paragraph">
    <w:name w:val="CoverLogo"/>
    <w:pPr>
      <w:spacing w:after="200" w:before="200"/>
      <w:jc w:val="center"/>
    </w:pPr>
  </w:style>
  <w:style w:customStyle="1" w:styleId="CoverText" w:type="paragraph">
    <w:name w:val="CoverText"/>
    <w:pPr>
      <w:spacing w:after="200" w:before="600"/>
      <w:jc w:val="center"/>
    </w:pPr>
    <w:rPr>
      <w:rFonts w:ascii="HarmonyOS Sans" w:hAnsi="HarmonyOS Sans"/>
      <w:color w:val="1F2328"/>
      <w:sz w:val="32"/>
    </w:rPr>
  </w:style>
  <w:style w:customStyle="1" w:styleId="CoverMeta" w:type="paragraph">
    <w:name w:val="CoverMeta"/>
    <w:pPr>
      <w:spacing w:after="200" w:before="100"/>
      <w:jc w:val="center"/>
    </w:pPr>
    <w:rPr>
      <w:rFonts w:ascii="HarmonyOS Sans" w:hAnsi="HarmonyOS Sans"/>
      <w:color w:val="595959"/>
      <w:sz w:val="24"/>
    </w:rPr>
  </w:style>
  <w:style w:customStyle="1" w:styleId="TOCTitle" w:type="paragraph">
    <w:name w:val="TOCTitle"/>
    <w:pPr>
      <w:spacing w:after="200" w:before="0"/>
      <w:jc w:val="right"/>
    </w:pPr>
    <w:rPr>
      <w:rFonts w:ascii="HarmonyOS Sans" w:hAnsi="HarmonyOS Sans"/>
      <w:b/>
      <w:color w:val="1F2328"/>
      <w:sz w:val="44"/>
    </w:rPr>
  </w:style>
  <w:style w:customStyle="1" w:styleId="ImageBlock" w:type="paragraph">
    <w:name w:val="ImageBlock"/>
    <w:pPr>
      <w:spacing w:after="120" w:before="120"/>
      <w:jc w:val="center"/>
    </w:pPr>
  </w:style>
  <w:style w:customStyle="1" w:styleId="ObjectivesRule" w:type="paragraph">
    <w:name w:val="ObjectivesRule"/>
    <w:pPr>
      <w:spacing w:after="200" w:before="80"/>
      <w:pBdr>
        <w:bottom w:color="000000" w:space="1" w:sz="12" w:val="single"/>
      </w:pBdr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  <w:style w:type="paragraph" w:styleId="TOC1">
    <w:name w:val="toc1"/>
    <w:basedOn w:val="Normal"/>
    <w:next w:val="Normal"/>
    <w:uiPriority w:val="9"/>
    <w:qFormat/>
    <w:pPr>
      <w:tabs>
        <w:tab w:val="right" w:leader="dot" w:pos="9000"/>
      </w:tabs>
      <w:ind w:left="0"/>
      <w:spacing w:after="40"/>
    </w:pPr>
  </w:style>
  <w:style w:type="paragraph" w:styleId="TOC2">
    <w:name w:val="toc2"/>
    <w:basedOn w:val="Normal"/>
    <w:next w:val="Normal"/>
    <w:uiPriority w:val="9"/>
    <w:qFormat/>
    <w:pPr>
      <w:tabs>
        <w:tab w:val="right" w:leader="dot" w:pos="9000"/>
      </w:tabs>
      <w:ind w:left="420"/>
      <w:spacing w:after="40"/>
    </w:pPr>
  </w:style>
  <w:style w:type="paragraph" w:styleId="TOC3">
    <w:name w:val="toc3"/>
    <w:basedOn w:val="Normal"/>
    <w:next w:val="Normal"/>
    <w:uiPriority w:val="9"/>
    <w:qFormat/>
    <w:pPr>
      <w:tabs>
        <w:tab w:val="right" w:leader="dot" w:pos="9000"/>
      </w:tabs>
      <w:ind w:left="840"/>
      <w:spacing w:after="4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HarmonyOS Sans"/>
        <a:ea typeface="HarmonyOS Sans"/>
        <a:cs typeface="HarmonyOS Sans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HarmonyOS Sans"/>
        <a:ea typeface="HarmonyOS Sans"/>
        <a:cs typeface="HarmonyOS Sans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POC Test Cases — Data Platform Validation</dc:title>
  <dc:creator/>
  <dc:language>en</dc:language>
  <cp:keywords/>
  <dcterms:created xsi:type="dcterms:W3CDTF">2026-09-13T14:23:52Z</dcterms:created>
  <dcterms:modified xsi:type="dcterms:W3CDTF">2026-09-13T14:23:52Z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-version">
    <vt:lpwstr>2.1.0</vt:lpwstr>
  </property>
</Properties>
</file>