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verLogo"/>
      </w:pPr>
      <w:r>
        <w:drawing>
          <wp:inline>
            <wp:extent cx="1295999" cy="1320452"/>
            <wp:effectExtent b="0" l="0" r="0" t="0"/>
            <wp:docPr descr="" title="" id="21" name="Picture"/>
            <a:graphic>
              <a:graphicData uri="http://schemas.openxmlformats.org/drawingml/2006/picture">
                <pic:pic>
                  <pic:nvPicPr>
                    <pic:cNvPr descr="huawei-logo-cover.png" id="22" name="Picture"/>
                    <pic:cNvPicPr>
                      <a:picLocks noChangeArrowheads="1" noChangeAspect="1"/>
                    </pic:cNvPicPr>
                  </pic:nvPicPr>
                  <pic:blipFill>
                    <a:blip r:embed="rId20"/>
                    <a:stretch>
                      <a:fillRect/>
                    </a:stretch>
                  </pic:blipFill>
                  <pic:spPr bwMode="auto">
                    <a:xfrm>
                      <a:off x="0" y="0"/>
                      <a:ext cx="1295999" cy="1320452"/>
                    </a:xfrm>
                    <a:prstGeom prst="rect">
                      <a:avLst/>
                    </a:prstGeom>
                    <a:noFill/>
                    <a:ln w="9525">
                      <a:noFill/>
                      <a:headEnd/>
                      <a:tailEnd/>
                    </a:ln>
                  </pic:spPr>
                </pic:pic>
              </a:graphicData>
            </a:graphic>
          </wp:inline>
        </w:drawing>
      </w:r>
    </w:p>
    <w:p>
      <w:pPr>
        <w:pStyle w:val="CoverText"/>
      </w:pPr>
      <w:r>
        <w:t xml:space="preserve">Huawei Technologies CO., LTD</w:t>
      </w:r>
    </w:p>
    <w:p>
      <w:pPr>
        <w:pStyle w:val="CoverMeta"/>
      </w:pPr>
      <w:r>
        <w:t xml:space="preserve">v2.1.0 — 2026-09-14 00:29</w:t>
      </w:r>
    </w:p>
    <w:p>
      <w:r>
        <w:br w:type="page"/>
      </w:r>
    </w:p>
    <w:p>
      <w:pPr>
        <w:pStyle w:val="TOCTitle"/>
      </w:pPr>
      <w:r>
        <w:t xml:space="preserve">Contents</w:t>
      </w:r>
    </w:p>
    <w:sdt>
      <w:sdtPr>
        <w:docPartObj>
          <w:docPartGallery w:val="Table of Contents"/>
          <w:docPartUnique/>
        </w:docPartObj>
      </w:sdtPr>
      <w:sdtContent>
        <w:p>
          <w:r>
            <w:fldChar w:fldCharType="begin" w:dirty="true"/>
            <w:instrText xml:space="preserve"> TOC \o "1-3" \h \z \u </w:instrText>
            <w:fldChar w:fldCharType="separate"/>
            <w:fldChar w:fldCharType="end"/>
          </w:r>
        </w:p>
      </w:sdtContent>
    </w:sdt>
    <w:p>
      <w:r>
        <w:br w:type="page"/>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This document demonstrates the</w:t>
            </w:r>
            <w:r>
              <w:t xml:space="preserve"> </w:t>
            </w:r>
            <w:r>
              <w:rPr>
                <w:rStyle w:val="VerbatimChar"/>
              </w:rPr>
              <w:t xml:space="preserve">testbook</w:t>
            </w:r>
            <w:r>
              <w:t xml:space="preserve"> </w:t>
            </w:r>
            <w:r>
              <w:t xml:space="preserve">template (</w:t>
            </w:r>
            <w:r>
              <w:rPr>
                <w:rStyle w:val="VerbatimChar"/>
              </w:rPr>
              <w:t xml:space="preserve">testbook.cls</w:t>
            </w:r>
            <w:r>
              <w:t xml:space="preserve">) for</w:t>
            </w:r>
            <w:r>
              <w:t xml:space="preserve"> </w:t>
            </w:r>
            <w:r>
              <w:t xml:space="preserve">Huawei Cloud POC/acceptance test case documents. It exercises all available</w:t>
            </w:r>
            <w:r>
              <w:t xml:space="preserve"> </w:t>
            </w:r>
            <w:r>
              <w:t xml:space="preserve">commands and environments: cover page, table of contents, test case environment</w:t>
            </w:r>
            <w:r>
              <w:t xml:space="preserve"> </w:t>
            </w:r>
            <w:r>
              <w:t xml:space="preserve">with all field commands, mini header bars, testprocedure environment with</w:t>
            </w:r>
            <w:r>
              <w:t xml:space="preserve"> </w:t>
            </w:r>
            <w:r>
              <w:t xml:space="preserve">step-by-step actions, objectives block, code blocks, images, callouts</w:t>
            </w:r>
            <w:r>
              <w:t xml:space="preserve"> </w:t>
            </w:r>
            <w:r>
              <w:t xml:space="preserve">(</w:t>
            </w:r>
            <w:r>
              <w:rPr>
                <w:rStyle w:val="VerbatimChar"/>
              </w:rPr>
              <w:t xml:space="preserve">warning</w:t>
            </w:r>
            <w:r>
              <w:t xml:space="preserve">,</w:t>
            </w:r>
            <w:r>
              <w:t xml:space="preserve"> </w:t>
            </w:r>
            <w:r>
              <w:rPr>
                <w:rStyle w:val="VerbatimChar"/>
              </w:rPr>
              <w:t xml:space="preserve">tip</w:t>
            </w:r>
            <w:r>
              <w:t xml:space="preserve">,</w:t>
            </w:r>
            <w:r>
              <w:t xml:space="preserve"> </w:t>
            </w:r>
            <w:r>
              <w:rPr>
                <w:rStyle w:val="VerbatimChar"/>
              </w:rPr>
              <w:t xml:space="preserve">infobox</w:t>
            </w:r>
            <w:r>
              <w:t xml:space="preserve">), tables, badge,</w:t>
            </w:r>
            <w:r>
              <w:t xml:space="preserve"> </w:t>
            </w:r>
            <w:r>
              <w:t xml:space="preserve">menu paths, weblinks, notes, param references, test summary table,</w:t>
            </w:r>
            <w:r>
              <w:t xml:space="preserve"> </w:t>
            </w:r>
            <w:r>
              <w:t xml:space="preserve">result badges, and changelog.</w:t>
            </w:r>
          </w:p>
        </w:tc>
      </w:tr>
    </w:tbl>
    <w:p>
      <w:pPr>
        <w:spacing w:before="120" w:after="0"/>
      </w:pPr>
    </w:p>
    <w:p>
      <w:pPr>
        <w:pStyle w:val="Heading1"/>
        <w:pBdr>
          <w:bottom w:val="single" w:sz="12" w:space="2" w:color="C7000B"/>
        </w:pBdr>
        <w:tabs>
          <w:tab w:val="right" w:pos="9638"/>
        </w:tabs>
      </w:pPr>
      <w:bookmarkStart w:id="100" w:name="introduction"/>
      <w:r>
        <w:rPr>
          <w:sz w:val="112"/>
          <w:szCs w:val="112"/>
        </w:rPr>
        <w:t xml:space="preserve">1</w:t>
      </w:r>
      <w:r>
        <w:tab/>
      </w:r>
      <w:r>
        <w:t xml:space="preserve">Introduction</w:t>
      </w:r>
      <w:bookmarkEnd w:id="100"/>
    </w:p>
    <w:p>
      <w:pPr>
        <w:pStyle w:val="BodyText"/>
      </w:pPr>
      <w:r>
        <w:rPr>
          <w:bCs/>
          <w:b/>
        </w:rPr>
        <w:t xml:space="preserve">General Objective:</w:t>
      </w:r>
      <w:r>
        <w:t xml:space="preserve"> </w:t>
      </w:r>
      <w:r>
        <w:t xml:space="preserve">Validate the Huawei Cloud Data Platform deployment for the</w:t>
      </w:r>
      <w:r>
        <w:t xml:space="preserve"> </w:t>
      </w:r>
      <w:r>
        <w:t xml:space="preserve">POC environment, ensuring that all core services (DataArts Studio, MRS,</w:t>
      </w:r>
      <w:r>
        <w:t xml:space="preserve"> </w:t>
      </w:r>
      <w:r>
        <w:t xml:space="preserve">OBS, VPC) are provisioned correctly, accessible, and functioning as</w:t>
      </w:r>
      <w:r>
        <w:t xml:space="preserve"> </w:t>
      </w:r>
      <w:r>
        <w:t xml:space="preserve">specified in the solution architecture.</w:t>
      </w:r>
    </w:p>
    <w:p>
      <w:pPr>
        <w:pStyle w:val="BodyText"/>
      </w:pPr>
      <w:r>
        <w:rPr>
          <w:bCs/>
          <w:b/>
        </w:rPr>
        <w:t xml:space="preserve">Prerequisites:</w:t>
      </w:r>
      <w:r>
        <w:t xml:space="preserve"> </w:t>
      </w:r>
    </w:p>
    <w:p>
      <w:pPr>
        <w:numPr>
          <w:ilvl w:val="0"/>
          <w:numId w:val="1001"/>
        </w:numPr>
      </w:pPr>
      <w:r>
        <w:t xml:space="preserve">Huawei Cloud account with IAM admin privileges in the</w:t>
      </w:r>
      <w:r>
        <w:t xml:space="preserve"> </w:t>
      </w:r>
      <w:r>
        <w:rPr>
          <w:rStyle w:val="VerbatimChar"/>
        </w:rPr>
        <w:t xml:space="preserve">sa-brazil-1</w:t>
      </w:r>
      <w:r>
        <w:t xml:space="preserve"> </w:t>
      </w:r>
      <w:r>
        <w:t xml:space="preserve">region.</w:t>
      </w:r>
    </w:p>
    <w:p>
      <w:pPr>
        <w:numPr>
          <w:ilvl w:val="0"/>
          <w:numId w:val="1001"/>
        </w:numPr>
      </w:pPr>
      <w:r>
        <w:t xml:space="preserve">VPC, subnet, and security groups already created by the infrastructure team.</w:t>
      </w:r>
    </w:p>
    <w:p>
      <w:pPr>
        <w:numPr>
          <w:ilvl w:val="0"/>
          <w:numId w:val="1001"/>
        </w:numPr>
      </w:pPr>
      <w:r>
        <w:t xml:space="preserve">DataArts Studio instance (Dayu) provisioned and licensed.</w:t>
      </w:r>
    </w:p>
    <w:p>
      <w:pPr>
        <w:numPr>
          <w:ilvl w:val="0"/>
          <w:numId w:val="1001"/>
        </w:numPr>
      </w:pPr>
      <w:r>
        <w:t xml:space="preserve">MRS cluster deployed with the required component stack (HDFS, YARN, Spark, Hive).</w:t>
      </w:r>
    </w:p>
    <w:p>
      <w:pPr>
        <w:numPr>
          <w:ilvl w:val="0"/>
          <w:numId w:val="1001"/>
        </w:numPr>
      </w:pPr>
      <w:r>
        <w:t xml:space="preserve">OBS bucket created and accessible with the designated IAM policy.</w:t>
      </w:r>
    </w:p>
    <w:p>
      <w:pPr>
        <w:numPr>
          <w:ilvl w:val="0"/>
          <w:numId w:val="1001"/>
        </w:numPr>
      </w:pPr>
      <w:r>
        <w:t xml:space="preserve">Test execution environment with network connectivity to the Huawei Cloud Console.</w:t>
      </w:r>
    </w:p>
    <w:p>
      <w:pPr>
        <w:numPr>
          <w:ilvl w:val="0"/>
          <w:numId w:val="1001"/>
        </w:numPr>
      </w:pPr>
      <w:r>
        <w:rPr>
          <w:rStyle w:val="VerbatimChar"/>
        </w:rPr>
        <w:t xml:space="preserve">latexmk</w:t>
      </w:r>
      <w:r>
        <w:t xml:space="preserve"> </w:t>
      </w:r>
      <w:r>
        <w:t xml:space="preserve">and</w:t>
      </w:r>
      <w:r>
        <w:t xml:space="preserve"> </w:t>
      </w:r>
      <w:r>
        <w:rPr>
          <w:rStyle w:val="VerbatimChar"/>
        </w:rPr>
        <w:t xml:space="preserve">terraform</w:t>
      </w:r>
      <w:r>
        <w:t xml:space="preserve"> </w:t>
      </w:r>
      <w:r>
        <w:t xml:space="preserve">CLI tools installed locally.</w:t>
      </w:r>
    </w:p>
    <w:p>
      <w:pPr>
        <w:pStyle w:val="ObjectivesRule"/>
      </w:pPr>
      <w:r>
        <w:t xml:space="preserve">​</w:t>
      </w:r>
    </w:p>
    <w:p>
      <w:pPr>
        <w:pStyle w:val="Heading2"/>
      </w:pPr>
      <w:bookmarkStart w:id="101" w:name="test-scope"/>
      <w:r>
        <w:t xml:space="preserve">1.1</w:t>
      </w:r>
      <w:r>
        <w:t xml:space="preserve"> Test Scope</w:t>
      </w:r>
      <w:bookmarkEnd w:id="101"/>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Domain</w:t>
            </w:r>
          </w:p>
        </w:tc>
        <w:tc>
          <w:tcPr>
            <w:shd w:val="clear" w:color="auto" w:fill="C7000B"/>
          </w:tcPr>
          <w:p>
            <w:pPr>
              <w:jc w:val="center"/>
            </w:pPr>
            <w:r>
              <w:rPr>
                <w:rFonts w:ascii="HarmonyOS Sans" w:hAnsi="HarmonyOS Sans"/>
                <w:b/>
                <w:color w:val="FFFFFF"/>
                <w:sz w:val="18"/>
                <w:szCs w:val="18"/>
              </w:rPr>
              <w:t>What Should Be Observed</w:t>
            </w:r>
          </w:p>
        </w:tc>
      </w:tr>
      <w:tr>
        <w:tc>
          <w:tcPr>
            <w:shd w:val="clear" w:color="auto" w:fill="FFFFFF"/>
          </w:tcPr>
          <w:p>
            <w:pPr>
              <w:jc w:val="center"/>
            </w:pPr>
            <w:r>
              <w:rPr>
                <w:rFonts w:ascii="HarmonyOS Sans" w:hAnsi="HarmonyOS Sans"/>
                <w:sz w:val="18"/>
                <w:szCs w:val="18"/>
              </w:rPr>
              <w:t>Platform Architecture</w:t>
            </w:r>
          </w:p>
        </w:tc>
        <w:tc>
          <w:tcPr>
            <w:shd w:val="clear" w:color="auto" w:fill="FFFFFF"/>
          </w:tcPr>
          <w:p>
            <w:pPr>
              <w:jc w:val="center"/>
            </w:pPr>
            <w:r>
              <w:rPr>
                <w:rFonts w:ascii="HarmonyOS Sans" w:hAnsi="HarmonyOS Sans"/>
                <w:sz w:val="18"/>
                <w:szCs w:val="18"/>
              </w:rPr>
              <w:t>Core services are deployed, healthy, and reachable via the Console API.</w:t>
            </w:r>
          </w:p>
        </w:tc>
      </w:tr>
      <w:tr>
        <w:tc>
          <w:tcPr>
            <w:shd w:val="clear" w:color="auto" w:fill="F6F8FA"/>
          </w:tcPr>
          <w:p>
            <w:pPr>
              <w:jc w:val="center"/>
            </w:pPr>
            <w:r>
              <w:rPr>
                <w:rFonts w:ascii="HarmonyOS Sans" w:hAnsi="HarmonyOS Sans"/>
                <w:sz w:val="18"/>
                <w:szCs w:val="18"/>
              </w:rPr>
              <w:t>Data Engineering</w:t>
            </w:r>
          </w:p>
        </w:tc>
        <w:tc>
          <w:tcPr>
            <w:shd w:val="clear" w:color="auto" w:fill="F6F8FA"/>
          </w:tcPr>
          <w:p>
            <w:pPr>
              <w:jc w:val="center"/>
            </w:pPr>
            <w:r>
              <w:rPr>
                <w:rFonts w:ascii="HarmonyOS Sans" w:hAnsi="HarmonyOS Sans"/>
                <w:sz w:val="18"/>
                <w:szCs w:val="18"/>
              </w:rPr>
              <w:t>DataArts Studio pipelines can ingest, transform, and load data into the target storage.</w:t>
            </w:r>
          </w:p>
        </w:tc>
      </w:tr>
      <w:tr>
        <w:tc>
          <w:tcPr>
            <w:shd w:val="clear" w:color="auto" w:fill="FFFFFF"/>
          </w:tcPr>
          <w:p>
            <w:pPr>
              <w:jc w:val="center"/>
            </w:pPr>
            <w:r>
              <w:rPr>
                <w:rFonts w:ascii="HarmonyOS Sans" w:hAnsi="HarmonyOS Sans"/>
                <w:sz w:val="18"/>
                <w:szCs w:val="18"/>
              </w:rPr>
              <w:t>Data Storage</w:t>
            </w:r>
          </w:p>
        </w:tc>
        <w:tc>
          <w:tcPr>
            <w:shd w:val="clear" w:color="auto" w:fill="FFFFFF"/>
          </w:tcPr>
          <w:p>
            <w:pPr>
              <w:jc w:val="center"/>
            </w:pPr>
            <w:r>
              <w:rPr>
                <w:rFonts w:ascii="HarmonyOS Sans" w:hAnsi="HarmonyOS Sans"/>
                <w:sz w:val="18"/>
                <w:szCs w:val="18"/>
              </w:rPr>
              <w:t>OBS buckets and MRS HDFS accept writes/reads with correct permissions.</w:t>
            </w:r>
          </w:p>
        </w:tc>
      </w:tr>
      <w:tr>
        <w:tc>
          <w:tcPr>
            <w:shd w:val="clear" w:color="auto" w:fill="F6F8FA"/>
          </w:tcPr>
          <w:p>
            <w:pPr>
              <w:jc w:val="center"/>
            </w:pPr>
            <w:r>
              <w:rPr>
                <w:rFonts w:ascii="HarmonyOS Sans" w:hAnsi="HarmonyOS Sans"/>
                <w:sz w:val="18"/>
                <w:szCs w:val="18"/>
              </w:rPr>
              <w:t>Security</w:t>
            </w:r>
          </w:p>
        </w:tc>
        <w:tc>
          <w:tcPr>
            <w:shd w:val="clear" w:color="auto" w:fill="F6F8FA"/>
          </w:tcPr>
          <w:p>
            <w:pPr>
              <w:jc w:val="center"/>
            </w:pPr>
            <w:r>
              <w:rPr>
                <w:rFonts w:ascii="HarmonyOS Sans" w:hAnsi="HarmonyOS Sans"/>
                <w:sz w:val="18"/>
                <w:szCs w:val="18"/>
              </w:rPr>
              <w:t>IAM policies, VPC isolation, and security group rules enforce the intended access control.</w:t>
            </w:r>
          </w:p>
        </w:tc>
      </w:tr>
    </w:tbl>
    <w:p>
      <w:pPr>
        <w:pStyle w:val="Heading2"/>
      </w:pPr>
      <w:bookmarkStart w:id="102" w:name="preconditions-and-preparations"/>
      <w:r>
        <w:t xml:space="preserve">1.2</w:t>
      </w:r>
      <w:r>
        <w:t xml:space="preserve"> Preconditions and Preparations</w:t>
      </w:r>
      <w:bookmarkEnd w:id="102"/>
    </w:p>
    <w:p>
      <w:pPr>
        <w:numPr>
          <w:ilvl w:val="0"/>
          <w:numId w:val="1002"/>
        </w:numPr>
      </w:pPr>
      <w:r>
        <w:t xml:space="preserve">All infrastructure resources must be provisioned via Terraform and the</w:t>
      </w:r>
      <w:r>
        <w:t xml:space="preserve"> </w:t>
      </w:r>
      <w:r>
        <w:rPr>
          <w:rStyle w:val="VerbatimChar"/>
        </w:rPr>
        <w:t xml:space="preserve">terraform apply</w:t>
      </w:r>
      <w:r>
        <w:t xml:space="preserve"> </w:t>
      </w:r>
      <w:r>
        <w:t xml:space="preserve">output must show zero errors.</w:t>
      </w:r>
    </w:p>
    <w:p>
      <w:pPr>
        <w:numPr>
          <w:ilvl w:val="0"/>
          <w:numId w:val="1002"/>
        </w:numPr>
      </w:pPr>
      <w:r>
        <w:t xml:space="preserve">The MRS cluster must be in</w:t>
      </w:r>
      <w:r>
        <w:t xml:space="preserve"> </w:t>
      </w:r>
      <w:r>
        <w:rPr>
          <w:bCs/>
          <w:b/>
        </w:rPr>
        <w:t xml:space="preserve">Running</w:t>
      </w:r>
      <w:r>
        <w:t xml:space="preserve"> </w:t>
      </w:r>
      <w:r>
        <w:t xml:space="preserve">state before any data engineering test case is executed.</w:t>
      </w:r>
    </w:p>
    <w:p>
      <w:pPr>
        <w:numPr>
          <w:ilvl w:val="0"/>
          <w:numId w:val="1002"/>
        </w:numPr>
      </w:pPr>
      <w:r>
        <w:t xml:space="preserve">Test data files (CSV/JSON) must be uploaded to the designated OBS bucket prior to pipeline execution.</w:t>
      </w:r>
    </w:p>
    <w:p>
      <w:pPr>
        <w:numPr>
          <w:ilvl w:val="0"/>
          <w:numId w:val="1002"/>
        </w:numPr>
      </w:pPr>
      <w:r>
        <w:t xml:space="preserve">Each tester must have a personal IAM account with the</w:t>
      </w:r>
      <w:r>
        <w:t xml:space="preserve"> </w:t>
      </w:r>
      <w:r>
        <w:rPr>
          <w:bCs/>
          <w:b/>
        </w:rPr>
        <w:t xml:space="preserve">Dayu_User</w:t>
      </w:r>
      <w:r>
        <w:t xml:space="preserve"> </w:t>
      </w:r>
      <w:r>
        <w:t xml:space="preserve">role assigned in DataArts Studio.</w:t>
      </w:r>
    </w:p>
    <w:p>
      <w:pPr>
        <w:numPr>
          <w:ilvl w:val="0"/>
          <w:numId w:val="1002"/>
        </w:numPr>
      </w:pPr>
      <w:r>
        <w:t xml:space="preserve">Network firewall rules must allow inbound TCP 22 (SSH) and TCP 443 (HTTPS) from the test execution subnet.</w:t>
      </w:r>
    </w:p>
    <w:p>
      <w:pPr>
        <w:pStyle w:val="FirstParagraph"/>
      </w:pPr>
      <w:r>
        <w:rPr>
          <w:iCs/>
          <w:i/>
        </w:rPr>
        <w:t xml:space="preserve">Ensure the test execution environment has the correct timezone set to</w:t>
      </w:r>
      <w:r>
        <w:rPr>
          <w:iCs/>
          <w:i/>
        </w:rPr>
        <w:t xml:space="preserve"> </w:t>
      </w:r>
      <w:r>
        <w:rPr>
          <w:rStyle w:val="VerbatimChar"/>
          <w:iCs/>
          <w:i/>
        </w:rPr>
        <w:t xml:space="preserve">America/Sao_Paulo</w:t>
      </w:r>
      <w:r>
        <w:rPr>
          <w:iCs/>
          <w:i/>
        </w:rPr>
        <w:t xml:space="preserve"> </w:t>
      </w:r>
      <w:r>
        <w:rPr>
          <w:iCs/>
          <w:i/>
        </w:rPr>
        <w:t xml:space="preserve">(GMT-3) so that log timestamps align with the Huawei Cloud Console.</w:t>
      </w:r>
    </w:p>
    <w:p>
      <w:pPr>
        <w:pStyle w:val="SourceCode"/>
      </w:pPr>
      <w:r>
        <w:rPr>
          <w:rStyle w:val="CommentTok"/>
        </w:rPr>
        <w:t xml:space="preserve"># Verify CLI tools are installed</w:t>
      </w:r>
      <w:r>
        <w:br/>
      </w:r>
      <w:r>
        <w:rPr>
          <w:rStyle w:val="ExtensionTok"/>
        </w:rPr>
        <w:t xml:space="preserve">terraform</w:t>
      </w:r>
      <w:r>
        <w:rPr>
          <w:rStyle w:val="NormalTok"/>
        </w:rPr>
        <w:t xml:space="preserve"> version</w:t>
      </w:r>
      <w:r>
        <w:br/>
      </w:r>
      <w:r>
        <w:rPr>
          <w:rStyle w:val="ExtensionTok"/>
        </w:rPr>
        <w:t xml:space="preserve">obsutil</w:t>
      </w:r>
      <w:r>
        <w:rPr>
          <w:rStyle w:val="NormalTok"/>
        </w:rPr>
        <w:t xml:space="preserve"> version</w:t>
      </w:r>
      <w:r>
        <w:br/>
      </w:r>
      <w:r>
        <w:rPr>
          <w:rStyle w:val="ExtensionTok"/>
        </w:rPr>
        <w:t xml:space="preserve">kubectl</w:t>
      </w:r>
      <w:r>
        <w:rPr>
          <w:rStyle w:val="NormalTok"/>
        </w:rPr>
        <w:t xml:space="preserve"> version </w:t>
      </w:r>
      <w:r>
        <w:rPr>
          <w:rStyle w:val="AttributeTok"/>
        </w:rPr>
        <w:t xml:space="preserve">--client</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Use</w:t>
            </w:r>
            <w:r>
              <w:t xml:space="preserve"> </w:t>
            </w:r>
            <w:r>
              <w:rPr>
                <w:rStyle w:val="VerbatimChar"/>
              </w:rPr>
              <w:t xml:space="preserve">terraform plan</w:t>
            </w:r>
            <w:r>
              <w:t xml:space="preserve"> </w:t>
            </w:r>
            <w:r>
              <w:t xml:space="preserve">before</w:t>
            </w:r>
            <w:r>
              <w:t xml:space="preserve"> </w:t>
            </w:r>
            <w:r>
              <w:rPr>
                <w:rStyle w:val="VerbatimChar"/>
              </w:rPr>
              <w:t xml:space="preserve">terraform apply</w:t>
            </w:r>
            <w:r>
              <w:t xml:space="preserve"> </w:t>
            </w:r>
            <w:r>
              <w:t xml:space="preserve">to preview</w:t>
            </w:r>
            <w:r>
              <w:t xml:space="preserve"> </w:t>
            </w:r>
            <w:r>
              <w:t xml:space="preserve">infrastructure changes and avoid unintended resource modifications.</w:t>
            </w:r>
          </w:p>
        </w:tc>
      </w:tr>
    </w:tbl>
    <w:p>
      <w:pPr>
        <w:spacing w:before="120" w:after="0"/>
      </w:pPr>
    </w:p>
    <w:p>
      <w:pPr>
        <w:pStyle w:val="Heading2"/>
      </w:pPr>
      <w:bookmarkStart w:id="103" w:name="acceptance-method"/>
      <w:r>
        <w:t xml:space="preserve">1.3</w:t>
      </w:r>
      <w:r>
        <w:t xml:space="preserve"> Acceptance Method</w:t>
      </w:r>
      <w:bookmarkEnd w:id="103"/>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Result</w:t>
            </w:r>
          </w:p>
        </w:tc>
        <w:tc>
          <w:tcPr>
            <w:shd w:val="clear" w:color="auto" w:fill="C7000B"/>
          </w:tcPr>
          <w:p>
            <w:pPr>
              <w:jc w:val="center"/>
            </w:pPr>
            <w:r>
              <w:rPr>
                <w:rFonts w:ascii="HarmonyOS Sans" w:hAnsi="HarmonyOS Sans"/>
                <w:b/>
                <w:color w:val="FFFFFF"/>
                <w:sz w:val="18"/>
                <w:szCs w:val="18"/>
              </w:rPr>
              <w:t>Explanation</w:t>
            </w:r>
          </w:p>
        </w:tc>
      </w:tr>
      <w:tr>
        <w:tc>
          <w:tcPr>
            <w:shd w:val="clear" w:color="auto" w:fill="FFFFFF"/>
          </w:tcPr>
          <w:p>
            <w:pPr>
              <w:jc w:val="center"/>
            </w:pPr>
            <w:r>
              <w:rPr>
                <w:rFonts w:ascii="HarmonyOS Sans" w:hAnsi="HarmonyOS Sans"/>
                <w:sz w:val="18"/>
                <w:szCs w:val="18"/>
              </w:rPr>
              <w:t>Satisfied</w:t>
            </w:r>
          </w:p>
        </w:tc>
        <w:tc>
          <w:tcPr>
            <w:shd w:val="clear" w:color="auto" w:fill="FFFFFF"/>
          </w:tcPr>
          <w:p>
            <w:pPr>
              <w:jc w:val="center"/>
            </w:pPr>
            <w:r>
              <w:rPr>
                <w:rFonts w:ascii="HarmonyOS Sans" w:hAnsi="HarmonyOS Sans"/>
                <w:sz w:val="18"/>
                <w:szCs w:val="18"/>
              </w:rPr>
              <w:t>The test case passes fully --- observed behavior matches the expected result with no deviations.</w:t>
            </w:r>
          </w:p>
        </w:tc>
      </w:tr>
      <w:tr>
        <w:tc>
          <w:tcPr>
            <w:shd w:val="clear" w:color="auto" w:fill="F6F8FA"/>
          </w:tcPr>
          <w:p>
            <w:pPr>
              <w:jc w:val="center"/>
            </w:pPr>
            <w:r>
              <w:rPr>
                <w:rFonts w:ascii="HarmonyOS Sans" w:hAnsi="HarmonyOS Sans"/>
                <w:sz w:val="18"/>
                <w:szCs w:val="18"/>
              </w:rPr>
              <w:t>Satisfied but with reservations</w:t>
            </w:r>
          </w:p>
        </w:tc>
        <w:tc>
          <w:tcPr>
            <w:shd w:val="clear" w:color="auto" w:fill="F6F8FA"/>
          </w:tcPr>
          <w:p>
            <w:pPr>
              <w:jc w:val="center"/>
            </w:pPr>
            <w:r>
              <w:rPr>
                <w:rFonts w:ascii="HarmonyOS Sans" w:hAnsi="HarmonyOS Sans"/>
                <w:sz w:val="18"/>
                <w:szCs w:val="18"/>
              </w:rPr>
              <w:t>The test case passes but minor deviations were observed that do not impact the POC objectives (documented in Remarks).</w:t>
            </w:r>
          </w:p>
        </w:tc>
      </w:tr>
      <w:tr>
        <w:tc>
          <w:tcPr>
            <w:shd w:val="clear" w:color="auto" w:fill="FFFFFF"/>
          </w:tcPr>
          <w:p>
            <w:pPr>
              <w:jc w:val="center"/>
            </w:pPr>
            <w:r>
              <w:rPr>
                <w:rFonts w:ascii="HarmonyOS Sans" w:hAnsi="HarmonyOS Sans"/>
                <w:sz w:val="18"/>
                <w:szCs w:val="18"/>
              </w:rPr>
              <w:t>Not satisfied</w:t>
            </w:r>
          </w:p>
        </w:tc>
        <w:tc>
          <w:tcPr>
            <w:shd w:val="clear" w:color="auto" w:fill="FFFFFF"/>
          </w:tcPr>
          <w:p>
            <w:pPr>
              <w:jc w:val="center"/>
            </w:pPr>
            <w:r>
              <w:rPr>
                <w:rFonts w:ascii="HarmonyOS Sans" w:hAnsi="HarmonyOS Sans"/>
                <w:sz w:val="18"/>
                <w:szCs w:val="18"/>
              </w:rPr>
              <w:t>The test case fails --- observed behavior does not match the expected result. A defect report must be filed.</w:t>
            </w:r>
          </w:p>
        </w:tc>
      </w:tr>
      <w:tr>
        <w:tc>
          <w:tcPr>
            <w:shd w:val="clear" w:color="auto" w:fill="F6F8FA"/>
          </w:tcPr>
          <w:p>
            <w:pPr>
              <w:jc w:val="center"/>
            </w:pPr>
            <w:r>
              <w:rPr>
                <w:rFonts w:ascii="HarmonyOS Sans" w:hAnsi="HarmonyOS Sans"/>
                <w:sz w:val="18"/>
                <w:szCs w:val="18"/>
              </w:rPr>
              <w:t>Untested</w:t>
            </w:r>
          </w:p>
        </w:tc>
        <w:tc>
          <w:tcPr>
            <w:shd w:val="clear" w:color="auto" w:fill="F6F8FA"/>
          </w:tcPr>
          <w:p>
            <w:pPr>
              <w:jc w:val="center"/>
            </w:pPr>
            <w:r>
              <w:rPr>
                <w:rFonts w:ascii="HarmonyOS Sans" w:hAnsi="HarmonyOS Sans"/>
                <w:sz w:val="18"/>
                <w:szCs w:val="18"/>
              </w:rPr>
              <w:t>The test case could not be executed due to blocking dependencies or environment issues.</w:t>
            </w:r>
          </w:p>
        </w:tc>
      </w:tr>
    </w:tbl>
    <w:p>
      <w:r>
        <w:br w:type="page"/>
      </w:r>
    </w:p>
    <w:p>
      <w:pPr>
        <w:pStyle w:val="Heading1"/>
        <w:pBdr>
          <w:bottom w:val="single" w:sz="12" w:space="2" w:color="C7000B"/>
        </w:pBdr>
        <w:tabs>
          <w:tab w:val="right" w:pos="9638"/>
        </w:tabs>
      </w:pPr>
      <w:bookmarkStart w:id="104" w:name="test-cases"/>
      <w:r>
        <w:rPr>
          <w:sz w:val="112"/>
          <w:szCs w:val="112"/>
        </w:rPr>
        <w:t xml:space="preserve">2</w:t>
      </w:r>
      <w:r>
        <w:tab/>
      </w:r>
      <w:r>
        <w:t xml:space="preserve">Test Cases</w:t>
      </w:r>
      <w:bookmarkEnd w:id="104"/>
    </w:p>
    <w:p>
      <w:pPr>
        <w:pStyle w:val="Heading2"/>
      </w:pPr>
      <w:bookmarkStart w:id="105" w:name="platform-architecture"/>
      <w:r>
        <w:t xml:space="preserve">2.1</w:t>
      </w:r>
      <w:r>
        <w:t xml:space="preserve"> Platform Architecture</w:t>
      </w:r>
      <w:bookmarkEnd w:id="105"/>
    </w:p>
    <w:p>
      <w:pPr>
        <w:pStyle w:val="BodyText"/>
      </w:pPr>
      <w:r>
        <w:rPr>
          <w:bCs/>
          <w:b/>
        </w:rPr>
        <w:t xml:space="preserve">Testcase 1:</w:t>
      </w:r>
      <w:r>
        <w:t xml:space="preserve"> </w:t>
      </w:r>
      <w:r>
        <w:t xml:space="preserve">Verify MRS cluster deployment and health</w:t>
      </w:r>
    </w:p>
    <w:p>
      <w:pPr>
        <w:pStyle w:val="DefinitionTerm"/>
      </w:pPr>
      <w:r>
        <w:t xml:space="preserve">Objective</w:t>
      </w:r>
    </w:p>
    <w:p>
      <w:pPr>
        <w:pStyle w:val="Definition"/>
      </w:pPr>
      <w:r>
        <w:t xml:space="preserve">Confirm that the MapReduce Service (MRS) cluster is deployed with the required components (HDFS, YARN, Spark, Hive) and all nodes report a healthy status.</w:t>
      </w:r>
    </w:p>
    <w:p>
      <w:pPr>
        <w:pStyle w:val="DefinitionTerm"/>
      </w:pPr>
      <w:r>
        <w:t xml:space="preserve">Prerequisites</w:t>
      </w:r>
    </w:p>
    <w:p>
      <w:pPr>
        <w:pStyle w:val="Definition"/>
      </w:pPr>
      <w:r>
        <w:t xml:space="preserve">1. Terraform infrastructure apply completed successfully. 2. MRS cluster ID is available in the Terraform output. 3. IAM user has</w:t>
      </w:r>
      <w:r>
        <w:t xml:space="preserve"> </w:t>
      </w:r>
      <w:r>
        <w:rPr>
          <w:bCs/>
          <w:b/>
        </w:rPr>
        <w:t xml:space="preserve">MRS_Viewer</w:t>
      </w:r>
      <w:r>
        <w:t xml:space="preserve"> </w:t>
      </w:r>
      <w:r>
        <w:t xml:space="preserve">or higher role.</w:t>
      </w:r>
    </w:p>
    <w:p>
      <w:pPr>
        <w:pStyle w:val="DefinitionTerm"/>
      </w:pPr>
      <w:r>
        <w:t xml:space="preserve">Procedure</w:t>
      </w:r>
    </w:p>
    <w:p>
      <w:pPr>
        <w:pStyle w:val="Definition"/>
      </w:pPr>
      <w:r>
        <w:t xml:space="preserve">1. Log in to the Huawei Cloud Console 2. Navigate to</w:t>
      </w:r>
      <w:r>
        <w:t xml:space="preserve"> </w:t>
      </w:r>
      <w:r>
        <w:rPr>
          <w:bCs/>
          <w:b/>
        </w:rPr>
        <w:t xml:space="preserve">Console</w:t>
      </w:r>
      <w:r>
        <w:t xml:space="preserve"> </w:t>
      </w:r>
      <w:r>
        <w:rPr>
          <w:bCs/>
          <w:b/>
        </w:rPr>
        <w:t xml:space="preserve">→</w:t>
      </w:r>
      <w:r>
        <w:t xml:space="preserve"> </w:t>
      </w:r>
      <w:r>
        <w:rPr>
          <w:bCs/>
          <w:b/>
        </w:rPr>
        <w:t xml:space="preserve">MapReduce Service</w:t>
      </w:r>
      <w:r>
        <w:t xml:space="preserve"> </w:t>
      </w:r>
      <w:r>
        <w:rPr>
          <w:bCs/>
          <w:b/>
        </w:rPr>
        <w:t xml:space="preserve">→</w:t>
      </w:r>
      <w:r>
        <w:t xml:space="preserve"> </w:t>
      </w:r>
      <w:r>
        <w:rPr>
          <w:bCs/>
          <w:b/>
        </w:rPr>
        <w:t xml:space="preserve">Clusters</w:t>
      </w:r>
      <w:r>
        <w:t xml:space="preserve"> </w:t>
      </w:r>
      <w:r>
        <w:t xml:space="preserve">3. Locate cluster</w:t>
      </w:r>
      <w:r>
        <w:t xml:space="preserve"> </w:t>
      </w:r>
      <w:r>
        <w:rPr>
          <w:rStyle w:val="VerbatimChar"/>
        </w:rPr>
        <w:t xml:space="preserve">mrs-poc-cluster</w:t>
      </w:r>
      <w:r>
        <w:t xml:space="preserve"> </w:t>
      </w:r>
      <w:r>
        <w:t xml:space="preserve">4. Verify cluster status 5. Review Component tab 6. Review Node tab</w:t>
      </w:r>
    </w:p>
    <w:p>
      <w:pPr>
        <w:pStyle w:val="DefinitionTerm"/>
      </w:pPr>
      <w:r>
        <w:t xml:space="preserve">Expected Result</w:t>
      </w:r>
    </w:p>
    <w:p>
      <w:pPr>
        <w:pStyle w:val="Definition"/>
      </w:pPr>
      <w:r>
        <w:t xml:space="preserve">1. Cluster status is</w:t>
      </w:r>
      <w:r>
        <w:t xml:space="preserve"> </w:t>
      </w:r>
      <w:r>
        <w:rPr>
          <w:bCs/>
          <w:b/>
        </w:rPr>
        <w:t xml:space="preserve">Running</w:t>
      </w:r>
      <w:r>
        <w:t xml:space="preserve">. 2. All four components (HDFS, YARN, Spark, Hive) are listed with status</w:t>
      </w:r>
      <w:r>
        <w:t xml:space="preserve"> </w:t>
      </w:r>
      <w:r>
        <w:rPr>
          <w:bCs/>
          <w:b/>
        </w:rPr>
        <w:t xml:space="preserve">Normal</w:t>
      </w:r>
      <w:r>
        <w:t xml:space="preserve">. 3. All nodes report status</w:t>
      </w:r>
      <w:r>
        <w:t xml:space="preserve"> </w:t>
      </w:r>
      <w:r>
        <w:rPr>
          <w:bCs/>
          <w:b/>
        </w:rPr>
        <w:t xml:space="preserve">Running</w:t>
      </w:r>
      <w:r>
        <w:t xml:space="preserve"> </w:t>
      </w:r>
      <w:r>
        <w:t xml:space="preserve">with no alarms.</w:t>
      </w:r>
    </w:p>
    <w:p>
      <w:pPr>
        <w:pStyle w:val="DefinitionTerm"/>
      </w:pPr>
      <w:r>
        <w:t xml:space="preserve">Test Result</w:t>
      </w:r>
    </w:p>
    <w:p>
      <w:pPr>
        <w:pStyle w:val="Definition"/>
      </w:pPr>
      <w:r>
        <w:rPr>
          <w:bCs/>
          <w:b/>
        </w:rPr>
        <w:t xml:space="preserve">Pass</w:t>
      </w:r>
    </w:p>
    <w:p>
      <w:pPr>
        <w:pStyle w:val="DefinitionTerm"/>
      </w:pPr>
      <w:r>
        <w:t xml:space="preserve">Remarks</w:t>
      </w:r>
    </w:p>
    <w:p>
      <w:pPr>
        <w:pStyle w:val="Definition"/>
      </w:pPr>
      <w:r>
        <w:t xml:space="preserve">If any component shows</w:t>
      </w:r>
      <w:r>
        <w:t xml:space="preserve"> </w:t>
      </w:r>
      <w:r>
        <w:rPr>
          <w:bCs/>
          <w:b/>
        </w:rPr>
        <w:t xml:space="preserve">Abnormal</w:t>
      </w:r>
      <w:r>
        <w:t xml:space="preserve">, check the MRS alarm page before marking the result.</w:t>
      </w:r>
    </w:p>
    <w:p>
      <w:pPr>
        <w:pStyle w:val="FirstParagraph"/>
      </w:pPr>
      <w:r>
        <w:rPr>
          <w:bCs/>
          <w:b/>
        </w:rPr>
        <w:t xml:space="preserve">Testcase 2:</w:t>
      </w:r>
      <w:r>
        <w:t xml:space="preserve"> </w:t>
      </w:r>
      <w:r>
        <w:t xml:space="preserve">Verify OBS bucket creation and accessibility</w:t>
      </w:r>
    </w:p>
    <w:p>
      <w:pPr>
        <w:pStyle w:val="DefinitionTerm"/>
      </w:pPr>
      <w:r>
        <w:t xml:space="preserve">Objective</w:t>
      </w:r>
    </w:p>
    <w:p>
      <w:pPr>
        <w:pStyle w:val="Definition"/>
      </w:pPr>
      <w:r>
        <w:t xml:space="preserve">Confirm that the Object Storage Service (OBS) bucket used for the POC data lake is created, has the correct storage class, and is accessible with the designated IAM policy.</w:t>
      </w:r>
    </w:p>
    <w:p>
      <w:pPr>
        <w:pStyle w:val="DefinitionTerm"/>
      </w:pPr>
      <w:r>
        <w:t xml:space="preserve">Prerequisites</w:t>
      </w:r>
    </w:p>
    <w:p>
      <w:pPr>
        <w:pStyle w:val="Definition"/>
      </w:pPr>
      <w:r>
        <w:t xml:space="preserve">1. OBS bucket name is defined in the Terraform configuration. 2. IAM policy granting read/write access to the bucket is attached to the test user.</w:t>
      </w:r>
    </w:p>
    <w:p>
      <w:pPr>
        <w:pStyle w:val="DefinitionTerm"/>
      </w:pPr>
      <w:r>
        <w:t xml:space="preserve">Procedure</w:t>
      </w:r>
    </w:p>
    <w:p>
      <w:pPr>
        <w:pStyle w:val="Definition"/>
      </w:pPr>
      <w:r>
        <w:t xml:space="preserve">1. Log in to the Console 2. Navigate to</w:t>
      </w:r>
      <w:r>
        <w:t xml:space="preserve"> </w:t>
      </w:r>
      <w:r>
        <w:rPr>
          <w:bCs/>
          <w:b/>
        </w:rPr>
        <w:t xml:space="preserve">Console</w:t>
      </w:r>
      <w:r>
        <w:t xml:space="preserve"> </w:t>
      </w:r>
      <w:r>
        <w:rPr>
          <w:bCs/>
          <w:b/>
        </w:rPr>
        <w:t xml:space="preserve">→</w:t>
      </w:r>
      <w:r>
        <w:t xml:space="preserve"> </w:t>
      </w:r>
      <w:r>
        <w:rPr>
          <w:bCs/>
          <w:b/>
        </w:rPr>
        <w:t xml:space="preserve">Object Storage Service</w:t>
      </w:r>
      <w:r>
        <w:t xml:space="preserve"> </w:t>
      </w:r>
      <w:r>
        <w:t xml:space="preserve">3. Locate the bucket (e.g. </w:t>
      </w:r>
      <w:r>
        <w:rPr>
          <w:rStyle w:val="VerbatimChar"/>
        </w:rPr>
        <w:t xml:space="preserve">poc-datalake-raw</w:t>
      </w:r>
      <w:r>
        <w:t xml:space="preserve">) 4. Verify the storage class is</w:t>
      </w:r>
      <w:r>
        <w:t xml:space="preserve"> </w:t>
      </w:r>
      <w:r>
        <w:rPr>
          <w:bCs/>
          <w:b/>
        </w:rPr>
        <w:t xml:space="preserve">Standard</w:t>
      </w:r>
      <w:r>
        <w:t xml:space="preserve"> </w:t>
      </w:r>
      <w:r>
        <w:t xml:space="preserve">5. Upload a test file (</w:t>
      </w:r>
      <w:r>
        <w:rPr>
          <w:rStyle w:val="VerbatimChar"/>
        </w:rPr>
        <w:t xml:space="preserve">test-upload.txt</w:t>
      </w:r>
      <w:r>
        <w:t xml:space="preserve">) to the bucket 6. Download the file and compare its content with the original 7. Delete the test file</w:t>
      </w:r>
    </w:p>
    <w:p>
      <w:pPr>
        <w:pStyle w:val="DefinitionTerm"/>
      </w:pPr>
      <w:r>
        <w:t xml:space="preserve">Expected Result</w:t>
      </w:r>
    </w:p>
    <w:p>
      <w:pPr>
        <w:pStyle w:val="Definition"/>
      </w:pPr>
      <w:r>
        <w:t xml:space="preserve">1. Bucket exists with storage class</w:t>
      </w:r>
      <w:r>
        <w:t xml:space="preserve"> </w:t>
      </w:r>
      <w:r>
        <w:rPr>
          <w:bCs/>
          <w:b/>
        </w:rPr>
        <w:t xml:space="preserve">Standard</w:t>
      </w:r>
      <w:r>
        <w:t xml:space="preserve">. 2. File upload completes without error. 3. Downloaded file content matches the original. 4. File deletion succeeds.</w:t>
      </w:r>
    </w:p>
    <w:p>
      <w:pPr>
        <w:pStyle w:val="DefinitionTerm"/>
      </w:pPr>
      <w:r>
        <w:t xml:space="preserve">Test Result</w:t>
      </w:r>
    </w:p>
    <w:p>
      <w:pPr>
        <w:pStyle w:val="Definition"/>
      </w:pPr>
      <w:r>
        <w:rPr>
          <w:bCs/>
          <w:b/>
        </w:rPr>
        <w:t xml:space="preserve">Pass</w:t>
      </w:r>
    </w:p>
    <w:p>
      <w:pPr>
        <w:pStyle w:val="DefinitionTerm"/>
      </w:pPr>
      <w:r>
        <w:t xml:space="preserve">Remarks</w:t>
      </w:r>
    </w:p>
    <w:p>
      <w:pPr>
        <w:pStyle w:val="Definition"/>
      </w:pPr>
      <w:r>
        <w:t xml:space="preserve">OBS eventual consistency may cause a brief delay before a newly uploaded object appears in listings.</w:t>
      </w:r>
    </w:p>
    <w:p>
      <w:pPr>
        <w:pStyle w:val="FirstParagraph"/>
      </w:pPr>
      <w:r>
        <w:rPr>
          <w:bCs/>
          <w:b/>
        </w:rPr>
        <w:t xml:space="preserve">Testcase 3:</w:t>
      </w:r>
      <w:r>
        <w:t xml:space="preserve"> </w:t>
      </w:r>
      <w:r>
        <w:t xml:space="preserve">Verify VPC and security group configuration</w:t>
      </w:r>
    </w:p>
    <w:p>
      <w:pPr>
        <w:pStyle w:val="DefinitionTerm"/>
      </w:pPr>
      <w:r>
        <w:t xml:space="preserve">Objective</w:t>
      </w:r>
    </w:p>
    <w:p>
      <w:pPr>
        <w:pStyle w:val="Definition"/>
      </w:pPr>
      <w:r>
        <w:t xml:space="preserve">Confirm that the VPC, subnet, and security groups are configured according to the network architecture diagram, with the correct CIDR blocks and inbound/outbound rules.</w:t>
      </w:r>
    </w:p>
    <w:p>
      <w:pPr>
        <w:pStyle w:val="DefinitionTerm"/>
      </w:pPr>
      <w:r>
        <w:t xml:space="preserve">Prerequisites</w:t>
      </w:r>
    </w:p>
    <w:p>
      <w:pPr>
        <w:pStyle w:val="Definition"/>
      </w:pPr>
      <w:r>
        <w:t xml:space="preserve">1. VPC and subnet IDs are available from the Terraform output. 2. Security group names are documented in the solution architecture.</w:t>
      </w:r>
    </w:p>
    <w:p>
      <w:pPr>
        <w:pStyle w:val="DefinitionTerm"/>
      </w:pPr>
      <w:r>
        <w:t xml:space="preserve">Procedure</w:t>
      </w:r>
    </w:p>
    <w:p>
      <w:pPr>
        <w:pStyle w:val="Definition"/>
      </w:pPr>
      <w:r>
        <w:t xml:space="preserve">1. Log in to the Console 2. Navigate to</w:t>
      </w:r>
      <w:r>
        <w:t xml:space="preserve"> </w:t>
      </w:r>
      <w:r>
        <w:rPr>
          <w:bCs/>
          <w:b/>
        </w:rPr>
        <w:t xml:space="preserve">Console</w:t>
      </w:r>
      <w:r>
        <w:t xml:space="preserve"> </w:t>
      </w:r>
      <w:r>
        <w:rPr>
          <w:bCs/>
          <w:b/>
        </w:rPr>
        <w:t xml:space="preserve">→</w:t>
      </w:r>
      <w:r>
        <w:t xml:space="preserve"> </w:t>
      </w:r>
      <w:r>
        <w:rPr>
          <w:bCs/>
          <w:b/>
        </w:rPr>
        <w:t xml:space="preserve">Virtual Private Cloud</w:t>
      </w:r>
      <w:r>
        <w:t xml:space="preserve"> </w:t>
      </w:r>
      <w:r>
        <w:rPr>
          <w:bCs/>
          <w:b/>
        </w:rPr>
        <w:t xml:space="preserve">→</w:t>
      </w:r>
      <w:r>
        <w:t xml:space="preserve"> </w:t>
      </w:r>
      <w:r>
        <w:rPr>
          <w:bCs/>
          <w:b/>
        </w:rPr>
        <w:t xml:space="preserve">VPCs</w:t>
      </w:r>
      <w:r>
        <w:t xml:space="preserve"> </w:t>
      </w:r>
      <w:r>
        <w:t xml:space="preserve">3. Locate the VPC (e.g. </w:t>
      </w:r>
      <w:r>
        <w:rPr>
          <w:rStyle w:val="VerbatimChar"/>
        </w:rPr>
        <w:t xml:space="preserve">vpc-poc</w:t>
      </w:r>
      <w:r>
        <w:t xml:space="preserve">) and verify its CIDR block matches the architecture (e.g. </w:t>
      </w:r>
      <w:r>
        <w:rPr>
          <w:rStyle w:val="VerbatimChar"/>
        </w:rPr>
        <w:t xml:space="preserve">10.0.0.0/16</w:t>
      </w:r>
      <w:r>
        <w:t xml:space="preserve">) 4. Click the subnet and verify its CIDR (e.g. </w:t>
      </w:r>
      <w:r>
        <w:rPr>
          <w:rStyle w:val="VerbatimChar"/>
        </w:rPr>
        <w:t xml:space="preserve">10.0.1.0/24</w:t>
      </w:r>
      <w:r>
        <w:t xml:space="preserve">) 5. Navigate to</w:t>
      </w:r>
      <w:r>
        <w:t xml:space="preserve"> </w:t>
      </w:r>
      <w:r>
        <w:rPr>
          <w:bCs/>
          <w:b/>
        </w:rPr>
        <w:t xml:space="preserve">Security Groups</w:t>
      </w:r>
      <w:r>
        <w:t xml:space="preserve"> </w:t>
      </w:r>
      <w:r>
        <w:t xml:space="preserve">and verify inbound rules: TCP 22 from the bastion subnet, TCP 443 from the corporate proxy 6. Verify outbound rules allow all traffic (default)</w:t>
      </w:r>
    </w:p>
    <w:p>
      <w:pPr>
        <w:pStyle w:val="DefinitionTerm"/>
      </w:pPr>
      <w:r>
        <w:t xml:space="preserve">Expected Result</w:t>
      </w:r>
    </w:p>
    <w:p>
      <w:pPr>
        <w:pStyle w:val="Definition"/>
      </w:pPr>
      <w:r>
        <w:t xml:space="preserve">1. VPC CIDR is</w:t>
      </w:r>
      <w:r>
        <w:t xml:space="preserve"> </w:t>
      </w:r>
      <w:r>
        <w:rPr>
          <w:rStyle w:val="VerbatimChar"/>
        </w:rPr>
        <w:t xml:space="preserve">10.0.0.0/16</w:t>
      </w:r>
      <w:r>
        <w:t xml:space="preserve">. 2. Subnet CIDR is</w:t>
      </w:r>
      <w:r>
        <w:t xml:space="preserve"> </w:t>
      </w:r>
      <w:r>
        <w:rPr>
          <w:rStyle w:val="VerbatimChar"/>
        </w:rPr>
        <w:t xml:space="preserve">10.0.1.0/24</w:t>
      </w:r>
      <w:r>
        <w:t xml:space="preserve">. 3. Inbound rules match the architecture: TCP 22 and TCP 443 from the specified sources. 4. Outbound allows all traffic.</w:t>
      </w:r>
    </w:p>
    <w:p>
      <w:pPr>
        <w:pStyle w:val="DefinitionTerm"/>
      </w:pPr>
      <w:r>
        <w:t xml:space="preserve">Test Result</w:t>
      </w:r>
    </w:p>
    <w:p>
      <w:pPr>
        <w:pStyle w:val="Definition"/>
      </w:pPr>
      <w:r>
        <w:rPr>
          <w:bCs/>
          <w:b/>
        </w:rPr>
        <w:t xml:space="preserve">Pass</w:t>
      </w:r>
    </w:p>
    <w:p>
      <w:pPr>
        <w:pStyle w:val="DefinitionTerm"/>
      </w:pPr>
      <w:r>
        <w:t xml:space="preserve">Remarks</w:t>
      </w:r>
    </w:p>
    <w:p>
      <w:pPr>
        <w:pStyle w:val="Definition"/>
      </w:pPr>
      <w:r>
        <w:t xml:space="preserve">If the security group has additional rules beyond the architecture spec, document them in the Remarks field.</w:t>
      </w:r>
    </w:p>
    <w:p>
      <w:pPr>
        <w:pStyle w:val="Heading2"/>
      </w:pPr>
      <w:bookmarkStart w:id="106" w:name="data-engineering"/>
      <w:r>
        <w:t xml:space="preserve">2.2</w:t>
      </w:r>
      <w:r>
        <w:t xml:space="preserve"> Data Engineering</w:t>
      </w:r>
      <w:bookmarkEnd w:id="106"/>
    </w:p>
    <w:p>
      <w:pPr>
        <w:pStyle w:val="FirstParagraph"/>
      </w:pPr>
      <w:r>
        <w:rPr>
          <w:bCs/>
          <w:b/>
        </w:rPr>
        <w:t xml:space="preserve">Testcase 4:</w:t>
      </w:r>
      <w:r>
        <w:t xml:space="preserve"> </w:t>
      </w:r>
      <w:r>
        <w:t xml:space="preserve">Verify DataArts Studio workspace creation</w:t>
      </w:r>
    </w:p>
    <w:p>
      <w:pPr>
        <w:pStyle w:val="DefinitionTerm"/>
      </w:pPr>
      <w:r>
        <w:t xml:space="preserve">Objective</w:t>
      </w:r>
    </w:p>
    <w:p>
      <w:pPr>
        <w:pStyle w:val="Definition"/>
      </w:pPr>
      <w:r>
        <w:t xml:space="preserve">Confirm that the DataArts Studio (Dayu) instance is provisioned, the workspace is accessible, and the designated IAM users can log in with the</w:t>
      </w:r>
      <w:r>
        <w:t xml:space="preserve"> </w:t>
      </w:r>
      <w:r>
        <w:rPr>
          <w:bCs/>
          <w:b/>
        </w:rPr>
        <w:t xml:space="preserve">Dayu_User</w:t>
      </w:r>
      <w:r>
        <w:t xml:space="preserve"> </w:t>
      </w:r>
      <w:r>
        <w:t xml:space="preserve">role.</w:t>
      </w:r>
    </w:p>
    <w:p>
      <w:pPr>
        <w:pStyle w:val="DefinitionTerm"/>
      </w:pPr>
      <w:r>
        <w:t xml:space="preserve">Prerequisites</w:t>
      </w:r>
    </w:p>
    <w:p>
      <w:pPr>
        <w:pStyle w:val="Definition"/>
      </w:pPr>
      <w:r>
        <w:t xml:space="preserve">1. DataArts Studio instance is provisioned and its status is</w:t>
      </w:r>
      <w:r>
        <w:t xml:space="preserve"> </w:t>
      </w:r>
      <w:r>
        <w:rPr>
          <w:bCs/>
          <w:b/>
        </w:rPr>
        <w:t xml:space="preserve">Running</w:t>
      </w:r>
      <w:r>
        <w:t xml:space="preserve">. 2. Test IAM user has the</w:t>
      </w:r>
      <w:r>
        <w:t xml:space="preserve"> </w:t>
      </w:r>
      <w:r>
        <w:rPr>
          <w:bCs/>
          <w:b/>
        </w:rPr>
        <w:t xml:space="preserve">Dayu_User</w:t>
      </w:r>
      <w:r>
        <w:t xml:space="preserve"> </w:t>
      </w:r>
      <w:r>
        <w:t xml:space="preserve">role assigned.</w:t>
      </w:r>
    </w:p>
    <w:p>
      <w:pPr>
        <w:pStyle w:val="DefinitionTerm"/>
      </w:pPr>
      <w:r>
        <w:t xml:space="preserve">Procedure</w:t>
      </w:r>
    </w:p>
    <w:p>
      <w:pPr>
        <w:pStyle w:val="Definition"/>
      </w:pPr>
      <w:r>
        <w:t xml:space="preserve">1. Log in to the Console with the test IAM user 2. Navigate to</w:t>
      </w:r>
      <w:r>
        <w:t xml:space="preserve"> </w:t>
      </w:r>
      <w:r>
        <w:rPr>
          <w:bCs/>
          <w:b/>
        </w:rPr>
        <w:t xml:space="preserve">Console</w:t>
      </w:r>
      <w:r>
        <w:t xml:space="preserve"> </w:t>
      </w:r>
      <w:r>
        <w:rPr>
          <w:bCs/>
          <w:b/>
        </w:rPr>
        <w:t xml:space="preserve">→</w:t>
      </w:r>
      <w:r>
        <w:t xml:space="preserve"> </w:t>
      </w:r>
      <w:r>
        <w:rPr>
          <w:bCs/>
          <w:b/>
        </w:rPr>
        <w:t xml:space="preserve">DataArts Studio</w:t>
      </w:r>
      <w:r>
        <w:t xml:space="preserve"> </w:t>
      </w:r>
      <w:r>
        <w:rPr>
          <w:bCs/>
          <w:b/>
        </w:rPr>
        <w:t xml:space="preserve">→</w:t>
      </w:r>
      <w:r>
        <w:t xml:space="preserve"> </w:t>
      </w:r>
      <w:r>
        <w:rPr>
          <w:bCs/>
          <w:b/>
        </w:rPr>
        <w:t xml:space="preserve">Workspaces</w:t>
      </w:r>
      <w:r>
        <w:t xml:space="preserve"> </w:t>
      </w:r>
      <w:r>
        <w:t xml:space="preserve">3. Locate the workspace (e.g. </w:t>
      </w:r>
      <w:r>
        <w:rPr>
          <w:rStyle w:val="VerbatimChar"/>
        </w:rPr>
        <w:t xml:space="preserve">poc-workspace</w:t>
      </w:r>
      <w:r>
        <w:t xml:space="preserve">) 4. Click</w:t>
      </w:r>
      <w:r>
        <w:t xml:space="preserve"> </w:t>
      </w:r>
      <w:r>
        <w:rPr>
          <w:bCs/>
          <w:b/>
        </w:rPr>
        <w:t xml:space="preserve">Access Workspace</w:t>
      </w:r>
      <w:r>
        <w:t xml:space="preserve"> </w:t>
      </w:r>
      <w:r>
        <w:t xml:space="preserve">to open the DataArts Studio console 5. Verify the left navigation panel loads with the expected modules:</w:t>
      </w:r>
      <w:r>
        <w:t xml:space="preserve"> </w:t>
      </w:r>
      <w:r>
        <w:rPr>
          <w:bCs/>
          <w:b/>
        </w:rPr>
        <w:t xml:space="preserve">Data Integration</w:t>
      </w:r>
      <w:r>
        <w:t xml:space="preserve">,</w:t>
      </w:r>
      <w:r>
        <w:t xml:space="preserve"> </w:t>
      </w:r>
      <w:r>
        <w:rPr>
          <w:bCs/>
          <w:b/>
        </w:rPr>
        <w:t xml:space="preserve">Data Development</w:t>
      </w:r>
      <w:r>
        <w:t xml:space="preserve">,</w:t>
      </w:r>
      <w:r>
        <w:t xml:space="preserve"> </w:t>
      </w:r>
      <w:r>
        <w:rPr>
          <w:bCs/>
          <w:b/>
        </w:rPr>
        <w:t xml:space="preserve">Data Architecture</w:t>
      </w:r>
    </w:p>
    <w:p>
      <w:pPr>
        <w:pStyle w:val="DefinitionTerm"/>
      </w:pPr>
      <w:r>
        <w:t xml:space="preserve">Expected Result</w:t>
      </w:r>
    </w:p>
    <w:p>
      <w:pPr>
        <w:pStyle w:val="Definition"/>
      </w:pPr>
      <w:r>
        <w:t xml:space="preserve">1. Workspace is listed and accessible. 2. DataArts Studio console opens without errors. 3. All three modules (Data Integration, Data Development, Data Architecture) are visible in the navigation.</w:t>
      </w:r>
    </w:p>
    <w:p>
      <w:pPr>
        <w:pStyle w:val="DefinitionTerm"/>
      </w:pPr>
      <w:r>
        <w:t xml:space="preserve">Test Result</w:t>
      </w:r>
    </w:p>
    <w:p>
      <w:pPr>
        <w:pStyle w:val="Definition"/>
      </w:pPr>
      <w:r>
        <w:rPr>
          <w:bCs/>
          <w:b/>
        </w:rPr>
        <w:t xml:space="preserve">Pass</w:t>
      </w:r>
    </w:p>
    <w:p>
      <w:pPr>
        <w:pStyle w:val="DefinitionTerm"/>
      </w:pPr>
      <w:r>
        <w:t xml:space="preserve">Remarks</w:t>
      </w:r>
    </w:p>
    <w:p>
      <w:pPr>
        <w:pStyle w:val="Definition"/>
      </w:pPr>
      <w:r>
        <w:t xml:space="preserve">If the workspace fails to load, check the Dayu instance status and the IAM role assignment.</w:t>
      </w:r>
    </w:p>
    <w:p>
      <w:pPr>
        <w:pStyle w:val="FirstParagraph"/>
      </w:pPr>
      <w:r>
        <w:rPr>
          <w:bCs/>
          <w:b/>
        </w:rPr>
        <w:t xml:space="preserve">Testcase 5:</w:t>
      </w:r>
      <w:r>
        <w:t xml:space="preserve"> </w:t>
      </w:r>
      <w:r>
        <w:t xml:space="preserve">Verify data ingestion pipeline execution</w:t>
      </w:r>
    </w:p>
    <w:p>
      <w:pPr>
        <w:pStyle w:val="DefinitionTerm"/>
      </w:pPr>
      <w:r>
        <w:t xml:space="preserve">Objective</w:t>
      </w:r>
    </w:p>
    <w:p>
      <w:pPr>
        <w:pStyle w:val="Definition"/>
      </w:pPr>
      <w:r>
        <w:t xml:space="preserve">Confirm that a DataArts Studio batch pipeline can successfully ingest CSV data from OBS, apply a basic transformation, and write the result to the target OBS path.</w:t>
      </w:r>
    </w:p>
    <w:p>
      <w:pPr>
        <w:pStyle w:val="DefinitionTerm"/>
      </w:pPr>
      <w:r>
        <w:t xml:space="preserve">Prerequisites</w:t>
      </w:r>
    </w:p>
    <w:p>
      <w:pPr>
        <w:pStyle w:val="Definition"/>
      </w:pPr>
      <w:r>
        <w:t xml:space="preserve">1. Test Case 4 completed (DataArts Studio workspace accessible). 2. Source CSV file (</w:t>
      </w:r>
      <w:r>
        <w:rPr>
          <w:rStyle w:val="VerbatimChar"/>
        </w:rPr>
        <w:t xml:space="preserve">customers.csv</w:t>
      </w:r>
      <w:r>
        <w:t xml:space="preserve">) exists in the OBS raw bucket. 3. Target OBS path (</w:t>
      </w:r>
      <w:r>
        <w:rPr>
          <w:rStyle w:val="VerbatimChar"/>
        </w:rPr>
        <w:t xml:space="preserve">poc-datalake-curated/customers/</w:t>
      </w:r>
      <w:r>
        <w:t xml:space="preserve">) is configured. 4. Pipeline</w:t>
      </w:r>
      <w:r>
        <w:t xml:space="preserve"> </w:t>
      </w:r>
      <w:r>
        <w:rPr>
          <w:rStyle w:val="VerbatimChar"/>
        </w:rPr>
        <w:t xml:space="preserve">pl-ingest-customers</w:t>
      </w:r>
      <w:r>
        <w:t xml:space="preserve"> </w:t>
      </w:r>
      <w:r>
        <w:t xml:space="preserve">is published in DataArts Studio.</w:t>
      </w:r>
    </w:p>
    <w:p>
      <w:pPr>
        <w:pStyle w:val="DefinitionTerm"/>
      </w:pPr>
      <w:r>
        <w:t xml:space="preserve">Procedure</w:t>
      </w:r>
    </w:p>
    <w:p>
      <w:pPr>
        <w:pStyle w:val="Definition"/>
      </w:pPr>
      <w:r>
        <w:t xml:space="preserve">1. Navigate to Data Development in DataArts Studio 2. Locate pipeline</w:t>
      </w:r>
      <w:r>
        <w:t xml:space="preserve"> </w:t>
      </w:r>
      <w:r>
        <w:rPr>
          <w:rStyle w:val="VerbatimChar"/>
        </w:rPr>
        <w:t xml:space="preserve">pl-ingest-customers</w:t>
      </w:r>
      <w:r>
        <w:t xml:space="preserve"> </w:t>
      </w:r>
      <w:r>
        <w:t xml:space="preserve">3. Click Run to execute the pipeline 4. Wait for pipeline status (timeout: 10 min) 5. Verify output file in OBS 6. Download and verify row count</w:t>
      </w:r>
    </w:p>
    <w:p>
      <w:pPr>
        <w:pStyle w:val="DefinitionTerm"/>
      </w:pPr>
      <w:r>
        <w:t xml:space="preserve">Expected Result</w:t>
      </w:r>
    </w:p>
    <w:p>
      <w:pPr>
        <w:pStyle w:val="Definition"/>
      </w:pPr>
      <w:r>
        <w:t xml:space="preserve">1. Pipeline execution completes with status</w:t>
      </w:r>
      <w:r>
        <w:t xml:space="preserve"> </w:t>
      </w:r>
      <w:r>
        <w:rPr>
          <w:bCs/>
          <w:b/>
        </w:rPr>
        <w:t xml:space="preserve">Success</w:t>
      </w:r>
      <w:r>
        <w:t xml:space="preserve">. 2. Output file is created in the target OBS path. 3. Row count of the output file matches the source file.</w:t>
      </w:r>
    </w:p>
    <w:p>
      <w:pPr>
        <w:pStyle w:val="DefinitionTerm"/>
      </w:pPr>
      <w:r>
        <w:t xml:space="preserve">Test Result</w:t>
      </w:r>
    </w:p>
    <w:p>
      <w:pPr>
        <w:pStyle w:val="Definition"/>
      </w:pPr>
      <w:r>
        <w:rPr>
          <w:bCs/>
          <w:b/>
        </w:rPr>
        <w:t xml:space="preserve">Pass</w:t>
      </w:r>
    </w:p>
    <w:p>
      <w:pPr>
        <w:pStyle w:val="DefinitionTerm"/>
      </w:pPr>
      <w:r>
        <w:t xml:space="preserve">Remarks</w:t>
      </w:r>
    </w:p>
    <w:p>
      <w:pPr>
        <w:pStyle w:val="Definition"/>
      </w:pPr>
      <w:r>
        <w:t xml:space="preserve">Pipeline execution time varies with data volume. For the POC, the source file contains approximately 10,000 rows.</w:t>
      </w:r>
    </w:p>
    <w:p>
      <w:pPr>
        <w:pStyle w:val="FirstParagraph"/>
      </w:pPr>
      <w:r>
        <w:rPr>
          <w:bCs/>
          <w:b/>
        </w:rPr>
        <w:t xml:space="preserve">Testcase 6:</w:t>
      </w:r>
      <w:r>
        <w:t xml:space="preserve"> </w:t>
      </w:r>
      <w:r>
        <w:t xml:space="preserve">Verify Spark SQL query on MRS cluster</w:t>
      </w:r>
    </w:p>
    <w:p>
      <w:pPr>
        <w:pStyle w:val="DefinitionTerm"/>
      </w:pPr>
      <w:r>
        <w:t xml:space="preserve">Objective</w:t>
      </w:r>
    </w:p>
    <w:p>
      <w:pPr>
        <w:pStyle w:val="Definition"/>
      </w:pPr>
      <w:r>
        <w:t xml:space="preserve">Confirm that a Spark SQL query can be executed on the MRS cluster to read data from a Hive table and return correct results, validating the integration between MRS and the data lake.</w:t>
      </w:r>
    </w:p>
    <w:p>
      <w:pPr>
        <w:pStyle w:val="DefinitionTerm"/>
      </w:pPr>
      <w:r>
        <w:t xml:space="preserve">Prerequisites</w:t>
      </w:r>
    </w:p>
    <w:p>
      <w:pPr>
        <w:pStyle w:val="Definition"/>
      </w:pPr>
      <w:r>
        <w:t xml:space="preserve">1. Test Case 1 completed (MRS cluster healthy). 2. Hive table</w:t>
      </w:r>
      <w:r>
        <w:t xml:space="preserve"> </w:t>
      </w:r>
      <w:r>
        <w:rPr>
          <w:rStyle w:val="VerbatimChar"/>
        </w:rPr>
        <w:t xml:space="preserve">poc_db.customers</w:t>
      </w:r>
      <w:r>
        <w:t xml:space="preserve"> </w:t>
      </w:r>
      <w:r>
        <w:t xml:space="preserve">exists and contains data loaded by the ingestion pipeline. 3. SSH access to the MRS master node is configured.</w:t>
      </w:r>
    </w:p>
    <w:p>
      <w:pPr>
        <w:pStyle w:val="DefinitionTerm"/>
      </w:pPr>
      <w:r>
        <w:t xml:space="preserve">Procedure</w:t>
      </w:r>
    </w:p>
    <w:p>
      <w:pPr>
        <w:pStyle w:val="Definition"/>
      </w:pPr>
      <w:r>
        <w:t xml:space="preserve">1. SSH into the MRS master node 2. Run the Spark SQL CLI: spark-sql –master yarn   –conf spark.sql.hive.convertMetastoreOrc=true   -e “SELECT COUNT(*) FROM poc_db.customers;” 3. Verify the returned count matches the expected row count (10,000) 4. Run a sample query to verify data integrity: spark-sql –master yarn   -e</w:t>
      </w:r>
      <w:r>
        <w:t xml:space="preserve"> </w:t>
      </w:r>
      <w:r>
        <w:t xml:space="preserve">“</w:t>
      </w:r>
      <w:r>
        <w:t xml:space="preserve">SELECT customer_id, name FROM poc_db.customers LIMIT 5;</w:t>
      </w:r>
      <w:r>
        <w:t xml:space="preserve">”</w:t>
      </w:r>
      <w:r>
        <w:t xml:space="preserve"> </w:t>
      </w:r>
      <w:r>
        <w:t xml:space="preserve">5. Confirm the query returns 5 rows with non-null values</w:t>
      </w:r>
    </w:p>
    <w:p>
      <w:pPr>
        <w:pStyle w:val="DefinitionTerm"/>
      </w:pPr>
      <w:r>
        <w:t xml:space="preserve">Expected Result</w:t>
      </w:r>
    </w:p>
    <w:p>
      <w:pPr>
        <w:pStyle w:val="Definition"/>
      </w:pPr>
      <w:r>
        <w:t xml:space="preserve">1.</w:t>
      </w:r>
      <w:r>
        <w:t xml:space="preserve"> </w:t>
      </w:r>
      <w:r>
        <w:rPr>
          <w:rStyle w:val="VerbatimChar"/>
        </w:rPr>
        <w:t xml:space="preserve">COUNT(*)</w:t>
      </w:r>
      <w:r>
        <w:t xml:space="preserve"> </w:t>
      </w:r>
      <w:r>
        <w:t xml:space="preserve">returns 10,000. 2. The sample query returns 5 rows with valid</w:t>
      </w:r>
      <w:r>
        <w:t xml:space="preserve"> </w:t>
      </w:r>
      <w:r>
        <w:rPr>
          <w:rStyle w:val="VerbatimChar"/>
        </w:rPr>
        <w:t xml:space="preserve">customer_id</w:t>
      </w:r>
      <w:r>
        <w:t xml:space="preserve"> </w:t>
      </w:r>
      <w:r>
        <w:t xml:space="preserve">and</w:t>
      </w:r>
      <w:r>
        <w:t xml:space="preserve"> </w:t>
      </w:r>
      <w:r>
        <w:rPr>
          <w:rStyle w:val="VerbatimChar"/>
        </w:rPr>
        <w:t xml:space="preserve">name</w:t>
      </w:r>
      <w:r>
        <w:t xml:space="preserve"> </w:t>
      </w:r>
      <w:r>
        <w:t xml:space="preserve">values.</w:t>
      </w:r>
    </w:p>
    <w:p>
      <w:pPr>
        <w:pStyle w:val="DefinitionTerm"/>
      </w:pPr>
      <w:r>
        <w:t xml:space="preserve">Test Result</w:t>
      </w:r>
    </w:p>
    <w:p>
      <w:pPr>
        <w:pStyle w:val="Definition"/>
      </w:pPr>
      <w:r>
        <w:rPr>
          <w:bCs/>
          <w:b/>
        </w:rPr>
        <w:t xml:space="preserve">Pass</w:t>
      </w:r>
    </w:p>
    <w:p>
      <w:pPr>
        <w:pStyle w:val="DefinitionTerm"/>
      </w:pPr>
      <w:r>
        <w:t xml:space="preserve">Remarks</w:t>
      </w:r>
    </w:p>
    <w:p>
      <w:pPr>
        <w:pStyle w:val="Definition"/>
      </w:pPr>
      <w:r>
        <w:t xml:space="preserve">If the Spark SQL CLI is not available, use the MRS Spark2x component’s web UI to submit the query instead.</w:t>
      </w:r>
    </w:p>
    <w:p>
      <w:pPr>
        <w:pStyle w:val="Heading2"/>
      </w:pPr>
      <w:bookmarkStart w:id="107" w:name="security-and-access-control"/>
      <w:r>
        <w:t xml:space="preserve">2.3</w:t>
      </w:r>
      <w:r>
        <w:t xml:space="preserve"> Security and Access Control</w:t>
      </w:r>
      <w:bookmarkEnd w:id="107"/>
    </w:p>
    <w:p>
      <w:pPr>
        <w:pStyle w:val="FirstParagraph"/>
      </w:pPr>
      <w:r>
        <w:rPr>
          <w:bCs/>
          <w:b/>
        </w:rPr>
        <w:t xml:space="preserve">Testcase 7:</w:t>
      </w:r>
      <w:r>
        <w:t xml:space="preserve"> </w:t>
      </w:r>
      <w:r>
        <w:t xml:space="preserve">Verify IAM policy enforcement on OBS buckets</w:t>
      </w:r>
    </w:p>
    <w:p>
      <w:pPr>
        <w:pStyle w:val="DefinitionTerm"/>
      </w:pPr>
      <w:r>
        <w:t xml:space="preserve">Objective</w:t>
      </w:r>
    </w:p>
    <w:p>
      <w:pPr>
        <w:pStyle w:val="Definition"/>
      </w:pPr>
      <w:r>
        <w:t xml:space="preserve">Confirm that IAM policies correctly restrict OBS bucket access — authorized users can read/write while unauthorized users are denied, and the bucket policy matches the principle of least privilege.</w:t>
      </w:r>
    </w:p>
    <w:p>
      <w:pPr>
        <w:pStyle w:val="DefinitionTerm"/>
      </w:pPr>
      <w:r>
        <w:t xml:space="preserve">Prerequisites</w:t>
      </w:r>
    </w:p>
    <w:p>
      <w:pPr>
        <w:pStyle w:val="Definition"/>
      </w:pPr>
      <w:r>
        <w:t xml:space="preserve">1. OBS bucket</w:t>
      </w:r>
      <w:r>
        <w:t xml:space="preserve"> </w:t>
      </w:r>
      <w:r>
        <w:rPr>
          <w:rStyle w:val="VerbatimChar"/>
        </w:rPr>
        <w:t xml:space="preserve">poc-datalake-raw</w:t>
      </w:r>
      <w:r>
        <w:t xml:space="preserve"> </w:t>
      </w:r>
      <w:r>
        <w:t xml:space="preserve">exists with the designated IAM policy. 2. Two test IAM users: one with</w:t>
      </w:r>
      <w:r>
        <w:t xml:space="preserve"> </w:t>
      </w:r>
      <w:r>
        <w:rPr>
          <w:bCs/>
          <w:b/>
        </w:rPr>
        <w:t xml:space="preserve">OBS_ReadWrite</w:t>
      </w:r>
      <w:r>
        <w:t xml:space="preserve"> </w:t>
      </w:r>
      <w:r>
        <w:t xml:space="preserve">role, one with no OBS permissions. 3.</w:t>
      </w:r>
      <w:r>
        <w:t xml:space="preserve"> </w:t>
      </w:r>
      <w:r>
        <w:rPr>
          <w:rStyle w:val="VerbatimChar"/>
        </w:rPr>
        <w:t xml:space="preserve">obsutil</w:t>
      </w:r>
      <w:r>
        <w:t xml:space="preserve"> </w:t>
      </w:r>
      <w:r>
        <w:t xml:space="preserve">CLI configured for both users.</w:t>
      </w:r>
    </w:p>
    <w:p>
      <w:pPr>
        <w:pStyle w:val="DefinitionTerm"/>
      </w:pPr>
      <w:r>
        <w:t xml:space="preserve">Procedure</w:t>
      </w:r>
    </w:p>
    <w:p>
      <w:pPr>
        <w:pStyle w:val="Definition"/>
      </w:pPr>
      <w:r>
        <w:t xml:space="preserve">1. Using the authorized user, upload a test file to</w:t>
      </w:r>
      <w:r>
        <w:t xml:space="preserve"> </w:t>
      </w:r>
      <w:r>
        <w:rPr>
          <w:rStyle w:val="VerbatimChar"/>
        </w:rPr>
        <w:t xml:space="preserve">poc-datalake-raw</w:t>
      </w:r>
      <w:r>
        <w:t xml:space="preserve"> </w:t>
      </w:r>
      <w:r>
        <w:t xml:space="preserve">2. Using the authorized user, download and verify the file content 3. Using the unauthorized user, attempt to upload a file — verify the request is denied (HTTP 403) 4. Using the unauthorized user, attempt to list objects in the bucket — verify the request is denied 5. Review the bucket policy in the Console at</w:t>
      </w:r>
      <w:r>
        <w:t xml:space="preserve"> </w:t>
      </w:r>
      <w:r>
        <w:rPr>
          <w:bCs/>
          <w:b/>
        </w:rPr>
        <w:t xml:space="preserve">Console</w:t>
      </w:r>
      <w:r>
        <w:t xml:space="preserve"> </w:t>
      </w:r>
      <w:r>
        <w:rPr>
          <w:bCs/>
          <w:b/>
        </w:rPr>
        <w:t xml:space="preserve">→</w:t>
      </w:r>
      <w:r>
        <w:t xml:space="preserve"> </w:t>
      </w:r>
      <w:r>
        <w:rPr>
          <w:bCs/>
          <w:b/>
        </w:rPr>
        <w:t xml:space="preserve">Object Storage Service</w:t>
      </w:r>
      <w:r>
        <w:t xml:space="preserve"> </w:t>
      </w:r>
      <w:r>
        <w:rPr>
          <w:bCs/>
          <w:b/>
        </w:rPr>
        <w:t xml:space="preserve">→</w:t>
      </w:r>
      <w:r>
        <w:t xml:space="preserve"> </w:t>
      </w:r>
      <w:r>
        <w:rPr>
          <w:bCs/>
          <w:b/>
        </w:rPr>
        <w:t xml:space="preserve">Bucket Policies</w:t>
      </w:r>
      <w:r>
        <w:t xml:space="preserve"> </w:t>
      </w:r>
      <w:r>
        <w:t xml:space="preserve">and confirm it grants only the intended permissions</w:t>
      </w:r>
    </w:p>
    <w:p>
      <w:pPr>
        <w:pStyle w:val="DefinitionTerm"/>
      </w:pPr>
      <w:r>
        <w:t xml:space="preserve">Expected Result</w:t>
      </w:r>
    </w:p>
    <w:p>
      <w:pPr>
        <w:pStyle w:val="Definition"/>
      </w:pPr>
      <w:r>
        <w:t xml:space="preserve">1. Authorized user can upload and download successfully. 2. Unauthorized user receives HTTP 403 on both upload and list operations. 3. Bucket policy grants only the intended read/write permissions to the designated roles.</w:t>
      </w:r>
    </w:p>
    <w:p>
      <w:pPr>
        <w:pStyle w:val="DefinitionTerm"/>
      </w:pPr>
      <w:r>
        <w:t xml:space="preserve">Test Result</w:t>
      </w:r>
    </w:p>
    <w:p>
      <w:pPr>
        <w:pStyle w:val="Definition"/>
      </w:pPr>
      <w:r>
        <w:rPr>
          <w:bCs/>
          <w:b/>
        </w:rPr>
        <w:t xml:space="preserve">Pass</w:t>
      </w:r>
    </w:p>
    <w:p>
      <w:pPr>
        <w:pStyle w:val="DefinitionTerm"/>
      </w:pPr>
      <w:r>
        <w:t xml:space="preserve">Remarks</w:t>
      </w:r>
    </w:p>
    <w:p>
      <w:pPr>
        <w:pStyle w:val="Definition"/>
      </w:pPr>
      <w:r>
        <w:t xml:space="preserve">Check the Cloud Trail logs if access denial is not returned as expected — there may be a policy inheritance from the project or domain level.</w:t>
      </w:r>
    </w:p>
    <w:p>
      <w:pPr>
        <w:pStyle w:val="FirstParagraph"/>
      </w:pPr>
      <w:r>
        <w:rPr>
          <w:bCs/>
          <w:b/>
        </w:rPr>
        <w:t xml:space="preserve">Testcase 8:</w:t>
      </w:r>
      <w:r>
        <w:t xml:space="preserve"> </w:t>
      </w:r>
      <w:r>
        <w:t xml:space="preserve">Verify DataArts Studio data masking rule</w:t>
      </w:r>
    </w:p>
    <w:p>
      <w:pPr>
        <w:pStyle w:val="DefinitionTerm"/>
      </w:pPr>
      <w:r>
        <w:t xml:space="preserve">Objective</w:t>
      </w:r>
    </w:p>
    <w:p>
      <w:pPr>
        <w:pStyle w:val="Definition"/>
      </w:pPr>
      <w:r>
        <w:t xml:space="preserve">Confirm that sensitive data columns (e.g. PII fields) are masked according to the DataArts Studio data masking rule when queried by non-admin users.</w:t>
      </w:r>
    </w:p>
    <w:p>
      <w:pPr>
        <w:pStyle w:val="DefinitionTerm"/>
      </w:pPr>
      <w:r>
        <w:t xml:space="preserve">Prerequisites</w:t>
      </w:r>
    </w:p>
    <w:p>
      <w:pPr>
        <w:pStyle w:val="Definition"/>
      </w:pPr>
      <w:r>
        <w:t xml:space="preserve">1. Test Case 4 completed (DataArts Studio workspace accessible). 2. Data masking rule configured for column</w:t>
      </w:r>
      <w:r>
        <w:t xml:space="preserve"> </w:t>
      </w:r>
      <w:r>
        <w:rPr>
          <w:rStyle w:val="VerbatimChar"/>
        </w:rPr>
        <w:t xml:space="preserve">customers.ssn</w:t>
      </w:r>
      <w:r>
        <w:t xml:space="preserve"> </w:t>
      </w:r>
      <w:r>
        <w:t xml:space="preserve">(Social Security Number). 3. Test user has</w:t>
      </w:r>
      <w:r>
        <w:t xml:space="preserve"> </w:t>
      </w:r>
      <w:r>
        <w:rPr>
          <w:bCs/>
          <w:b/>
        </w:rPr>
        <w:t xml:space="preserve">Dayu_User</w:t>
      </w:r>
      <w:r>
        <w:t xml:space="preserve"> </w:t>
      </w:r>
      <w:r>
        <w:t xml:space="preserve">role (not admin).</w:t>
      </w:r>
    </w:p>
    <w:p>
      <w:pPr>
        <w:pStyle w:val="DefinitionTerm"/>
      </w:pPr>
      <w:r>
        <w:t xml:space="preserve">Procedure</w:t>
      </w:r>
    </w:p>
    <w:p>
      <w:pPr>
        <w:pStyle w:val="Definition"/>
      </w:pPr>
      <w:r>
        <w:t xml:space="preserve">1. In the DataArts Studio console, navigate to</w:t>
      </w:r>
      <w:r>
        <w:t xml:space="preserve"> </w:t>
      </w:r>
      <w:r>
        <w:rPr>
          <w:bCs/>
          <w:b/>
        </w:rPr>
        <w:t xml:space="preserve">Data Architecture</w:t>
      </w:r>
      <w:r>
        <w:t xml:space="preserve"> </w:t>
      </w:r>
      <m:oMath>
        <m:r>
          <m:rPr>
            <m:sty m:val="p"/>
          </m:rPr>
          <m:t>→</m:t>
        </m:r>
      </m:oMath>
      <w:r>
        <w:t xml:space="preserve"> </w:t>
      </w:r>
      <w:r>
        <w:rPr>
          <w:bCs/>
          <w:b/>
        </w:rPr>
        <w:t xml:space="preserve">Data Masking</w:t>
      </w:r>
      <w:r>
        <w:t xml:space="preserve"> </w:t>
      </w:r>
      <w:r>
        <w:t xml:space="preserve">2. Verify the masking rule for</w:t>
      </w:r>
      <w:r>
        <w:t xml:space="preserve"> </w:t>
      </w:r>
      <w:r>
        <w:rPr>
          <w:rStyle w:val="VerbatimChar"/>
        </w:rPr>
        <w:t xml:space="preserve">customers.ssn</w:t>
      </w:r>
      <w:r>
        <w:t xml:space="preserve"> </w:t>
      </w:r>
      <w:r>
        <w:t xml:space="preserve">is active and uses the</w:t>
      </w:r>
      <w:r>
        <w:t xml:space="preserve"> </w:t>
      </w:r>
      <w:r>
        <w:rPr>
          <w:bCs/>
          <w:b/>
        </w:rPr>
        <w:t xml:space="preserve">Mask All</w:t>
      </w:r>
      <w:r>
        <w:t xml:space="preserve"> </w:t>
      </w:r>
      <w:r>
        <w:t xml:space="preserve">strategy 3. Query the</w:t>
      </w:r>
      <w:r>
        <w:t xml:space="preserve"> </w:t>
      </w:r>
      <w:r>
        <w:rPr>
          <w:rStyle w:val="VerbatimChar"/>
        </w:rPr>
        <w:t xml:space="preserve">customers</w:t>
      </w:r>
      <w:r>
        <w:t xml:space="preserve"> </w:t>
      </w:r>
      <w:r>
        <w:t xml:space="preserve">table as the test user via DataArts Studio SQL console 4. Verify the</w:t>
      </w:r>
      <w:r>
        <w:t xml:space="preserve"> </w:t>
      </w:r>
      <w:r>
        <w:rPr>
          <w:rStyle w:val="VerbatimChar"/>
        </w:rPr>
        <w:t xml:space="preserve">ssn</w:t>
      </w:r>
      <w:r>
        <w:t xml:space="preserve"> </w:t>
      </w:r>
      <w:r>
        <w:t xml:space="preserve">column returns masked values (e.g. </w:t>
      </w:r>
      <w:r>
        <w:rPr>
          <w:rStyle w:val="VerbatimChar"/>
        </w:rPr>
        <w:t xml:space="preserve">*********</w:t>
      </w:r>
      <w:r>
        <w:t xml:space="preserve">) instead of real data 5. Query the same table as an admin user and verify real values are returned</w:t>
      </w:r>
    </w:p>
    <w:p>
      <w:pPr>
        <w:pStyle w:val="DefinitionTerm"/>
      </w:pPr>
      <w:r>
        <w:t xml:space="preserve">Expected Result</w:t>
      </w:r>
    </w:p>
    <w:p>
      <w:pPr>
        <w:pStyle w:val="Definition"/>
      </w:pPr>
      <w:r>
        <w:t xml:space="preserve">1. Masking rule is active for</w:t>
      </w:r>
      <w:r>
        <w:t xml:space="preserve"> </w:t>
      </w:r>
      <w:r>
        <w:rPr>
          <w:rStyle w:val="VerbatimChar"/>
        </w:rPr>
        <w:t xml:space="preserve">customers.ssn</w:t>
      </w:r>
      <w:r>
        <w:t xml:space="preserve">. 2. Non-admin user sees masked values in the</w:t>
      </w:r>
      <w:r>
        <w:t xml:space="preserve"> </w:t>
      </w:r>
      <w:r>
        <w:rPr>
          <w:rStyle w:val="VerbatimChar"/>
        </w:rPr>
        <w:t xml:space="preserve">ssn</w:t>
      </w:r>
      <w:r>
        <w:t xml:space="preserve"> </w:t>
      </w:r>
      <w:r>
        <w:t xml:space="preserve">column. 3. Admin user sees real values in the</w:t>
      </w:r>
      <w:r>
        <w:t xml:space="preserve"> </w:t>
      </w:r>
      <w:r>
        <w:rPr>
          <w:rStyle w:val="VerbatimChar"/>
        </w:rPr>
        <w:t xml:space="preserve">ssn</w:t>
      </w:r>
      <w:r>
        <w:t xml:space="preserve"> </w:t>
      </w:r>
      <w:r>
        <w:t xml:space="preserve">column.</w:t>
      </w:r>
    </w:p>
    <w:p>
      <w:pPr>
        <w:pStyle w:val="DefinitionTerm"/>
      </w:pPr>
      <w:r>
        <w:t xml:space="preserve">Test Result</w:t>
      </w:r>
    </w:p>
    <w:p>
      <w:pPr>
        <w:pStyle w:val="Definition"/>
      </w:pPr>
      <w:r>
        <w:rPr>
          <w:bCs/>
          <w:b/>
        </w:rPr>
        <w:t xml:space="preserve">Pass</w:t>
      </w:r>
    </w:p>
    <w:p>
      <w:pPr>
        <w:pStyle w:val="DefinitionTerm"/>
      </w:pPr>
      <w:r>
        <w:t xml:space="preserve">Remarks</w:t>
      </w:r>
    </w:p>
    <w:p>
      <w:pPr>
        <w:pStyle w:val="Definition"/>
      </w:pPr>
      <w:r>
        <w:t xml:space="preserve">Data masking rules apply at query time — the underlying data in OBS/HDFS is not modified.</w:t>
      </w:r>
    </w:p>
    <w:p>
      <w:pPr>
        <w:pStyle w:val="Heading2"/>
      </w:pPr>
      <w:bookmarkStart w:id="108" w:name="environment-setup-and-tooling"/>
      <w:r>
        <w:t xml:space="preserve">2.4</w:t>
      </w:r>
      <w:r>
        <w:t xml:space="preserve"> Environment Setup and Tooling</w:t>
      </w:r>
      <w:bookmarkEnd w:id="108"/>
    </w:p>
    <w:p>
      <w:pPr>
        <w:pStyle w:val="FirstParagraph"/>
      </w:pPr>
      <w:r>
        <w:rPr>
          <w:bCs/>
          <w:b/>
        </w:rPr>
        <w:t xml:space="preserve">Testcase 9:</w:t>
      </w:r>
      <w:r>
        <w:t xml:space="preserve"> </w:t>
      </w:r>
      <w:r>
        <w:t xml:space="preserve">Verify Terraform infrastructure deployment</w:t>
      </w:r>
    </w:p>
    <w:p>
      <w:pPr>
        <w:pStyle w:val="DefinitionTerm"/>
      </w:pPr>
      <w:r>
        <w:t xml:space="preserve">Objective</w:t>
      </w:r>
    </w:p>
    <w:p>
      <w:pPr>
        <w:pStyle w:val="Definition"/>
      </w:pPr>
      <w:r>
        <w:t xml:space="preserve">Confirm that the Terraform configuration deploys all required infrastructure resources (VPC, MRS, OBS, DataArts Studio) without errors and the state file reflects the expected resources.</w:t>
      </w:r>
    </w:p>
    <w:p>
      <w:pPr>
        <w:pStyle w:val="DefinitionTerm"/>
      </w:pPr>
      <w:r>
        <w:t xml:space="preserve">Prerequisites</w:t>
      </w:r>
    </w:p>
    <w:p>
      <w:pPr>
        <w:pStyle w:val="Definition"/>
      </w:pPr>
      <w:r>
        <w:t xml:space="preserve">1.</w:t>
      </w:r>
      <w:r>
        <w:t xml:space="preserve"> </w:t>
      </w:r>
      <w:r>
        <w:rPr>
          <w:rStyle w:val="VerbatimChar"/>
        </w:rPr>
        <w:t xml:space="preserve">terraform</w:t>
      </w:r>
      <w:r>
        <w:t xml:space="preserve"> </w:t>
      </w:r>
      <w:r>
        <w:t xml:space="preserve">CLI installed (version</w:t>
      </w:r>
      <w:r>
        <w:t xml:space="preserve"> </w:t>
      </w:r>
      <m:oMath>
        <m:r>
          <m:rPr>
            <m:sty m:val="p"/>
          </m:rPr>
          <m:t>≥</m:t>
        </m:r>
      </m:oMath>
      <w:r>
        <w:t xml:space="preserve"> </w:t>
      </w:r>
      <w:r>
        <w:t xml:space="preserve">1.0). 2. AK/SK credentials configured via environment variables or</w:t>
      </w:r>
      <w:r>
        <w:t xml:space="preserve"> </w:t>
      </w:r>
      <w:r>
        <w:rPr>
          <w:iCs/>
          <w:i/>
        </w:rPr>
        <w:t xml:space="preserve">provider.tf</w:t>
      </w:r>
      <w:r>
        <w:t xml:space="preserve">. 3. Terraform configuration files in the project directory.</w:t>
      </w:r>
    </w:p>
    <w:p>
      <w:pPr>
        <w:pStyle w:val="DefinitionTerm"/>
      </w:pPr>
      <w:r>
        <w:t xml:space="preserve">Procedure</w:t>
      </w:r>
    </w:p>
    <w:p>
      <w:pPr>
        <w:pStyle w:val="Definition"/>
      </w:pPr>
      <w:r>
        <w:t xml:space="preserve">1. Navigate to the Terraform project directory 2. Run</w:t>
      </w:r>
      <w:r>
        <w:t xml:space="preserve"> </w:t>
      </w:r>
      <w:r>
        <w:rPr>
          <w:rStyle w:val="VerbatimChar"/>
        </w:rPr>
        <w:t xml:space="preserve">terraform init</w:t>
      </w:r>
      <w:r>
        <w:t xml:space="preserve"> </w:t>
      </w:r>
      <w:r>
        <w:t xml:space="preserve">to initialize the working directory 3. Run</w:t>
      </w:r>
      <w:r>
        <w:t xml:space="preserve"> </w:t>
      </w:r>
      <w:r>
        <w:rPr>
          <w:rStyle w:val="VerbatimChar"/>
        </w:rPr>
        <w:t xml:space="preserve">terraform plan</w:t>
      </w:r>
      <w:r>
        <w:t xml:space="preserve"> </w:t>
      </w:r>
      <w:r>
        <w:t xml:space="preserve">and review the planned changes — confirm all expected resources are listed 4. Run</w:t>
      </w:r>
      <w:r>
        <w:t xml:space="preserve"> </w:t>
      </w:r>
      <w:r>
        <w:rPr>
          <w:rStyle w:val="VerbatimChar"/>
        </w:rPr>
        <w:t xml:space="preserve">terraform apply -auto-approve</w:t>
      </w:r>
      <w:r>
        <w:t xml:space="preserve"> </w:t>
      </w:r>
      <w:r>
        <w:t xml:space="preserve">and wait for completion 5. Run</w:t>
      </w:r>
      <w:r>
        <w:t xml:space="preserve"> </w:t>
      </w:r>
      <w:r>
        <w:rPr>
          <w:rStyle w:val="VerbatimChar"/>
        </w:rPr>
        <w:t xml:space="preserve">terraform output</w:t>
      </w:r>
      <w:r>
        <w:t xml:space="preserve"> </w:t>
      </w:r>
      <w:r>
        <w:t xml:space="preserve">and verify all output values are populated 6. Run</w:t>
      </w:r>
      <w:r>
        <w:t xml:space="preserve"> </w:t>
      </w:r>
      <w:r>
        <w:rPr>
          <w:rStyle w:val="VerbatimChar"/>
        </w:rPr>
        <w:t xml:space="preserve">terraform state list</w:t>
      </w:r>
      <w:r>
        <w:t xml:space="preserve"> </w:t>
      </w:r>
      <w:r>
        <w:t xml:space="preserve">and confirm the resource count matches the architecture</w:t>
      </w:r>
    </w:p>
    <w:p>
      <w:pPr>
        <w:pStyle w:val="DefinitionTerm"/>
      </w:pPr>
      <w:r>
        <w:t xml:space="preserve">Expected Result</w:t>
      </w:r>
    </w:p>
    <w:p>
      <w:pPr>
        <w:pStyle w:val="Definition"/>
      </w:pPr>
      <w:r>
        <w:t xml:space="preserve">1.</w:t>
      </w:r>
      <w:r>
        <w:t xml:space="preserve"> </w:t>
      </w:r>
      <w:r>
        <w:rPr>
          <w:rStyle w:val="VerbatimChar"/>
        </w:rPr>
        <w:t xml:space="preserve">terraform apply</w:t>
      </w:r>
      <w:r>
        <w:t xml:space="preserve"> </w:t>
      </w:r>
      <w:r>
        <w:t xml:space="preserve">completes with no errors. 2. All output values are populated (cluster ID, bucket name, VPC ID). 3. Resource count in state matches the architecture specification.</w:t>
      </w:r>
    </w:p>
    <w:p>
      <w:pPr>
        <w:pStyle w:val="DefinitionTerm"/>
      </w:pPr>
      <w:r>
        <w:t xml:space="preserve">Test Result</w:t>
      </w:r>
    </w:p>
    <w:p>
      <w:pPr>
        <w:pStyle w:val="Definition"/>
      </w:pPr>
      <w:r>
        <w:rPr>
          <w:bCs/>
          <w:b/>
        </w:rPr>
        <w:t xml:space="preserve">Pass</w:t>
      </w:r>
    </w:p>
    <w:p>
      <w:pPr>
        <w:pStyle w:val="DefinitionTerm"/>
      </w:pPr>
      <w:r>
        <w:t xml:space="preserve">Remarks</w:t>
      </w:r>
    </w:p>
    <w:p>
      <w:pPr>
        <w:pStyle w:val="Definition"/>
      </w:pPr>
      <w:r>
        <w:t xml:space="preserve">If</w:t>
      </w:r>
      <w:r>
        <w:t xml:space="preserve"> </w:t>
      </w:r>
      <w:r>
        <w:rPr>
          <w:rStyle w:val="VerbatimChar"/>
        </w:rPr>
        <w:t xml:space="preserve">terraform apply</w:t>
      </w:r>
      <w:r>
        <w:t xml:space="preserve"> </w:t>
      </w:r>
      <w:r>
        <w:t xml:space="preserve">fails, check the AK/SK credentials and the</w:t>
      </w:r>
      <w:r>
        <w:t xml:space="preserve"> </w:t>
      </w:r>
      <w:r>
        <w:rPr>
          <w:rStyle w:val="VerbatimChar"/>
        </w:rPr>
        <w:t xml:space="preserve">sa-brazil-1</w:t>
      </w:r>
      <w:r>
        <w:t xml:space="preserve"> </w:t>
      </w:r>
      <w:r>
        <w:t xml:space="preserve">region quota limits.</w:t>
      </w:r>
    </w:p>
    <w:p>
      <w:pPr>
        <w:pStyle w:val="FirstParagraph"/>
      </w:pPr>
      <w:r>
        <w:rPr>
          <w:bCs/>
          <w:b/>
        </w:rPr>
        <w:t xml:space="preserve">Testcase 10:</w:t>
      </w:r>
      <w:r>
        <w:t xml:space="preserve"> </w:t>
      </w:r>
      <w:r>
        <w:t xml:space="preserve">Verify test data upload to OBS</w:t>
      </w:r>
    </w:p>
    <w:p>
      <w:pPr>
        <w:pStyle w:val="DefinitionTerm"/>
      </w:pPr>
      <w:r>
        <w:t xml:space="preserve">Objective</w:t>
      </w:r>
    </w:p>
    <w:p>
      <w:pPr>
        <w:pStyle w:val="Definition"/>
      </w:pPr>
      <w:r>
        <w:t xml:space="preserve">Confirm that all required test data files (CSV, JSON) can be uploaded to the designated OBS bucket and are accessible by the DataArts Studio pipeline.</w:t>
      </w:r>
    </w:p>
    <w:p>
      <w:pPr>
        <w:pStyle w:val="DefinitionTerm"/>
      </w:pPr>
      <w:r>
        <w:t xml:space="preserve">Prerequisites</w:t>
      </w:r>
    </w:p>
    <w:p>
      <w:pPr>
        <w:pStyle w:val="Definition"/>
      </w:pPr>
      <w:r>
        <w:t xml:space="preserve">1. Test Case 2 completed (OBS bucket accessible). 2. Test data files prepared in the local directory</w:t>
      </w:r>
      <w:r>
        <w:t xml:space="preserve"> </w:t>
      </w:r>
      <w:r>
        <w:rPr>
          <w:iCs/>
          <w:i/>
        </w:rPr>
        <w:t xml:space="preserve">./test-data/</w:t>
      </w:r>
      <w:r>
        <w:t xml:space="preserve">. 3.</w:t>
      </w:r>
      <w:r>
        <w:t xml:space="preserve"> </w:t>
      </w:r>
      <w:r>
        <w:rPr>
          <w:rStyle w:val="VerbatimChar"/>
        </w:rPr>
        <w:t xml:space="preserve">obsutil</w:t>
      </w:r>
      <w:r>
        <w:t xml:space="preserve"> </w:t>
      </w:r>
      <w:r>
        <w:t xml:space="preserve">CLI configured with the test user credentials.</w:t>
      </w:r>
    </w:p>
    <w:p>
      <w:pPr>
        <w:pStyle w:val="DefinitionTerm"/>
      </w:pPr>
      <w:r>
        <w:t xml:space="preserve">Procedure</w:t>
      </w:r>
    </w:p>
    <w:p>
      <w:pPr>
        <w:pStyle w:val="Definition"/>
      </w:pPr>
      <w:r>
        <w:t xml:space="preserve">1. List the local test data files and verify their integrity (row count, schema) 2. Upload all files to the OBS raw bucket using</w:t>
      </w:r>
      <w:r>
        <w:t xml:space="preserve"> </w:t>
      </w:r>
      <w:r>
        <w:rPr>
          <w:rStyle w:val="VerbatimChar"/>
        </w:rPr>
        <w:t xml:space="preserve">obsutil</w:t>
      </w:r>
      <w:r>
        <w:t xml:space="preserve"> </w:t>
      </w:r>
      <w:r>
        <w:t xml:space="preserve">3. Verify each file exists in OBS by listing the bucket contents 4. Download a sample file from OBS and compare it with the local original (checksum) 5. In DataArts Studio, verify the data source connection can read the uploaded files</w:t>
      </w:r>
    </w:p>
    <w:p>
      <w:pPr>
        <w:pStyle w:val="DefinitionTerm"/>
      </w:pPr>
      <w:r>
        <w:t xml:space="preserve">Expected Result</w:t>
      </w:r>
    </w:p>
    <w:p>
      <w:pPr>
        <w:pStyle w:val="Definition"/>
      </w:pPr>
      <w:r>
        <w:t xml:space="preserve">1. All test data files are uploaded without errors. 2. Bucket listing shows all uploaded files with correct sizes. 3. Downloaded file checksum matches the local original. 4. DataArts Studio data source connection can read the files.</w:t>
      </w:r>
    </w:p>
    <w:p>
      <w:pPr>
        <w:pStyle w:val="DefinitionTerm"/>
      </w:pPr>
      <w:r>
        <w:t xml:space="preserve">Test Result</w:t>
      </w:r>
    </w:p>
    <w:p>
      <w:pPr>
        <w:pStyle w:val="Definition"/>
      </w:pPr>
      <w:r>
        <w:rPr>
          <w:bCs/>
          <w:b/>
        </w:rPr>
        <w:t xml:space="preserve">Pass</w:t>
      </w:r>
    </w:p>
    <w:p>
      <w:pPr>
        <w:pStyle w:val="DefinitionTerm"/>
      </w:pPr>
      <w:r>
        <w:t xml:space="preserve">Remarks</w:t>
      </w:r>
    </w:p>
    <w:p>
      <w:pPr>
        <w:pStyle w:val="Definition"/>
      </w:pPr>
      <w:r>
        <w:t xml:space="preserve">Large files (</w:t>
      </w:r>
      <m:oMath>
        <m:r>
          <m:rPr>
            <m:sty m:val="p"/>
          </m:rPr>
          <m:t>&gt;</m:t>
        </m:r>
      </m:oMath>
      <w:r>
        <w:t xml:space="preserve">1 GB) should be uploaded using the OBS multipart upload feature for better reliability.</w:t>
      </w:r>
    </w:p>
    <w:p>
      <w:pPr>
        <w:pStyle w:val="FirstParagraph"/>
      </w:pPr>
      <w:r>
        <w:rPr>
          <w:iCs/>
          <w:i/>
        </w:rPr>
        <w:t xml:space="preserve">[Image placeholder: Screenshot of the test execution dashboard showing all test case results]</w:t>
      </w:r>
    </w:p>
    <w:p>
      <w:r>
        <w:br w:type="page"/>
      </w:r>
    </w:p>
    <w:p>
      <w:pPr>
        <w:pStyle w:val="Heading1"/>
        <w:pBdr>
          <w:bottom w:val="single" w:sz="12" w:space="2" w:color="C7000B"/>
        </w:pBdr>
        <w:tabs>
          <w:tab w:val="right" w:pos="9638"/>
        </w:tabs>
      </w:pPr>
      <w:bookmarkStart w:id="109" w:name="conclusion"/>
      <w:r>
        <w:rPr>
          <w:sz w:val="112"/>
          <w:szCs w:val="112"/>
        </w:rPr>
        <w:t xml:space="preserve">3</w:t>
      </w:r>
      <w:r>
        <w:tab/>
      </w:r>
      <w:r>
        <w:t xml:space="preserve">Conclusion</w:t>
      </w:r>
      <w:bookmarkEnd w:id="109"/>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Title</w:t>
            </w:r>
          </w:p>
        </w:tc>
        <w:tc>
          <w:tcPr/>
          <w:p>
            <w:pPr>
              <w:pStyle w:val="Compact"/>
              <w:jc w:val="left"/>
            </w:pPr>
            <w:r>
              <w:t xml:space="preserve">Status</w:t>
            </w:r>
          </w:p>
        </w:tc>
      </w:tr>
      <w:tr>
        <w:tc>
          <w:tcPr/>
          <w:p>
            <w:pPr>
              <w:pStyle w:val="Compact"/>
              <w:jc w:val="left"/>
            </w:pPr>
            <w:r>
              <w:t xml:space="preserve">1</w:t>
            </w:r>
          </w:p>
        </w:tc>
        <w:tc>
          <w:tcPr/>
          <w:p>
            <w:pPr>
              <w:pStyle w:val="Compact"/>
              <w:jc w:val="left"/>
            </w:pPr>
            <w:r>
              <w:t xml:space="preserve">Verify MRS cluster deployment and health</w:t>
            </w:r>
          </w:p>
        </w:tc>
        <w:tc>
          <w:tcPr/>
          <w:p>
            <w:pPr>
              <w:pStyle w:val="Compact"/>
              <w:jc w:val="left"/>
            </w:pPr>
            <w:r>
              <w:rPr>
                <w:bCs/>
                <w:b/>
              </w:rPr>
              <w:t xml:space="preserve">Pass</w:t>
            </w:r>
          </w:p>
        </w:tc>
      </w:tr>
      <w:tr>
        <w:tc>
          <w:tcPr/>
          <w:p>
            <w:pPr>
              <w:pStyle w:val="Compact"/>
              <w:jc w:val="left"/>
            </w:pPr>
            <w:r>
              <w:t xml:space="preserve">2</w:t>
            </w:r>
          </w:p>
        </w:tc>
        <w:tc>
          <w:tcPr/>
          <w:p>
            <w:pPr>
              <w:pStyle w:val="Compact"/>
              <w:jc w:val="left"/>
            </w:pPr>
            <w:r>
              <w:t xml:space="preserve">Verify OBS bucket creation and accessibility</w:t>
            </w:r>
          </w:p>
        </w:tc>
        <w:tc>
          <w:tcPr/>
          <w:p>
            <w:pPr>
              <w:pStyle w:val="Compact"/>
              <w:jc w:val="left"/>
            </w:pPr>
            <w:r>
              <w:rPr>
                <w:bCs/>
                <w:b/>
              </w:rPr>
              <w:t xml:space="preserve">Pass</w:t>
            </w:r>
          </w:p>
        </w:tc>
      </w:tr>
      <w:tr>
        <w:tc>
          <w:tcPr/>
          <w:p>
            <w:pPr>
              <w:pStyle w:val="Compact"/>
              <w:jc w:val="left"/>
            </w:pPr>
            <w:r>
              <w:t xml:space="preserve">3</w:t>
            </w:r>
          </w:p>
        </w:tc>
        <w:tc>
          <w:tcPr/>
          <w:p>
            <w:pPr>
              <w:pStyle w:val="Compact"/>
              <w:jc w:val="left"/>
            </w:pPr>
            <w:r>
              <w:t xml:space="preserve">Verify VPC and security group configuration</w:t>
            </w:r>
          </w:p>
        </w:tc>
        <w:tc>
          <w:tcPr/>
          <w:p>
            <w:pPr>
              <w:pStyle w:val="Compact"/>
              <w:jc w:val="left"/>
            </w:pPr>
            <w:r>
              <w:rPr>
                <w:bCs/>
                <w:b/>
              </w:rPr>
              <w:t xml:space="preserve">Pass</w:t>
            </w:r>
          </w:p>
        </w:tc>
      </w:tr>
      <w:tr>
        <w:tc>
          <w:tcPr/>
          <w:p>
            <w:pPr>
              <w:pStyle w:val="Compact"/>
              <w:jc w:val="left"/>
            </w:pPr>
            <w:r>
              <w:t xml:space="preserve">4</w:t>
            </w:r>
          </w:p>
        </w:tc>
        <w:tc>
          <w:tcPr/>
          <w:p>
            <w:pPr>
              <w:pStyle w:val="Compact"/>
              <w:jc w:val="left"/>
            </w:pPr>
            <w:r>
              <w:t xml:space="preserve">Verify DataArts Studio workspace creation</w:t>
            </w:r>
          </w:p>
        </w:tc>
        <w:tc>
          <w:tcPr/>
          <w:p>
            <w:pPr>
              <w:pStyle w:val="Compact"/>
              <w:jc w:val="left"/>
            </w:pPr>
            <w:r>
              <w:rPr>
                <w:bCs/>
                <w:b/>
              </w:rPr>
              <w:t xml:space="preserve">Pass</w:t>
            </w:r>
          </w:p>
        </w:tc>
      </w:tr>
      <w:tr>
        <w:tc>
          <w:tcPr/>
          <w:p>
            <w:pPr>
              <w:pStyle w:val="Compact"/>
              <w:jc w:val="left"/>
            </w:pPr>
            <w:r>
              <w:t xml:space="preserve">5</w:t>
            </w:r>
          </w:p>
        </w:tc>
        <w:tc>
          <w:tcPr/>
          <w:p>
            <w:pPr>
              <w:pStyle w:val="Compact"/>
              <w:jc w:val="left"/>
            </w:pPr>
            <w:r>
              <w:t xml:space="preserve">Verify data ingestion pipeline execution</w:t>
            </w:r>
          </w:p>
        </w:tc>
        <w:tc>
          <w:tcPr/>
          <w:p>
            <w:pPr>
              <w:pStyle w:val="Compact"/>
              <w:jc w:val="left"/>
            </w:pPr>
            <w:r>
              <w:rPr>
                <w:bCs/>
                <w:b/>
              </w:rPr>
              <w:t xml:space="preserve">Pass</w:t>
            </w:r>
          </w:p>
        </w:tc>
      </w:tr>
      <w:tr>
        <w:tc>
          <w:tcPr/>
          <w:p>
            <w:pPr>
              <w:pStyle w:val="Compact"/>
              <w:jc w:val="left"/>
            </w:pPr>
            <w:r>
              <w:t xml:space="preserve">6</w:t>
            </w:r>
          </w:p>
        </w:tc>
        <w:tc>
          <w:tcPr/>
          <w:p>
            <w:pPr>
              <w:pStyle w:val="Compact"/>
              <w:jc w:val="left"/>
            </w:pPr>
            <w:r>
              <w:t xml:space="preserve">Verify Spark SQL query on MRS cluster</w:t>
            </w:r>
          </w:p>
        </w:tc>
        <w:tc>
          <w:tcPr/>
          <w:p>
            <w:pPr>
              <w:pStyle w:val="Compact"/>
              <w:jc w:val="left"/>
            </w:pPr>
            <w:r>
              <w:rPr>
                <w:bCs/>
                <w:b/>
              </w:rPr>
              <w:t xml:space="preserve">Pass</w:t>
            </w:r>
          </w:p>
        </w:tc>
      </w:tr>
      <w:tr>
        <w:tc>
          <w:tcPr/>
          <w:p>
            <w:pPr>
              <w:pStyle w:val="Compact"/>
              <w:jc w:val="left"/>
            </w:pPr>
            <w:r>
              <w:t xml:space="preserve">7</w:t>
            </w:r>
          </w:p>
        </w:tc>
        <w:tc>
          <w:tcPr/>
          <w:p>
            <w:pPr>
              <w:pStyle w:val="Compact"/>
              <w:jc w:val="left"/>
            </w:pPr>
            <w:r>
              <w:t xml:space="preserve">Verify IAM policy enforcement on OBS buckets</w:t>
            </w:r>
          </w:p>
        </w:tc>
        <w:tc>
          <w:tcPr/>
          <w:p>
            <w:pPr>
              <w:pStyle w:val="Compact"/>
              <w:jc w:val="left"/>
            </w:pPr>
            <w:r>
              <w:rPr>
                <w:bCs/>
                <w:b/>
              </w:rPr>
              <w:t xml:space="preserve">Pass</w:t>
            </w:r>
          </w:p>
        </w:tc>
      </w:tr>
      <w:tr>
        <w:tc>
          <w:tcPr/>
          <w:p>
            <w:pPr>
              <w:pStyle w:val="Compact"/>
              <w:jc w:val="left"/>
            </w:pPr>
            <w:r>
              <w:t xml:space="preserve">8</w:t>
            </w:r>
          </w:p>
        </w:tc>
        <w:tc>
          <w:tcPr/>
          <w:p>
            <w:pPr>
              <w:pStyle w:val="Compact"/>
              <w:jc w:val="left"/>
            </w:pPr>
            <w:r>
              <w:t xml:space="preserve">Verify DataArts Studio data masking rule</w:t>
            </w:r>
          </w:p>
        </w:tc>
        <w:tc>
          <w:tcPr/>
          <w:p>
            <w:pPr>
              <w:pStyle w:val="Compact"/>
              <w:jc w:val="left"/>
            </w:pPr>
            <w:r>
              <w:rPr>
                <w:bCs/>
                <w:b/>
              </w:rPr>
              <w:t xml:space="preserve">Pass</w:t>
            </w:r>
          </w:p>
        </w:tc>
      </w:tr>
      <w:tr>
        <w:tc>
          <w:tcPr/>
          <w:p>
            <w:pPr>
              <w:pStyle w:val="Compact"/>
              <w:jc w:val="left"/>
            </w:pPr>
            <w:r>
              <w:t xml:space="preserve">9</w:t>
            </w:r>
          </w:p>
        </w:tc>
        <w:tc>
          <w:tcPr/>
          <w:p>
            <w:pPr>
              <w:pStyle w:val="Compact"/>
              <w:jc w:val="left"/>
            </w:pPr>
            <w:r>
              <w:t xml:space="preserve">Verify Terraform infrastructure deployment</w:t>
            </w:r>
          </w:p>
        </w:tc>
        <w:tc>
          <w:tcPr/>
          <w:p>
            <w:pPr>
              <w:pStyle w:val="Compact"/>
              <w:jc w:val="left"/>
            </w:pPr>
            <w:r>
              <w:rPr>
                <w:bCs/>
                <w:b/>
              </w:rPr>
              <w:t xml:space="preserve">Pass</w:t>
            </w:r>
          </w:p>
        </w:tc>
      </w:tr>
      <w:tr>
        <w:tc>
          <w:tcPr/>
          <w:p>
            <w:pPr>
              <w:pStyle w:val="Compact"/>
              <w:jc w:val="left"/>
            </w:pPr>
            <w:r>
              <w:t xml:space="preserve">10</w:t>
            </w:r>
          </w:p>
        </w:tc>
        <w:tc>
          <w:tcPr/>
          <w:p>
            <w:pPr>
              <w:pStyle w:val="Compact"/>
              <w:jc w:val="left"/>
            </w:pPr>
            <w:r>
              <w:t xml:space="preserve">Verify test data upload to OBS</w:t>
            </w:r>
          </w:p>
        </w:tc>
        <w:tc>
          <w:tcPr/>
          <w:p>
            <w:pPr>
              <w:pStyle w:val="Compact"/>
              <w:jc w:val="left"/>
            </w:pPr>
            <w:r>
              <w:rPr>
                <w:bCs/>
                <w:b/>
              </w:rPr>
              <w:t xml:space="preserve">Pass</w:t>
            </w:r>
          </w:p>
        </w:tc>
      </w:tr>
    </w:tbl>
    <w:p>
      <w:r>
        <w:br w:type="page"/>
      </w:r>
    </w:p>
    <w:p>
      <w:pPr>
        <w:pStyle w:val="Heading1"/>
        <w:pBdr>
          <w:bottom w:val="single" w:sz="12" w:space="2" w:color="C7000B"/>
        </w:pBdr>
        <w:tabs>
          <w:tab w:val="right" w:pos="9638"/>
        </w:tabs>
      </w:pPr>
      <w:bookmarkStart w:id="110" w:name="sec-changelog"/>
      <w:r>
        <w:rPr>
          <w:sz w:val="112"/>
          <w:szCs w:val="112"/>
        </w:rPr>
        <w:t xml:space="preserve">4</w:t>
      </w:r>
      <w:r>
        <w:tab/>
      </w:r>
      <w:r>
        <w:t xml:space="preserve">Changelog</w:t>
      </w:r>
      <w:bookmarkEnd w:id="110"/>
    </w:p>
    <w:p>
      <w:pPr>
        <w:pBdr>
          <w:bottom w:val="single" w:sz="4" w:space="1" w:color="000000"/>
        </w:pBdr>
        <w:spacing w:after="120"/>
      </w:pPr>
    </w:p>
    <w:p>
      <w:pPr>
        <w:tabs>
          <w:tab w:val="right" w:pos="9638"/>
        </w:tabs>
      </w:pPr>
      <w:r>
        <w:rPr>
          <w:b/>
        </w:rPr>
        <w:t xml:space="preserve">2.1.0</w:t>
      </w:r>
      <w:r>
        <w:tab/>
      </w:r>
      <w:r>
        <w:rPr>
          <w:i/>
        </w:rPr>
        <w:t xml:space="preserve">2026-09-14</w:t>
      </w:r>
    </w:p>
    <w:p>
      <w:pPr>
        <w:pStyle w:val="BodyText"/>
      </w:pPr>
      <w:r>
        <w:t xml:space="preserve">Restructured document to 3-section layout: Introduction, Test Cases (with subsections per domain), and Conclusion (with test summary table).</w:t>
      </w:r>
    </w:p>
    <w:p>
      <w:pPr>
        <w:pStyle w:val="BodyText"/>
      </w:pPr>
      <w:r>
        <w:t xml:space="preserve">Removed manual TC-XXX prefixes from testcase titles — the environment auto-numbers them as "Test Case 1:", "Test Case 2:", etc.</w:t>
      </w:r>
    </w:p>
    <w:p>
      <w:pPr>
        <w:pStyle w:val="BodyText"/>
      </w:pPr>
      <w:r>
        <w:t xml:space="preserve">Updated testsummary IDs from TC-XXX to auto-numbered 1–10.</w:t>
      </w:r>
    </w:p>
    <w:p>
      <w:pPr>
        <w:pStyle w:val="BodyText"/>
      </w:pPr>
      <w:r>
        <w:t xml:space="preserve">Changed teststeps from tabular table to auto-numbered paragraphs.</w:t>
      </w:r>
      <w:r>
        <w:t xml:space="preserve"> </w:t>
      </w:r>
      <w:r>
        <w:rPr>
          <w:rStyle w:val="VerbatimChar"/>
        </w:rPr>
        <w:t xml:space="preserve">\teststep</w:t>
      </w:r>
      <w:r>
        <w:t xml:space="preserve"> </w:t>
      </w:r>
      <w:r>
        <w:t xml:space="preserve">now takes 1 arg (action only). Images, code blocks, and callouts can be placed freely between steps.</w:t>
      </w:r>
    </w:p>
    <w:p>
      <w:pPr>
        <w:tabs>
          <w:tab w:val="right" w:pos="9638"/>
        </w:tabs>
      </w:pPr>
      <w:r>
        <w:rPr>
          <w:b/>
        </w:rPr>
        <w:t xml:space="preserve">2.0.0</w:t>
      </w:r>
      <w:r>
        <w:tab/>
      </w:r>
      <w:r>
        <w:rPr>
          <w:i/>
        </w:rPr>
        <w:t xml:space="preserve">2026-09-14</w:t>
      </w:r>
    </w:p>
    <w:p>
      <w:pPr>
        <w:pStyle w:val="BodyText"/>
      </w:pPr>
      <w:r>
        <w:t xml:space="preserve">Redesigned testcase layout: full-width mini header bars for each field, testprocedure environment with 2-column step table, field order updated (Test Result before Remarks).</w:t>
      </w:r>
    </w:p>
    <w:p>
      <w:pPr>
        <w:tabs>
          <w:tab w:val="right" w:pos="9638"/>
        </w:tabs>
      </w:pPr>
      <w:r>
        <w:rPr>
          <w:b/>
        </w:rPr>
        <w:t xml:space="preserve">1.1.0</w:t>
      </w:r>
      <w:r>
        <w:tab/>
      </w:r>
      <w:r>
        <w:rPr>
          <w:i/>
        </w:rPr>
        <w:t xml:space="preserve">2026-09-14</w:t>
      </w:r>
    </w:p>
    <w:p>
      <w:pPr>
        <w:pStyle w:val="BodyText"/>
      </w:pPr>
      <w:r>
        <w:t xml:space="preserve">Added comprehensive feature demonstrations:</w:t>
      </w:r>
      <w:r>
        <w:t xml:space="preserve"> </w:t>
      </w:r>
      <w:r>
        <w:rPr>
          <w:rStyle w:val="VerbatimChar"/>
        </w:rPr>
        <w:t xml:space="preserve">warning</w:t>
      </w:r>
      <w:r>
        <w:t xml:space="preserve">,</w:t>
      </w:r>
      <w:r>
        <w:t xml:space="preserve"> </w:t>
      </w:r>
      <w:r>
        <w:rPr>
          <w:rStyle w:val="VerbatimChar"/>
        </w:rPr>
        <w:t xml:space="preserve">tip</w:t>
      </w:r>
      <w:r>
        <w:t xml:space="preserve">,</w:t>
      </w:r>
      <w:r>
        <w:t xml:space="preserve"> </w:t>
      </w:r>
      <w:r>
        <w:rPr>
          <w:rStyle w:val="VerbatimChar"/>
        </w:rPr>
        <w:t xml:space="preserve">infobox</w:t>
      </w:r>
      <w:r>
        <w:t xml:space="preserve"> </w:t>
      </w:r>
      <w:r>
        <w:t xml:space="preserve">callouts;</w:t>
      </w:r>
      <w:r>
        <w:t xml:space="preserve"> </w:t>
      </w:r>
      <w:r>
        <w:rPr>
          <w:rStyle w:val="VerbatimChar"/>
        </w:rPr>
        <w:t xml:space="preserve">code</w:t>
      </w:r>
      <w:r>
        <w:t xml:space="preserve"> </w:t>
      </w:r>
      <w:r>
        <w:t xml:space="preserve">blocks;</w:t>
      </w:r>
      <w:r>
        <w:t xml:space="preserve"> </w:t>
      </w:r>
      <w:r>
        <w:rPr>
          <w:rStyle w:val="VerbatimChar"/>
        </w:rPr>
        <w:t xml:space="preserve">badge</w:t>
      </w:r>
      <w:r>
        <w:t xml:space="preserve">;</w:t>
      </w:r>
      <w:r>
        <w:t xml:space="preserve"> </w:t>
      </w:r>
      <w:r>
        <w:rPr>
          <w:rStyle w:val="VerbatimChar"/>
        </w:rPr>
        <w:t xml:space="preserve">weblink</w:t>
      </w:r>
      <w:r>
        <w:t xml:space="preserve">;</w:t>
      </w:r>
      <w:r>
        <w:t xml:space="preserve"> </w:t>
      </w:r>
      <w:r>
        <w:rPr>
          <w:rStyle w:val="VerbatimChar"/>
        </w:rPr>
        <w:t xml:space="preserve">note</w:t>
      </w:r>
      <w:r>
        <w:t xml:space="preserve">;</w:t>
      </w:r>
      <w:r>
        <w:t xml:space="preserve"> </w:t>
      </w:r>
      <w:r>
        <w:rPr>
          <w:rStyle w:val="VerbatimChar"/>
        </w:rPr>
        <w:t xml:space="preserve">param</w:t>
      </w:r>
      <w:r>
        <w:t xml:space="preserve">;</w:t>
      </w:r>
      <w:r>
        <w:t xml:space="preserve"> </w:t>
      </w:r>
      <w:r>
        <w:rPr>
          <w:rStyle w:val="VerbatimChar"/>
        </w:rPr>
        <w:t xml:space="preserve">image</w:t>
      </w:r>
      <w:r>
        <w:t xml:space="preserve">,</w:t>
      </w:r>
      <w:r>
        <w:t xml:space="preserve"> </w:t>
      </w:r>
      <w:r>
        <w:rPr>
          <w:rStyle w:val="VerbatimChar"/>
        </w:rPr>
        <w:t xml:space="preserve">imagecap</w:t>
      </w:r>
      <w:r>
        <w:t xml:space="preserve">, and</w:t>
      </w:r>
      <w:r>
        <w:t xml:space="preserve"> </w:t>
      </w:r>
      <w:r>
        <w:rPr>
          <w:rStyle w:val="VerbatimChar"/>
        </w:rPr>
        <w:t xml:space="preserve">imageplaceholder</w:t>
      </w:r>
      <w:r>
        <w:t xml:space="preserve">;</w:t>
      </w:r>
      <w:r>
        <w:t xml:space="preserve"> </w:t>
      </w:r>
      <w:r>
        <w:rPr>
          <w:rStyle w:val="VerbatimChar"/>
        </w:rPr>
        <w:t xml:space="preserve">menu</w:t>
      </w:r>
      <w:r>
        <w:t xml:space="preserve"> </w:t>
      </w:r>
      <w:r>
        <w:t xml:space="preserve">paths; and</w:t>
      </w:r>
      <w:r>
        <w:t xml:space="preserve"> </w:t>
      </w:r>
      <w:r>
        <w:rPr>
          <w:rStyle w:val="VerbatimChar"/>
        </w:rPr>
        <w:t xml:space="preserve">inlinecode</w:t>
      </w:r>
      <w:r>
        <w:t xml:space="preserve"> </w:t>
      </w:r>
      <w:r>
        <w:t xml:space="preserve">references.</w:t>
      </w:r>
    </w:p>
    <w:p>
      <w:pPr>
        <w:pStyle w:val="BodyText"/>
      </w:pPr>
      <w:r>
        <w:t xml:space="preserve">Added Security and Access Control test cases.</w:t>
      </w:r>
    </w:p>
    <w:p>
      <w:pPr>
        <w:pStyle w:val="BodyText"/>
      </w:pPr>
      <w:r>
        <w:t xml:space="preserve">Added Environment Setup and Tooling test cases.</w:t>
      </w:r>
    </w:p>
    <w:p>
      <w:pPr>
        <w:tabs>
          <w:tab w:val="right" w:pos="9638"/>
        </w:tabs>
      </w:pPr>
      <w:r>
        <w:rPr>
          <w:b/>
        </w:rPr>
        <w:t xml:space="preserve">1.0.0</w:t>
      </w:r>
      <w:r>
        <w:tab/>
      </w:r>
      <w:r>
        <w:rPr>
          <w:i/>
        </w:rPr>
        <w:t xml:space="preserve">2026-09-14</w:t>
      </w:r>
    </w:p>
    <w:p>
      <w:pPr>
        <w:pStyle w:val="BodyText"/>
      </w:pPr>
      <w:r>
        <w:t xml:space="preserve">Initial version.</w:t>
      </w:r>
    </w:p>
    <w:p>
      <w:pPr>
        <w:pStyle w:val="BodyText"/>
      </w:pPr>
      <w:r>
        <w:t xml:space="preserve">Added Platform Architecture test cases.</w:t>
      </w:r>
    </w:p>
    <w:p>
      <w:pPr>
        <w:pStyle w:val="BodyText"/>
      </w:pPr>
      <w:r>
        <w:t xml:space="preserve">Added Data Engineering test cases.</w:t>
      </w:r>
    </w:p>
    <w:p>
      <w:pPr>
        <w:pBdr>
          <w:top w:val="single" w:sz="4" w:space="1" w:color="000000"/>
        </w:pBdr>
      </w:pPr>
    </w:p>
    <w:sectPr>
      <w:headerReference r:id="rId9" w:type="default"/>
      <w:footerReference r:id="rId10" w:type="default"/>
      <w:pgSz w:h="16838" w:w="11906"/>
      <w:pgMar w:bottom="1701" w:left="1134" w:right="1134" w:top="170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HarmonyOS Sans" w:hAnsi="HarmonyOS Sans"/>
        <w:sz w:val="20"/>
      </w:rPr>
      <w:fldChar w:fldCharType="begin"/>
    </w:r>
    <w:r>
      <w:rPr>
        <w:rFonts w:ascii="HarmonyOS Sans" w:hAnsi="HarmonyOS Sans"/>
        <w:sz w:val="20"/>
      </w:rPr>
      <w:instrText xml:space="preserve"> STYLEREF "Title" \* MERGEFORMAT </w:instrText>
    </w:r>
    <w:r>
      <w:rPr>
        <w:rFonts w:ascii="HarmonyOS Sans" w:hAnsi="HarmonyOS Sans"/>
        <w:sz w:val="20"/>
      </w:rPr>
      <w:fldChar w:fldCharType="separate"/>
    </w:r>
    <w:r>
      <w:rPr>
        <w:rFonts w:ascii="HarmonyOS Sans" w:hAnsi="HarmonyOS Sans"/>
        <w:sz w:val="20"/>
      </w:rPr>
      <w:t>Document Title</w:t>
    </w:r>
    <w:r>
      <w:rPr>
        <w:rFonts w:ascii="HarmonyOS Sans" w:hAnsi="HarmonyOS Sans"/>
        <w:sz w:val="20"/>
      </w:rPr>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480" w:hanging="240"/>
      </w:pPr>
    </w:lvl>
    <w:lvl w:ilvl="1">
      <w:numFmt w:val="bullet"/>
      <w:lvlText w:val=" "/>
      <w:lvlJc w:val="left"/>
      <w:pPr>
        <w:ind w:left="960" w:hanging="240"/>
      </w:pPr>
    </w:lvl>
    <w:lvl w:ilvl="2">
      <w:numFmt w:val="bullet"/>
      <w:lvlText w:val=" "/>
      <w:lvlJc w:val="left"/>
      <w:pPr>
        <w:ind w:left="1440" w:hanging="24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480" w:hanging="240"/>
      </w:pPr>
    </w:lvl>
    <w:lvl w:ilvl="1">
      <w:numFmt w:val="bullet"/>
      <w:lvlText w:val="–"/>
      <w:lvlJc w:val="left"/>
      <w:pPr>
        <w:ind w:left="960" w:hanging="240"/>
      </w:pPr>
    </w:lvl>
    <w:lvl w:ilvl="2">
      <w:numFmt w:val="bullet"/>
      <w:lvlText w:val="•"/>
      <w:lvlJc w:val="left"/>
      <w:pPr>
        <w:ind w:left="1440" w:hanging="24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HarmonyOS Sans" w:asciiTheme="minorHAnsi" w:cs="HarmonyOS Sans" w:cstheme="minorBidi" w:eastAsia="HarmonyOS Sans" w:eastAsiaTheme="minorHAnsi" w:hAnsi="HarmonyOS Sans" w:hAnsiTheme="minorHAnsi"/>
        <w:sz w:val="21"/>
        <w:szCs w:val="21"/>
        <w:lang w:bidi="ar-SA" w:eastAsia="en-US" w:val="en"/>
      </w:rPr>
    </w:rPrDefault>
    <w:pPrDefault>
      <w:pPr>
        <w:spacing w:after="80" w:line="280" w:lineRule="atLeast"/>
      </w:pPr>
    </w:pPrDefault>
  </w:docDefaults>
  <w:latentStyles w:count="276" w:defLockedState="0" w:defQFormat="0" w:defSemiHidden="0" w:defUIPriority="0" w:defUnhideWhenUsed="0"/>
  <w:style w:default="1" w:styleId="Normal" w:type="paragraph">
    <w:name w:val="Normal"/>
    <w:qFormat/>
    <w:rPr>
      <w:sz w:val="21"/>
      <w:szCs w:val="21"/>
    </w:rPr>
    <w:pPr>
      <w:spacing w:after="80" w:line="280" w:lineRule="atLeast"/>
    </w:p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after="80" w:before="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560" w:before="1248"/>
      <w:jc w:val="center"/>
    </w:pPr>
    <w:rPr>
      <w:rFonts w:ascii="HarmonyOS Sans" w:hAnsi="HarmonyOS Sans"/>
      <w:b/>
      <w:bCs/>
      <w:color w:val="1F2328"/>
      <w:sz w:val="72"/>
      <w:szCs w:val="7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Bdr>
        <w:bottom w:val="single" w:sz="12" w:space="1" w:color="C7000B"/>
      </w:pBdr>
      <w:spacing w:after="600" w:before="0"/>
      <w:outlineLvl w:val="0"/>
    </w:pPr>
    <w:rPr>
      <w:rFonts w:ascii="HarmonyOS Sans" w:hAnsi="HarmonyOS Sans"/>
      <w:b/>
      <w:bCs/>
      <w:color w:val="1F2328"/>
      <w:sz w:val="40"/>
      <w:szCs w:val="40"/>
    </w:rPr>
  </w:style>
  <w:style w:styleId="Heading2" w:type="paragraph">
    <w:name w:val="Heading 2"/>
    <w:basedOn w:val="Normal"/>
    <w:next w:val="BodyText"/>
    <w:uiPriority w:val="9"/>
    <w:unhideWhenUsed/>
    <w:qFormat/>
    <w:pPr>
      <w:keepNext/>
      <w:keepLines/>
      <w:spacing w:after="120" w:before="600"/>
      <w:outlineLvl w:val="1"/>
    </w:pPr>
    <w:rPr>
      <w:rFonts w:ascii="HarmonyOS Sans" w:hAnsi="HarmonyOS Sans"/>
      <w:color w:val="1F2328"/>
      <w:sz w:val="36"/>
      <w:szCs w:val="36"/>
    </w:rPr>
  </w:style>
  <w:style w:styleId="Heading3" w:type="paragraph">
    <w:name w:val="Heading 3"/>
    <w:basedOn w:val="Normal"/>
    <w:next w:val="BodyText"/>
    <w:uiPriority w:val="9"/>
    <w:unhideWhenUsed/>
    <w:qFormat/>
    <w:pPr>
      <w:keepNext/>
      <w:keepLines/>
      <w:spacing w:after="80" w:before="200"/>
      <w:outlineLvl w:val="2"/>
    </w:pPr>
    <w:rPr>
      <w:rFonts w:ascii="HarmonyOS Sans" w:hAnsi="HarmonyOS Sans"/>
      <w:color w:val="1F2328"/>
      <w:sz w:val="32"/>
      <w:szCs w:val="32"/>
    </w:rPr>
  </w:style>
  <w:style w:styleId="Heading4" w:type="paragraph">
    <w:name w:val="Heading 4"/>
    <w:basedOn w:val="Normal"/>
    <w:next w:val="BodyText"/>
    <w:uiPriority w:val="9"/>
    <w:unhideWhenUsed/>
    <w:qFormat/>
    <w:pPr>
      <w:keepNext/>
      <w:keepLines/>
      <w:spacing w:after="80" w:before="160"/>
      <w:outlineLvl w:val="3"/>
    </w:pPr>
    <w:rPr>
      <w:rFonts w:ascii="HarmonyOS Sans" w:hAnsi="HarmonyOS Sans"/>
      <w:color w:val="1F2328"/>
      <w:sz w:val="28"/>
      <w:szCs w:val="28"/>
    </w:rPr>
  </w:style>
  <w:style w:styleId="Heading5" w:type="paragraph">
    <w:name w:val="Heading 5"/>
    <w:basedOn w:val="Normal"/>
    <w:next w:val="BodyText"/>
    <w:uiPriority w:val="9"/>
    <w:unhideWhenUsed/>
    <w:qFormat/>
    <w:pPr>
      <w:keepNext/>
      <w:keepLines/>
      <w:spacing w:after="0" w:before="200"/>
      <w:outlineLvl w:val="4"/>
    </w:pPr>
    <w:rPr>
      <w:rFonts w:ascii="HarmonyOS Sans" w:hAnsi="HarmonyOS Sans"/>
      <w:iCs/>
      <w:color w:val="1F2328"/>
      <w:sz w:val="24"/>
      <w:szCs w:val="24"/>
    </w:rPr>
  </w:style>
  <w:style w:styleId="Heading6" w:type="paragraph">
    <w:name w:val="Heading 6"/>
    <w:basedOn w:val="Normal"/>
    <w:next w:val="BodyText"/>
    <w:uiPriority w:val="9"/>
    <w:unhideWhenUsed/>
    <w:qFormat/>
    <w:pPr>
      <w:keepNext/>
      <w:keepLines/>
      <w:spacing w:after="0" w:before="200"/>
      <w:outlineLvl w:val="5"/>
    </w:pPr>
    <w:rPr>
      <w:rFonts w:ascii="HarmonyOS Sans" w:hAnsi="HarmonyOS Sans"/>
      <w:color w:val="1F2328"/>
      <w:sz w:val="24"/>
      <w:szCs w:val="24"/>
    </w:rPr>
  </w:style>
  <w:style w:styleId="Heading7" w:type="paragraph">
    <w:name w:val="Heading 7"/>
    <w:basedOn w:val="Normal"/>
    <w:next w:val="BodyText"/>
    <w:uiPriority w:val="9"/>
    <w:unhideWhenUsed/>
    <w:qFormat/>
    <w:pPr>
      <w:keepNext/>
      <w:keepLines/>
      <w:spacing w:after="0" w:before="200"/>
      <w:outlineLvl w:val="6"/>
    </w:pPr>
    <w:rPr>
      <w:rFonts w:ascii="HarmonyOS Sans" w:hAnsi="HarmonyOS Sans"/>
      <w:color w:val="1F2328"/>
      <w:sz w:val="24"/>
      <w:szCs w:val="24"/>
    </w:rPr>
  </w:style>
  <w:style w:styleId="Heading8" w:type="paragraph">
    <w:name w:val="Heading 8"/>
    <w:basedOn w:val="Normal"/>
    <w:next w:val="BodyText"/>
    <w:uiPriority w:val="9"/>
    <w:unhideWhenUsed/>
    <w:qFormat/>
    <w:pPr>
      <w:keepNext/>
      <w:keepLines/>
      <w:spacing w:after="0" w:before="200"/>
      <w:outlineLvl w:val="7"/>
    </w:pPr>
    <w:rPr>
      <w:rFonts w:ascii="HarmonyOS Sans" w:hAnsi="HarmonyOS Sans"/>
      <w:color w:val="1F2328"/>
      <w:sz w:val="24"/>
      <w:szCs w:val="24"/>
    </w:rPr>
  </w:style>
  <w:style w:styleId="Heading9" w:type="paragraph">
    <w:name w:val="Heading 9"/>
    <w:basedOn w:val="Normal"/>
    <w:next w:val="BodyText"/>
    <w:uiPriority w:val="9"/>
    <w:unhideWhenUsed/>
    <w:qFormat/>
    <w:pPr>
      <w:keepNext/>
      <w:keepLines/>
      <w:spacing w:after="0" w:before="200"/>
      <w:outlineLvl w:val="8"/>
    </w:pPr>
    <w:rPr>
      <w:rFonts w:ascii="HarmonyOS Sans" w:hAnsi="HarmonyOS Sans"/>
      <w:color w:val="1F2328"/>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120"/>
      <w:jc w:val="center"/>
    </w:pPr>
    <w:rPr>
      <w:i/>
      <w:rFonts w:ascii="HarmonyOS Sans" w:hAnsi="HarmonyOS Sans"/>
      <w:b/>
      <w:sz w:val="18"/>
      <w:szCs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scadia Code" w:hAnsi="Cascadia Code"/>
      <w:color w:val="1F2328"/>
      <w:sz w:val="20"/>
      <w:szCs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HarmonyOS Sans" w:hAnsi="HarmonyOS Sans"/>
      <w:color w:val="0000FF"/>
      <w:sz w:val="21"/>
      <w:u w:val="none"/>
    </w:rPr>
  </w:style>
  <w:style w:styleId="TOCHeading" w:type="paragraph">
    <w:name w:val="TOC Heading"/>
    <w:basedOn w:val="Heading1"/>
    <w:next w:val="BodyText"/>
    <w:uiPriority w:val="39"/>
    <w:unhideWhenUsed/>
    <w:qFormat/>
    <w:pPr>
      <w:spacing w:before="240" w:line="259" w:lineRule="auto"/>
      <w:outlineLvl w:val="9"/>
      <w:pBdr>
        <w:bottom w:val="single" w:sz="4" w:space="1" w:color="000000"/>
      </w:pBdr>
    </w:pPr>
    <w:rPr>
      <w:rFonts w:ascii="HarmonyOS Sans" w:hAnsi="HarmonyOS Sans"/>
      <w:b/>
      <w:color w:val="1F2328"/>
      <w:sz w:val="44"/>
      <w:szCs w:val="44"/>
    </w:rPr>
  </w:style>
  <w:style w:customStyle="1" w:styleId="warning" w:type="paragraph">
    <w:name w:val="warning"/>
    <w:pPr>
      <w:pBdr>
        <w:left w:color="F57C00" w:space="4" w:sz="24" w:val="single"/>
      </w:pBdr>
      <w:shd w:fill="FFF8E1" w:val="clear"/>
      <w:ind w:left="283"/>
      <w:spacing w:before="120" w:after="120"/>
    </w:pPr>
  </w:style>
  <w:style w:customStyle="1" w:styleId="tip" w:type="paragraph">
    <w:name w:val="tip"/>
    <w:pPr>
      <w:pBdr>
        <w:left w:color="2E7D32" w:space="4" w:sz="24" w:val="single"/>
      </w:pBdr>
      <w:shd w:fill="E8F5E9" w:val="clear"/>
      <w:ind w:left="283"/>
      <w:spacing w:before="120" w:after="120"/>
    </w:pPr>
  </w:style>
  <w:style w:customStyle="1" w:styleId="infobox" w:type="paragraph">
    <w:name w:val="infobox"/>
    <w:pPr>
      <w:pBdr>
        <w:left w:color="1565C0" w:space="4" w:sz="24" w:val="single"/>
      </w:pBdr>
      <w:shd w:fill="E3F2FD" w:val="clear"/>
      <w:ind w:left="283"/>
      <w:spacing w:before="120" w:after="120"/>
    </w:pPr>
  </w:style>
  <w:style w:customStyle="1" w:styleId="objectives" w:type="paragraph">
    <w:name w:val="objectives"/>
  </w:style>
  <w:style w:customStyle="1" w:styleId="changelog" w:type="paragraph">
    <w:name w:val="changelog"/>
  </w:style>
  <w:style w:customStyle="1" w:styleId="hutable" w:type="paragraph">
    <w:name w:val="hutable"/>
  </w:style>
  <w:style w:customStyle="1" w:styleId="SourceCode" w:type="paragraph">
    <w:name w:val="Source Code"/>
    <w:pPr>
      <w:shd w:fill="F6F8FA" w:val="clear"/>
      <w:ind w:left="397" w:right="284"/>
      <w:spacing w:before="120" w:after="120"/>
    </w:pPr>
    <w:rPr>
      <w:rFonts w:ascii="Cascadia Code" w:hAnsi="Cascadia Code"/>
      <w:color w:val="1F2328"/>
      <w:sz w:val="20"/>
      <w:szCs w:val="20"/>
    </w:rPr>
  </w:style>
  <w:style w:customStyle="1" w:styleId="badge" w:type="character">
    <w:name w:val="badge"/>
    <w:rPr>
      <w:rFonts w:ascii="HarmonyOS Sans" w:hAnsi="HarmonyOS Sans"/>
      <w:b/>
      <w:color w:val="FFFFFF"/>
      <w:sz w:val="16"/>
      <w:shd w:fill="C7000B" w:val="clear" w:color="auto"/>
      <w:szCs w:val="16"/>
    </w:rPr>
  </w:style>
  <w:style w:customStyle="1" w:styleId="CoverLogo" w:type="paragraph">
    <w:name w:val="CoverLogo"/>
    <w:pPr>
      <w:spacing w:after="200" w:before="200"/>
      <w:jc w:val="center"/>
    </w:pPr>
  </w:style>
  <w:style w:customStyle="1" w:styleId="CoverText" w:type="paragraph">
    <w:name w:val="CoverText"/>
    <w:pPr>
      <w:spacing w:after="200" w:before="600"/>
      <w:jc w:val="center"/>
    </w:pPr>
    <w:rPr>
      <w:rFonts w:ascii="HarmonyOS Sans" w:hAnsi="HarmonyOS Sans"/>
      <w:color w:val="1F2328"/>
      <w:sz w:val="32"/>
    </w:rPr>
  </w:style>
  <w:style w:customStyle="1" w:styleId="CoverMeta" w:type="paragraph">
    <w:name w:val="CoverMeta"/>
    <w:pPr>
      <w:spacing w:after="200" w:before="100"/>
      <w:jc w:val="center"/>
    </w:pPr>
    <w:rPr>
      <w:rFonts w:ascii="HarmonyOS Sans" w:hAnsi="HarmonyOS Sans"/>
      <w:color w:val="595959"/>
      <w:sz w:val="24"/>
    </w:rPr>
  </w:style>
  <w:style w:customStyle="1" w:styleId="TOCTitle" w:type="paragraph">
    <w:name w:val="TOCTitle"/>
    <w:pPr>
      <w:spacing w:after="200" w:before="0"/>
      <w:jc w:val="right"/>
    </w:pPr>
    <w:rPr>
      <w:rFonts w:ascii="HarmonyOS Sans" w:hAnsi="HarmonyOS Sans"/>
      <w:b/>
      <w:color w:val="1F2328"/>
      <w:sz w:val="44"/>
    </w:rPr>
  </w:style>
  <w:style w:customStyle="1" w:styleId="ImageBlock" w:type="paragraph">
    <w:name w:val="ImageBlock"/>
    <w:pPr>
      <w:spacing w:after="120" w:before="120"/>
      <w:jc w:val="center"/>
    </w:pPr>
  </w:style>
  <w:style w:customStyle="1" w:styleId="ObjectivesRule" w:type="paragraph">
    <w:name w:val="ObjectivesRule"/>
    <w:pPr>
      <w:spacing w:after="200" w:before="80"/>
      <w:pBdr>
        <w:bottom w:color="000000" w:space="1" w:sz="12" w:val="single"/>
      </w:pBdr>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styleId="TOC1">
    <w:name w:val="toc1"/>
    <w:basedOn w:val="Normal"/>
    <w:next w:val="Normal"/>
    <w:uiPriority w:val="9"/>
    <w:qFormat/>
    <w:pPr>
      <w:tabs>
        <w:tab w:val="right" w:leader="dot" w:pos="9000"/>
      </w:tabs>
      <w:ind w:left="0"/>
      <w:spacing w:after="40"/>
    </w:pPr>
  </w:style>
  <w:style w:type="paragraph" w:styleId="TOC2">
    <w:name w:val="toc2"/>
    <w:basedOn w:val="Normal"/>
    <w:next w:val="Normal"/>
    <w:uiPriority w:val="9"/>
    <w:qFormat/>
    <w:pPr>
      <w:tabs>
        <w:tab w:val="right" w:leader="dot" w:pos="9000"/>
      </w:tabs>
      <w:ind w:left="420"/>
      <w:spacing w:after="40"/>
    </w:pPr>
  </w:style>
  <w:style w:type="paragraph" w:styleId="TOC3">
    <w:name w:val="toc3"/>
    <w:basedOn w:val="Normal"/>
    <w:next w:val="Normal"/>
    <w:uiPriority w:val="9"/>
    <w:qFormat/>
    <w:pPr>
      <w:tabs>
        <w:tab w:val="right" w:leader="dot" w:pos="9000"/>
      </w:tabs>
      <w:ind w:left="840"/>
      <w:spacing w:after="40"/>
    </w:p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HarmonyOS Sans"/>
        <a:ea typeface="HarmonyOS Sans"/>
        <a:cs typeface="HarmonyOS Sans"/>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HarmonyOS Sans"/>
        <a:ea typeface="HarmonyOS Sans"/>
        <a:cs typeface="HarmonyOS Sans"/>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2026-09-14T03:29:07Z</dcterms:created>
  <dcterms:modified xsi:type="dcterms:W3CDTF">2026-09-14T03:29:07Z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version">
    <vt:lpwstr>2.1.0</vt:lpwstr>
  </property>
</Properties>
</file>